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</w:t>
      </w:r>
      <w:r w:rsidR="00F20137">
        <w:rPr>
          <w:b/>
        </w:rPr>
        <w:t>или</w:t>
      </w:r>
      <w:r w:rsidRPr="00A86586">
        <w:rPr>
          <w:b/>
        </w:rPr>
        <w:t xml:space="preserve">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7975A6">
        <w:rPr>
          <w:b/>
        </w:rPr>
        <w:t>30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D00E70">
        <w:rPr>
          <w:b/>
        </w:rPr>
        <w:t>1</w:t>
      </w:r>
      <w:r w:rsidR="003569EB" w:rsidRPr="00B60622">
        <w:rPr>
          <w:b/>
        </w:rPr>
        <w:t>.20</w:t>
      </w:r>
      <w:r w:rsidR="00D00E70">
        <w:rPr>
          <w:b/>
        </w:rPr>
        <w:t>20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</w:t>
      </w:r>
      <w:r w:rsidR="00D00E70">
        <w:t>20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D00E70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</w:t>
      </w:r>
      <w:r w:rsidR="00F20137">
        <w:rPr>
          <w:shd w:val="clear" w:color="auto" w:fill="FFFFFF"/>
        </w:rPr>
        <w:t>или</w:t>
      </w:r>
      <w:r w:rsidRPr="007478C6">
        <w:rPr>
          <w:shd w:val="clear" w:color="auto" w:fill="FFFFFF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F3601B">
        <w:t xml:space="preserve">», постановлением администрации города Перми от 20 декабря 2018 г. № 1008 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от 20 декабря 2018 г. № 1009 </w:t>
      </w:r>
      <w:r w:rsidR="00F20137">
        <w:rPr>
          <w:szCs w:val="28"/>
        </w:rPr>
        <w:br/>
      </w:r>
      <w:r w:rsidRPr="00F3601B">
        <w:rPr>
          <w:szCs w:val="28"/>
        </w:rPr>
        <w:t>«О комиссии по проведению</w:t>
      </w:r>
      <w:r w:rsidRPr="009631AE">
        <w:rPr>
          <w:szCs w:val="28"/>
        </w:rPr>
        <w:t xml:space="preserve"> аукциона в электронной форме на право заключения договора </w:t>
      </w:r>
      <w:r w:rsidR="00F20137">
        <w:rPr>
          <w:szCs w:val="28"/>
        </w:rPr>
        <w:br/>
      </w:r>
      <w:r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="00892F0F" w:rsidRPr="006E2C1A">
        <w:rPr>
          <w:bCs/>
        </w:rPr>
        <w:t xml:space="preserve">от </w:t>
      </w:r>
      <w:r w:rsidR="00892F0F">
        <w:rPr>
          <w:bCs/>
        </w:rPr>
        <w:t>23.12.</w:t>
      </w:r>
      <w:r w:rsidR="00892F0F" w:rsidRPr="006E2C1A">
        <w:rPr>
          <w:bCs/>
        </w:rPr>
        <w:t>201</w:t>
      </w:r>
      <w:r w:rsidR="00892F0F" w:rsidRPr="00316073">
        <w:rPr>
          <w:bCs/>
        </w:rPr>
        <w:t>9</w:t>
      </w:r>
      <w:r w:rsidR="00892F0F" w:rsidRPr="006E2C1A">
        <w:rPr>
          <w:bCs/>
        </w:rPr>
        <w:t xml:space="preserve"> № 059-19-</w:t>
      </w:r>
      <w:r w:rsidR="00892F0F">
        <w:rPr>
          <w:bCs/>
        </w:rPr>
        <w:t>11-18</w:t>
      </w:r>
      <w:r w:rsidR="00892F0F">
        <w:rPr>
          <w:bCs/>
        </w:rPr>
        <w:t>5</w:t>
      </w:r>
      <w:bookmarkStart w:id="0" w:name="_GoBack"/>
      <w:bookmarkEnd w:id="0"/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6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7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D00E70" w:rsidRDefault="00D00E70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7E4D5C" w:rsidRPr="007E4D5C" w:rsidRDefault="007E4D5C" w:rsidP="007E4D5C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7E4D5C">
        <w:rPr>
          <w:b/>
          <w:u w:val="single"/>
        </w:rPr>
        <w:lastRenderedPageBreak/>
        <w:t xml:space="preserve">Сведения о лотах  </w:t>
      </w: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t>Лот № 1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2-сторонний щит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М-Щ-18-975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ул. </w:t>
            </w:r>
            <w:proofErr w:type="spellStart"/>
            <w:r w:rsidRPr="007975A6">
              <w:rPr>
                <w:color w:val="000000"/>
              </w:rPr>
              <w:t>Старцева</w:t>
            </w:r>
            <w:proofErr w:type="spellEnd"/>
            <w:r w:rsidRPr="007975A6">
              <w:rPr>
                <w:color w:val="000000"/>
              </w:rPr>
              <w:t>, 19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постоянное (бессрочное) пользование (МКУ "</w:t>
            </w:r>
            <w:proofErr w:type="spellStart"/>
            <w:r w:rsidRPr="007975A6">
              <w:t>Пермблагоустройство</w:t>
            </w:r>
            <w:proofErr w:type="spellEnd"/>
            <w:r w:rsidRPr="007975A6">
              <w:t>")</w:t>
            </w:r>
          </w:p>
        </w:tc>
      </w:tr>
    </w:tbl>
    <w:p w:rsidR="007975A6" w:rsidRPr="007975A6" w:rsidRDefault="007975A6" w:rsidP="007975A6"/>
    <w:p w:rsidR="007975A6" w:rsidRDefault="007975A6" w:rsidP="007975A6">
      <w:pPr>
        <w:rPr>
          <w:b/>
        </w:rPr>
      </w:pPr>
    </w:p>
    <w:p w:rsidR="007975A6" w:rsidRDefault="007975A6" w:rsidP="007975A6">
      <w:pPr>
        <w:rPr>
          <w:b/>
        </w:rPr>
      </w:pPr>
    </w:p>
    <w:p w:rsidR="007975A6" w:rsidRDefault="007975A6" w:rsidP="007975A6">
      <w:pPr>
        <w:rPr>
          <w:b/>
        </w:rPr>
      </w:pPr>
    </w:p>
    <w:p w:rsidR="007975A6" w:rsidRDefault="007975A6" w:rsidP="007975A6">
      <w:pPr>
        <w:rPr>
          <w:b/>
        </w:rPr>
      </w:pPr>
    </w:p>
    <w:p w:rsidR="007975A6" w:rsidRDefault="007975A6" w:rsidP="007975A6">
      <w:pPr>
        <w:rPr>
          <w:b/>
        </w:rPr>
      </w:pPr>
    </w:p>
    <w:p w:rsidR="007975A6" w:rsidRDefault="007975A6" w:rsidP="007975A6">
      <w:pPr>
        <w:rPr>
          <w:b/>
        </w:rPr>
      </w:pPr>
    </w:p>
    <w:p w:rsidR="007975A6" w:rsidRDefault="007975A6" w:rsidP="007975A6">
      <w:pPr>
        <w:rPr>
          <w:b/>
        </w:rPr>
      </w:pPr>
    </w:p>
    <w:p w:rsidR="007975A6" w:rsidRDefault="007975A6" w:rsidP="007975A6">
      <w:pPr>
        <w:rPr>
          <w:b/>
        </w:rPr>
      </w:pPr>
    </w:p>
    <w:p w:rsidR="007975A6" w:rsidRDefault="007975A6" w:rsidP="007975A6">
      <w:pPr>
        <w:rPr>
          <w:b/>
        </w:rPr>
      </w:pPr>
    </w:p>
    <w:p w:rsidR="007975A6" w:rsidRDefault="007975A6" w:rsidP="007975A6">
      <w:pPr>
        <w:rPr>
          <w:b/>
        </w:rPr>
      </w:pPr>
    </w:p>
    <w:p w:rsidR="007975A6" w:rsidRDefault="007975A6" w:rsidP="007975A6">
      <w:pPr>
        <w:rPr>
          <w:b/>
        </w:rPr>
      </w:pPr>
    </w:p>
    <w:p w:rsid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2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М-Щ-18-976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ул. </w:t>
            </w:r>
            <w:proofErr w:type="spellStart"/>
            <w:r w:rsidRPr="007975A6">
              <w:rPr>
                <w:color w:val="000000"/>
              </w:rPr>
              <w:t>Старцева</w:t>
            </w:r>
            <w:proofErr w:type="spellEnd"/>
            <w:r w:rsidRPr="007975A6">
              <w:rPr>
                <w:color w:val="000000"/>
              </w:rPr>
              <w:t xml:space="preserve"> - ул. Жигулевская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постоянное (бессрочное) пользование (МКУ "</w:t>
            </w:r>
            <w:proofErr w:type="spellStart"/>
            <w:r w:rsidRPr="007975A6">
              <w:t>Пермблагоустройство</w:t>
            </w:r>
            <w:proofErr w:type="spellEnd"/>
            <w:r w:rsidRPr="007975A6">
              <w:t>")</w:t>
            </w:r>
          </w:p>
        </w:tc>
      </w:tr>
    </w:tbl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3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М-Щ-18-977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ул. </w:t>
            </w:r>
            <w:proofErr w:type="spellStart"/>
            <w:r w:rsidRPr="007975A6">
              <w:rPr>
                <w:color w:val="000000"/>
              </w:rPr>
              <w:t>Старцева</w:t>
            </w:r>
            <w:proofErr w:type="spellEnd"/>
            <w:r w:rsidRPr="007975A6">
              <w:rPr>
                <w:color w:val="000000"/>
              </w:rPr>
              <w:t>, 31 б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постоянное (бессрочное) пользование (МКУ "</w:t>
            </w:r>
            <w:proofErr w:type="spellStart"/>
            <w:r w:rsidRPr="007975A6">
              <w:t>Пермблагоустройство</w:t>
            </w:r>
            <w:proofErr w:type="spellEnd"/>
            <w:r w:rsidRPr="007975A6">
              <w:t>")</w:t>
            </w:r>
          </w:p>
        </w:tc>
      </w:tr>
    </w:tbl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4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И-Щ-18-1092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ул. Космонавта Леонова, 10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5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Д-Щ-18-574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пр-т Парковый, 3а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постоянное (бессрочное) пользование (МКУ "</w:t>
            </w:r>
            <w:proofErr w:type="spellStart"/>
            <w:r w:rsidRPr="007975A6">
              <w:t>Пермблагоустройство</w:t>
            </w:r>
            <w:proofErr w:type="spellEnd"/>
            <w:r w:rsidRPr="007975A6">
              <w:t>")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6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3-сторонний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Д-Щ-18-580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пр-т Парковый, 54 – ул. Зои Космодемьянской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54,00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253 692,00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253 692,00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12 684,60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постоянное (бессрочное) пользование (МКУ "</w:t>
            </w:r>
            <w:proofErr w:type="spellStart"/>
            <w:r w:rsidRPr="007975A6">
              <w:t>Пермблагоустройство</w:t>
            </w:r>
            <w:proofErr w:type="spellEnd"/>
            <w:r w:rsidRPr="007975A6">
              <w:t>")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7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Д-Щ-18-609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ул. Докучаева, 44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8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Д-Щ-18-610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ул. Докучаева, 30 напротив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9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Д-Щ-18-313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 xml:space="preserve">ул. </w:t>
            </w:r>
            <w:proofErr w:type="spellStart"/>
            <w:r w:rsidRPr="007975A6">
              <w:rPr>
                <w:color w:val="000000"/>
              </w:rPr>
              <w:t>Подлесная</w:t>
            </w:r>
            <w:proofErr w:type="spellEnd"/>
            <w:r w:rsidRPr="007975A6">
              <w:rPr>
                <w:color w:val="000000"/>
              </w:rPr>
              <w:t>, 55 (напротив)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10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С-Щ-18-1259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ул. Куйбышева, 127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11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Д-Щ-18-661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 xml:space="preserve">ул. </w:t>
            </w:r>
            <w:proofErr w:type="spellStart"/>
            <w:r w:rsidRPr="007975A6">
              <w:rPr>
                <w:color w:val="000000"/>
              </w:rPr>
              <w:t>Подлесная</w:t>
            </w:r>
            <w:proofErr w:type="spellEnd"/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12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Д-Щ-18-662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 xml:space="preserve">ул. </w:t>
            </w:r>
            <w:proofErr w:type="spellStart"/>
            <w:r w:rsidRPr="007975A6">
              <w:rPr>
                <w:color w:val="000000"/>
              </w:rPr>
              <w:t>Подлесная</w:t>
            </w:r>
            <w:proofErr w:type="spellEnd"/>
            <w:r w:rsidRPr="007975A6">
              <w:rPr>
                <w:color w:val="000000"/>
              </w:rPr>
              <w:t>, 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13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Д-Щ-18-664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 xml:space="preserve">ул. </w:t>
            </w:r>
            <w:proofErr w:type="spellStart"/>
            <w:r w:rsidRPr="007975A6">
              <w:rPr>
                <w:color w:val="000000"/>
              </w:rPr>
              <w:t>Подлесная</w:t>
            </w:r>
            <w:proofErr w:type="spellEnd"/>
            <w:r w:rsidRPr="007975A6">
              <w:rPr>
                <w:color w:val="000000"/>
              </w:rPr>
              <w:t>, 33 напротив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14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И-Щ-18-1174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ул. Карпинского, 79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15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И-Щ-18-587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 xml:space="preserve">ул. Архитектора </w:t>
            </w:r>
            <w:proofErr w:type="spellStart"/>
            <w:r w:rsidRPr="007975A6">
              <w:rPr>
                <w:color w:val="000000"/>
              </w:rPr>
              <w:t>Свиязева</w:t>
            </w:r>
            <w:proofErr w:type="spellEnd"/>
            <w:r w:rsidRPr="007975A6">
              <w:rPr>
                <w:color w:val="000000"/>
              </w:rPr>
              <w:t>, 33а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169 128,00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8 456,40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16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С-Щ-18-378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ул. Солдатова, 15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112 752,00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112 752,00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5 637,60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17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С-Щ-18-450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ул. Холмогорская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7975A6">
              <w:t>112 752,00</w:t>
            </w:r>
            <w:r w:rsidRPr="007975A6">
              <w:tab/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112 752,00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5 637,60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18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С-Щ-18-451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ул. Холмогорская, 3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7975A6">
              <w:t>112 752,00</w:t>
            </w:r>
            <w:r w:rsidRPr="007975A6">
              <w:tab/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112 752,00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5 637,60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19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С-Щ-18-603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 xml:space="preserve">ул. </w:t>
            </w:r>
            <w:proofErr w:type="spellStart"/>
            <w:r w:rsidRPr="007975A6">
              <w:rPr>
                <w:color w:val="000000"/>
              </w:rPr>
              <w:t>Гусарова</w:t>
            </w:r>
            <w:proofErr w:type="spellEnd"/>
            <w:r w:rsidRPr="007975A6">
              <w:rPr>
                <w:color w:val="000000"/>
              </w:rPr>
              <w:t>, 14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7975A6">
              <w:t>112 752,00</w:t>
            </w:r>
            <w:r w:rsidRPr="007975A6">
              <w:tab/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112 752,00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5 637,60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t>Лот № 20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С-Щ-18-910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ул. Маршрутная, 19, к.1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7975A6">
              <w:t>112 752,00</w:t>
            </w:r>
            <w:r w:rsidRPr="007975A6">
              <w:tab/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112 752,00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5 637,60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постоянное (бессрочное) пользование (МКУ "</w:t>
            </w:r>
            <w:proofErr w:type="spellStart"/>
            <w:r w:rsidRPr="007975A6">
              <w:t>Пермблагоустройство</w:t>
            </w:r>
            <w:proofErr w:type="spellEnd"/>
            <w:r w:rsidRPr="007975A6">
              <w:t>")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21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С-Щ-18-911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ул. Маршрутная, 19, к.5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7975A6">
              <w:t>112 752,00</w:t>
            </w:r>
            <w:r w:rsidRPr="007975A6">
              <w:tab/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112 752,00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5 637,60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постоянное (бессрочное) пользование (МКУ "</w:t>
            </w:r>
            <w:proofErr w:type="spellStart"/>
            <w:r w:rsidRPr="007975A6">
              <w:t>Пермблагоустройство</w:t>
            </w:r>
            <w:proofErr w:type="spellEnd"/>
            <w:r w:rsidRPr="007975A6">
              <w:t>")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22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С-Щ-18-912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ул. Маршрутная, 18а, к.1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7975A6">
              <w:t>112 752,00</w:t>
            </w:r>
            <w:r w:rsidRPr="007975A6">
              <w:tab/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112 752,00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5 637,60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постоянное (бессрочное) пользование (МКУ "</w:t>
            </w:r>
            <w:proofErr w:type="spellStart"/>
            <w:r w:rsidRPr="007975A6">
              <w:t>Пермблагоустройство</w:t>
            </w:r>
            <w:proofErr w:type="spellEnd"/>
            <w:r w:rsidRPr="007975A6">
              <w:t>")</w:t>
            </w:r>
          </w:p>
        </w:tc>
      </w:tr>
    </w:tbl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23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Д-Щ-2017-263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ул. Сергея Есенина, 5/2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5A6" w:rsidRPr="007975A6" w:rsidRDefault="007975A6" w:rsidP="00417657">
            <w:pPr>
              <w:rPr>
                <w:color w:val="000000"/>
              </w:rPr>
            </w:pPr>
            <w:r w:rsidRPr="007975A6">
              <w:rPr>
                <w:color w:val="000000"/>
              </w:rPr>
              <w:t>112 </w:t>
            </w:r>
            <w:r w:rsidR="00417657">
              <w:rPr>
                <w:color w:val="000000"/>
              </w:rPr>
              <w:t>75</w:t>
            </w:r>
            <w:r w:rsidRPr="007975A6">
              <w:rPr>
                <w:color w:val="000000"/>
              </w:rPr>
              <w:t>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417657">
            <w:pPr>
              <w:rPr>
                <w:color w:val="000000"/>
              </w:rPr>
            </w:pPr>
            <w:r w:rsidRPr="007975A6">
              <w:rPr>
                <w:color w:val="000000"/>
              </w:rPr>
              <w:t>112 </w:t>
            </w:r>
            <w:r w:rsidR="00417657">
              <w:rPr>
                <w:color w:val="000000"/>
              </w:rPr>
              <w:t>75</w:t>
            </w:r>
            <w:r w:rsidRPr="007975A6">
              <w:rPr>
                <w:color w:val="000000"/>
              </w:rPr>
              <w:t>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5 637,60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24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отдельно стоящая (тип 1 или тип 2)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2.Щ.3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ул. Якутская, поз. 3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36,00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5A6" w:rsidRPr="007975A6" w:rsidRDefault="007975A6" w:rsidP="00417657">
            <w:pPr>
              <w:rPr>
                <w:color w:val="000000"/>
              </w:rPr>
            </w:pPr>
            <w:r w:rsidRPr="007975A6">
              <w:rPr>
                <w:color w:val="000000"/>
              </w:rPr>
              <w:t>112 </w:t>
            </w:r>
            <w:r w:rsidR="00417657">
              <w:rPr>
                <w:color w:val="000000"/>
              </w:rPr>
              <w:t>75</w:t>
            </w:r>
            <w:r w:rsidRPr="007975A6">
              <w:rPr>
                <w:color w:val="000000"/>
              </w:rPr>
              <w:t>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417657">
            <w:pPr>
              <w:rPr>
                <w:color w:val="000000"/>
              </w:rPr>
            </w:pPr>
            <w:r w:rsidRPr="007975A6">
              <w:rPr>
                <w:color w:val="000000"/>
              </w:rPr>
              <w:t>112 </w:t>
            </w:r>
            <w:r w:rsidR="00417657">
              <w:rPr>
                <w:color w:val="000000"/>
              </w:rPr>
              <w:t>75</w:t>
            </w:r>
            <w:r w:rsidRPr="007975A6">
              <w:rPr>
                <w:color w:val="000000"/>
              </w:rPr>
              <w:t>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5 637,60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/>
    <w:p w:rsidR="007975A6" w:rsidRPr="007975A6" w:rsidRDefault="007975A6" w:rsidP="007975A6">
      <w:pPr>
        <w:rPr>
          <w:b/>
        </w:rPr>
      </w:pPr>
      <w:r w:rsidRPr="007975A6">
        <w:rPr>
          <w:b/>
        </w:rPr>
        <w:lastRenderedPageBreak/>
        <w:t>Лот № 25</w:t>
      </w:r>
    </w:p>
    <w:p w:rsidR="007975A6" w:rsidRPr="007975A6" w:rsidRDefault="007975A6" w:rsidP="007975A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rPr>
                <w:color w:val="000000"/>
              </w:rPr>
              <w:t>2-сторонний щит</w:t>
            </w:r>
          </w:p>
          <w:p w:rsidR="007975A6" w:rsidRPr="007975A6" w:rsidRDefault="007975A6" w:rsidP="007975A6">
            <w:pPr>
              <w:rPr>
                <w:color w:val="000000"/>
              </w:rPr>
            </w:pP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 xml:space="preserve">отдельно стоящая 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С-Щ-2017-066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975A6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ул. Солдатова, 17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3х6</w:t>
            </w:r>
          </w:p>
        </w:tc>
      </w:tr>
      <w:tr w:rsidR="007975A6" w:rsidRPr="007975A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Общая площадь информационного поля (</w:t>
            </w:r>
            <w:proofErr w:type="spellStart"/>
            <w:r w:rsidRPr="007975A6">
              <w:rPr>
                <w:bCs/>
              </w:rPr>
              <w:t>кв.м</w:t>
            </w:r>
            <w:proofErr w:type="spellEnd"/>
            <w:r w:rsidRPr="007975A6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pPr>
              <w:rPr>
                <w:color w:val="000000"/>
                <w:sz w:val="20"/>
                <w:szCs w:val="20"/>
              </w:rPr>
            </w:pPr>
            <w:r w:rsidRPr="007975A6">
              <w:t>36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75A6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A6" w:rsidRPr="007975A6" w:rsidRDefault="007975A6" w:rsidP="007975A6">
            <w:r w:rsidRPr="007975A6">
              <w:t>8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t xml:space="preserve">Начальная цена лота (начальный размер платы </w:t>
            </w:r>
            <w:r w:rsidRPr="007975A6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5A6" w:rsidRPr="007975A6" w:rsidRDefault="007975A6" w:rsidP="00417657">
            <w:pPr>
              <w:rPr>
                <w:color w:val="000000"/>
              </w:rPr>
            </w:pPr>
            <w:r w:rsidRPr="007975A6">
              <w:rPr>
                <w:color w:val="000000"/>
              </w:rPr>
              <w:t>112 </w:t>
            </w:r>
            <w:r w:rsidR="00417657">
              <w:rPr>
                <w:color w:val="000000"/>
              </w:rPr>
              <w:t>75</w:t>
            </w:r>
            <w:r w:rsidRPr="007975A6">
              <w:rPr>
                <w:color w:val="000000"/>
              </w:rPr>
              <w:t>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417657">
            <w:pPr>
              <w:rPr>
                <w:color w:val="000000"/>
              </w:rPr>
            </w:pPr>
            <w:r w:rsidRPr="007975A6">
              <w:rPr>
                <w:color w:val="000000"/>
              </w:rPr>
              <w:t>112 </w:t>
            </w:r>
            <w:r w:rsidR="00417657">
              <w:rPr>
                <w:color w:val="000000"/>
              </w:rPr>
              <w:t>75</w:t>
            </w:r>
            <w:r w:rsidRPr="007975A6">
              <w:rPr>
                <w:color w:val="000000"/>
              </w:rPr>
              <w:t>2,00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5A6" w:rsidRPr="007975A6" w:rsidRDefault="007975A6" w:rsidP="007975A6">
            <w:pPr>
              <w:rPr>
                <w:color w:val="000000"/>
              </w:rPr>
            </w:pPr>
            <w:r w:rsidRPr="007975A6">
              <w:rPr>
                <w:color w:val="000000"/>
              </w:rPr>
              <w:t>5 637,60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 xml:space="preserve">Физические лица, юридические лица 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975A6" w:rsidRPr="007975A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6" w:rsidRPr="007975A6" w:rsidRDefault="007975A6" w:rsidP="007975A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75A6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6" w:rsidRPr="007975A6" w:rsidRDefault="007975A6" w:rsidP="007975A6">
            <w:pPr>
              <w:autoSpaceDE w:val="0"/>
              <w:autoSpaceDN w:val="0"/>
              <w:adjustRightInd w:val="0"/>
            </w:pPr>
            <w:r w:rsidRPr="007975A6">
              <w:t>отсутствует</w:t>
            </w:r>
          </w:p>
        </w:tc>
      </w:tr>
    </w:tbl>
    <w:p w:rsidR="007975A6" w:rsidRPr="007975A6" w:rsidRDefault="007975A6" w:rsidP="007975A6"/>
    <w:p w:rsidR="007975A6" w:rsidRPr="007975A6" w:rsidRDefault="007975A6" w:rsidP="007975A6">
      <w:pPr>
        <w:rPr>
          <w:b/>
        </w:rPr>
      </w:pPr>
    </w:p>
    <w:p w:rsidR="007975A6" w:rsidRPr="007975A6" w:rsidRDefault="007975A6" w:rsidP="007975A6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7975A6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7975A6" w:rsidRPr="007975A6" w:rsidRDefault="007975A6" w:rsidP="007975A6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975A6" w:rsidRPr="007975A6" w:rsidRDefault="007975A6" w:rsidP="007975A6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975A6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7975A6">
        <w:rPr>
          <w:rFonts w:eastAsia="Courier New"/>
          <w:lang w:bidi="ru-RU"/>
        </w:rPr>
        <w:t xml:space="preserve"> 31.12.2019 в 9:00 </w:t>
      </w:r>
      <w:r w:rsidRPr="007975A6">
        <w:rPr>
          <w:rFonts w:eastAsia="Courier New"/>
          <w:lang w:bidi="ru-RU"/>
        </w:rPr>
        <w:br/>
        <w:t>по местному времени (7:00 МСК).</w:t>
      </w:r>
    </w:p>
    <w:p w:rsidR="007975A6" w:rsidRPr="007975A6" w:rsidRDefault="007975A6" w:rsidP="007975A6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7975A6" w:rsidRPr="007975A6" w:rsidRDefault="007975A6" w:rsidP="007975A6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975A6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7975A6">
        <w:rPr>
          <w:rFonts w:eastAsia="Courier New"/>
          <w:lang w:bidi="ru-RU"/>
        </w:rPr>
        <w:t xml:space="preserve">28.01.2020 </w:t>
      </w:r>
      <w:r w:rsidRPr="007975A6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7975A6" w:rsidRPr="007975A6" w:rsidRDefault="007975A6" w:rsidP="007975A6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7975A6" w:rsidRPr="007975A6" w:rsidRDefault="007975A6" w:rsidP="007975A6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7975A6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7975A6">
        <w:rPr>
          <w:rFonts w:eastAsia="Courier New"/>
          <w:lang w:bidi="ru-RU"/>
        </w:rPr>
        <w:t xml:space="preserve"> - 29.01.2020. </w:t>
      </w:r>
    </w:p>
    <w:p w:rsidR="007975A6" w:rsidRPr="007975A6" w:rsidRDefault="007975A6" w:rsidP="007975A6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7975A6" w:rsidRPr="007975A6" w:rsidRDefault="007975A6" w:rsidP="007975A6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975A6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7975A6">
        <w:rPr>
          <w:rFonts w:eastAsia="Courier New"/>
          <w:b/>
          <w:lang w:bidi="ru-RU"/>
        </w:rPr>
        <w:br/>
        <w:t xml:space="preserve">от участников аукциона) – </w:t>
      </w:r>
      <w:r w:rsidRPr="007975A6">
        <w:rPr>
          <w:rFonts w:eastAsia="Courier New"/>
          <w:lang w:bidi="ru-RU"/>
        </w:rPr>
        <w:t xml:space="preserve">30.01.2020 в 09:00 по местному времени (07:00 МСК). </w:t>
      </w:r>
    </w:p>
    <w:p w:rsidR="007975A6" w:rsidRPr="007975A6" w:rsidRDefault="007975A6" w:rsidP="007975A6">
      <w:pPr>
        <w:widowControl w:val="0"/>
        <w:ind w:left="-567" w:firstLine="709"/>
        <w:jc w:val="both"/>
        <w:rPr>
          <w:b/>
        </w:rPr>
      </w:pPr>
    </w:p>
    <w:p w:rsidR="007975A6" w:rsidRPr="007975A6" w:rsidRDefault="007975A6" w:rsidP="007975A6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975A6">
        <w:rPr>
          <w:b/>
        </w:rPr>
        <w:t>Место проведения аукциона:</w:t>
      </w:r>
      <w:r w:rsidRPr="007975A6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8690F" w:rsidRDefault="0038690F" w:rsidP="0038690F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80FD3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7E4D5C" w:rsidRPr="007E3856" w:rsidRDefault="007E4D5C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8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9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</w:t>
      </w:r>
      <w:proofErr w:type="gramStart"/>
      <w:r w:rsidRPr="00FC3B2F">
        <w:t>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>официальном</w:t>
      </w:r>
      <w:proofErr w:type="gramEnd"/>
      <w:r w:rsidR="00175879" w:rsidRPr="00175879">
        <w:t xml:space="preserve">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7975A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D00E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0527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7975A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</w:t>
      </w:r>
      <w:proofErr w:type="gramStart"/>
      <w:r w:rsidR="004A4C22">
        <w:rPr>
          <w:rFonts w:eastAsia="Courier New"/>
          <w:lang w:bidi="ru-RU"/>
        </w:rPr>
        <w:t>физические 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7E4D5C" w:rsidRDefault="007E4D5C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lastRenderedPageBreak/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0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975A6">
        <w:rPr>
          <w:b/>
        </w:rPr>
        <w:t>30</w:t>
      </w:r>
      <w:r>
        <w:rPr>
          <w:b/>
        </w:rPr>
        <w:t>.0</w:t>
      </w:r>
      <w:r w:rsidR="00D00E70">
        <w:rPr>
          <w:b/>
        </w:rPr>
        <w:t>1</w:t>
      </w:r>
      <w:r w:rsidRPr="001E47AE">
        <w:rPr>
          <w:b/>
        </w:rPr>
        <w:t>.20</w:t>
      </w:r>
      <w:r w:rsidR="00D00E7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975A6">
        <w:rPr>
          <w:rFonts w:eastAsiaTheme="majorEastAsia"/>
          <w:bCs/>
          <w:sz w:val="24"/>
          <w:szCs w:val="24"/>
          <w:lang w:bidi="ru-RU"/>
        </w:rPr>
        <w:t>31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D00E70">
        <w:rPr>
          <w:rFonts w:eastAsiaTheme="majorEastAsia"/>
          <w:bCs/>
          <w:sz w:val="24"/>
          <w:szCs w:val="24"/>
          <w:lang w:bidi="ru-RU"/>
        </w:rPr>
        <w:t>12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0527D3">
        <w:rPr>
          <w:rFonts w:eastAsiaTheme="majorEastAsia"/>
          <w:bCs/>
          <w:sz w:val="24"/>
          <w:szCs w:val="24"/>
          <w:lang w:bidi="ru-RU"/>
        </w:rPr>
        <w:t>2</w:t>
      </w:r>
      <w:r w:rsidR="007975A6">
        <w:rPr>
          <w:rFonts w:eastAsiaTheme="majorEastAsia"/>
          <w:bCs/>
          <w:sz w:val="24"/>
          <w:szCs w:val="24"/>
          <w:lang w:bidi="ru-RU"/>
        </w:rPr>
        <w:t>8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38690F">
        <w:rPr>
          <w:rFonts w:eastAsiaTheme="majorEastAsia"/>
          <w:bCs/>
          <w:sz w:val="24"/>
          <w:szCs w:val="24"/>
          <w:lang w:bidi="ru-RU"/>
        </w:rPr>
        <w:t>01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</w:t>
      </w:r>
      <w:r w:rsidR="0038690F">
        <w:rPr>
          <w:rFonts w:eastAsiaTheme="majorEastAsia"/>
          <w:bCs/>
          <w:sz w:val="24"/>
          <w:szCs w:val="24"/>
          <w:lang w:bidi="ru-RU"/>
        </w:rPr>
        <w:t>20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803E7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803E7F"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>, признанного победителем аукциона</w:t>
      </w:r>
      <w:r w:rsidR="00803E7F">
        <w:rPr>
          <w:color w:val="000000"/>
          <w:lang w:bidi="ru-RU"/>
        </w:rPr>
        <w:t xml:space="preserve">, </w:t>
      </w:r>
      <w:r w:rsidR="00803E7F">
        <w:rPr>
          <w:lang w:bidi="ru-RU"/>
        </w:rPr>
        <w:t>или</w:t>
      </w:r>
      <w:r w:rsidR="00803E7F" w:rsidRPr="009970AA">
        <w:rPr>
          <w:rFonts w:eastAsia="Courier New"/>
          <w:lang w:bidi="ru-RU"/>
        </w:rPr>
        <w:t xml:space="preserve"> </w:t>
      </w:r>
      <w:r w:rsidR="00803E7F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8690F" w:rsidRDefault="0038690F" w:rsidP="003F20AF">
      <w:pPr>
        <w:widowControl w:val="0"/>
        <w:ind w:left="-567" w:firstLine="709"/>
        <w:jc w:val="both"/>
        <w:rPr>
          <w:u w:val="single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9970AA">
        <w:rPr>
          <w:lang w:bidi="ru-RU"/>
        </w:rPr>
        <w:t xml:space="preserve">, </w:t>
      </w:r>
      <w:r w:rsidRPr="007422E8">
        <w:rPr>
          <w:lang w:bidi="ru-RU"/>
        </w:rPr>
        <w:t>единственного участника аукциона, признанного победителем аукциона</w:t>
      </w:r>
      <w:r w:rsidR="009970AA">
        <w:rPr>
          <w:lang w:bidi="ru-RU"/>
        </w:rPr>
        <w:t>, или</w:t>
      </w:r>
      <w:r w:rsidR="009970AA" w:rsidRPr="009970AA">
        <w:rPr>
          <w:rFonts w:eastAsia="Courier New"/>
          <w:lang w:bidi="ru-RU"/>
        </w:rPr>
        <w:t xml:space="preserve"> </w:t>
      </w:r>
      <w:r w:rsidR="009970AA">
        <w:rPr>
          <w:rFonts w:eastAsia="Courier New"/>
          <w:lang w:bidi="ru-RU"/>
        </w:rPr>
        <w:t>участника аукциона, чья заявка поступила первой.</w:t>
      </w:r>
    </w:p>
    <w:p w:rsidR="003F20AF" w:rsidRDefault="009970AA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 </w:t>
      </w:r>
      <w:r w:rsidR="003F20AF">
        <w:rPr>
          <w:lang w:bidi="ru-RU"/>
        </w:rPr>
        <w:t xml:space="preserve">Организатор аукциона посредством штатного интерфейса торговой секции </w:t>
      </w:r>
      <w:r w:rsidR="003F20AF"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</w:t>
      </w:r>
      <w:r>
        <w:rPr>
          <w:lang w:bidi="ru-RU"/>
        </w:rPr>
        <w:t xml:space="preserve">, </w:t>
      </w:r>
      <w:r w:rsidR="003F20AF" w:rsidRPr="007B7C03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 w:rsidR="003F20AF">
        <w:rPr>
          <w:lang w:bidi="ru-RU"/>
        </w:rPr>
        <w:t xml:space="preserve">после </w:t>
      </w:r>
      <w:r w:rsidR="003F20AF" w:rsidRPr="00B9296A">
        <w:rPr>
          <w:lang w:bidi="ru-RU"/>
        </w:rPr>
        <w:t xml:space="preserve">формирования протокола аукциона </w:t>
      </w:r>
      <w:r>
        <w:rPr>
          <w:lang w:bidi="ru-RU"/>
        </w:rPr>
        <w:br/>
      </w:r>
      <w:r w:rsidR="003F20AF" w:rsidRPr="00B9296A">
        <w:rPr>
          <w:lang w:bidi="ru-RU"/>
        </w:rPr>
        <w:t>на указанные в поручении банковские реквизиты.</w:t>
      </w:r>
    </w:p>
    <w:p w:rsidR="003F20AF" w:rsidRP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9970AA">
        <w:rPr>
          <w:shd w:val="clear" w:color="auto" w:fill="FFFFFF"/>
        </w:rPr>
        <w:t>,</w:t>
      </w:r>
      <w:r w:rsidRPr="00930A26">
        <w:rPr>
          <w:shd w:val="clear" w:color="auto" w:fill="FFFFFF"/>
        </w:rPr>
        <w:t xml:space="preserve"> </w:t>
      </w:r>
      <w:r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9970AA">
        <w:rPr>
          <w:shd w:val="clear" w:color="auto" w:fill="FFFFFF"/>
        </w:rPr>
        <w:t xml:space="preserve">, или </w:t>
      </w:r>
      <w:r w:rsidR="009970AA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9970AA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9970AA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lastRenderedPageBreak/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="009970AA">
        <w:rPr>
          <w:rFonts w:eastAsia="Calibri"/>
          <w:lang w:eastAsia="en-US"/>
        </w:rPr>
        <w:t>)</w:t>
      </w:r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950E5B" w:rsidRPr="000A6712" w:rsidRDefault="00950E5B" w:rsidP="009970AA">
      <w:pPr>
        <w:widowControl w:val="0"/>
        <w:spacing w:after="200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</w:t>
      </w:r>
      <w:r w:rsidR="009970AA" w:rsidRPr="009970AA">
        <w:rPr>
          <w:rFonts w:eastAsia="Courier New"/>
          <w:lang w:eastAsia="en-US" w:bidi="ru-RU"/>
        </w:rPr>
        <w:t>;</w:t>
      </w:r>
      <w:r w:rsidRPr="000A6712">
        <w:rPr>
          <w:rFonts w:eastAsia="Courier New"/>
          <w:lang w:eastAsia="en-US" w:bidi="ru-RU"/>
        </w:rPr>
        <w:t xml:space="preserve"> </w:t>
      </w:r>
      <w:r w:rsidRPr="000A6712">
        <w:rPr>
          <w:rFonts w:eastAsia="Courier New"/>
          <w:lang w:eastAsia="en-US" w:bidi="ru-RU"/>
        </w:rPr>
        <w:br/>
      </w: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lastRenderedPageBreak/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</w:t>
      </w:r>
      <w:r w:rsidR="009970AA">
        <w:t>о окончания срока приема заявок</w:t>
      </w:r>
      <w:r w:rsidR="00B24785" w:rsidRPr="00B24785">
        <w:t>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="009970AA">
        <w:rPr>
          <w:rFonts w:eastAsia="Courier New"/>
          <w:lang w:eastAsia="en-US" w:bidi="ru-RU"/>
        </w:rPr>
        <w:t>)</w:t>
      </w:r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</w:t>
      </w:r>
      <w:r w:rsidR="009970AA">
        <w:rPr>
          <w:rFonts w:eastAsia="Courier New"/>
          <w:lang w:eastAsia="en-US" w:bidi="ru-RU"/>
        </w:rPr>
        <w:t>о окончания срока приема заявок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9970A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>.</w:t>
      </w:r>
    </w:p>
    <w:p w:rsidR="00461ECE" w:rsidRPr="00083F00" w:rsidRDefault="00461ECE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="009970AA">
        <w:rPr>
          <w:rFonts w:eastAsia="Calibri"/>
          <w:lang w:eastAsia="en-US"/>
        </w:rPr>
        <w:t>)</w:t>
      </w:r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</w:t>
      </w:r>
      <w:proofErr w:type="gramStart"/>
      <w:r w:rsidRPr="00A07FC9">
        <w:rPr>
          <w:bCs/>
        </w:rPr>
        <w:t>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lastRenderedPageBreak/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9970AA" w:rsidRDefault="009970AA" w:rsidP="00011055">
      <w:pPr>
        <w:autoSpaceDE w:val="0"/>
        <w:autoSpaceDN w:val="0"/>
        <w:adjustRightInd w:val="0"/>
        <w:ind w:firstLine="708"/>
        <w:jc w:val="both"/>
      </w:pP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</w:t>
      </w:r>
      <w:proofErr w:type="gramStart"/>
      <w:r>
        <w:rPr>
          <w:rFonts w:eastAsiaTheme="minorHAnsi"/>
          <w:lang w:eastAsia="en-US"/>
        </w:rPr>
        <w:t>конструкции  аукциона</w:t>
      </w:r>
      <w:proofErr w:type="gramEnd"/>
      <w:r>
        <w:rPr>
          <w:rFonts w:eastAsiaTheme="minorHAnsi"/>
          <w:lang w:eastAsia="en-US"/>
        </w:rPr>
        <w:t>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83F00" w:rsidRDefault="00006A2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2F1C28">
        <w:rPr>
          <w:b/>
          <w:lang w:val="ru-RU"/>
        </w:rPr>
        <w:lastRenderedPageBreak/>
        <w:t xml:space="preserve">                                             </w:t>
      </w:r>
      <w:r w:rsidR="002F1C28" w:rsidRPr="00423B3A">
        <w:rPr>
          <w:b/>
          <w:lang w:val="ru-RU"/>
        </w:rPr>
        <w:t xml:space="preserve"> </w:t>
      </w:r>
      <w:r w:rsidR="00423B3A" w:rsidRPr="00F374AD">
        <w:rPr>
          <w:b/>
          <w:lang w:val="ru-RU"/>
        </w:rPr>
        <w:t xml:space="preserve">                                                                </w:t>
      </w:r>
    </w:p>
    <w:p w:rsidR="0038690F" w:rsidRDefault="00083F0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</w:t>
      </w:r>
      <w:r w:rsidR="007E4D5C">
        <w:rPr>
          <w:b/>
          <w:lang w:val="ru-RU"/>
        </w:rPr>
        <w:t xml:space="preserve">   </w:t>
      </w:r>
    </w:p>
    <w:p w:rsidR="008B1701" w:rsidRPr="000878F6" w:rsidRDefault="0038690F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                                        </w:t>
      </w:r>
      <w:r w:rsidR="007E4D5C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   </w:t>
      </w:r>
      <w:r w:rsidR="007975A6">
        <w:rPr>
          <w:b/>
          <w:lang w:val="ru-RU"/>
        </w:rPr>
        <w:t xml:space="preserve">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574CC4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или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7975A6">
        <w:rPr>
          <w:bCs/>
        </w:rPr>
        <w:t>30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7E4D5C">
        <w:rPr>
          <w:bCs/>
        </w:rPr>
        <w:t>1</w:t>
      </w:r>
      <w:r w:rsidR="00951C20">
        <w:rPr>
          <w:bCs/>
        </w:rPr>
        <w:t>.</w:t>
      </w:r>
      <w:r w:rsidR="00951C20" w:rsidRPr="00951C20">
        <w:rPr>
          <w:bCs/>
        </w:rPr>
        <w:t>20</w:t>
      </w:r>
      <w:r w:rsidR="007E4D5C">
        <w:rPr>
          <w:bCs/>
        </w:rPr>
        <w:t>20</w:t>
      </w:r>
      <w:r w:rsidRPr="004B6E67">
        <w:rPr>
          <w:bCs/>
        </w:rPr>
        <w:t xml:space="preserve">, на право заключения договора на установку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882031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38690F" w:rsidRDefault="0038690F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находящемся в муниципальной собственности, либо на земельном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участке, государственная собственность на который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F2D" w:rsidRDefault="00E61F2D" w:rsidP="00E61F2D">
      <w:pPr>
        <w:pStyle w:val="ConsPlusNormal"/>
        <w:jc w:val="both"/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>"___" ____________ г.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Департамент  экономики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и  промышленной  политики  администрации города Перми,     именуемый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proofErr w:type="gramStart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1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размещения: ___________________________________________________________;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9A1D48" w:rsidRDefault="00E61F2D" w:rsidP="00E61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F2D" w:rsidRPr="00E61F2D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F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F2D" w:rsidRPr="00E61F2D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установлены приложением ______ к настоящему Договору*.</w:t>
      </w:r>
    </w:p>
    <w:p w:rsidR="00E61F2D" w:rsidRPr="00856E44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>до __________, а в части исполнения обязательств по оплате и демонтажу рекламной конструкции - до их полного исполнения.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>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фото-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– по иску органа, осуществляющего контроль за безопасностью движения транспорта.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(указанные) в Договоре.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jc w:val="both"/>
      </w:pPr>
      <w:r w:rsidRPr="00C1080F">
        <w:lastRenderedPageBreak/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Приложение 1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F2D" w:rsidRPr="00572A67" w:rsidRDefault="00E61F2D" w:rsidP="00E61F2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4. Фундамент: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Конструктивный чертеж: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9298D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9ACD4C" wp14:editId="39C2CF40">
            <wp:extent cx="6248400" cy="4114800"/>
            <wp:effectExtent l="19050" t="19050" r="19050" b="1905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2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F2D" w:rsidRPr="00F949AE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F2D" w:rsidRPr="00E9298D" w:rsidRDefault="00E61F2D" w:rsidP="00E61F2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бумажного </w:t>
      </w:r>
      <w:r>
        <w:t>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3.2.</w:t>
      </w:r>
      <w:r>
        <w:t xml:space="preserve"> переклейка винилового 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декорирован и окрашен</w:t>
      </w:r>
      <w:r w:rsidRPr="00E9298D">
        <w:t xml:space="preserve"> в установленный цветовой стандарт</w:t>
      </w:r>
      <w:r>
        <w:t>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lastRenderedPageBreak/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F2D" w:rsidRDefault="00E61F2D" w:rsidP="00E61F2D">
      <w:r>
        <w:rPr>
          <w:noProof/>
        </w:rPr>
        <w:drawing>
          <wp:anchor distT="0" distB="0" distL="114300" distR="114300" simplePos="0" relativeHeight="251662336" behindDoc="0" locked="0" layoutInCell="1" allowOverlap="1" wp14:anchorId="2F6BF990" wp14:editId="5C51D79C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F2D" w:rsidRPr="00E9298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Default="00E61F2D" w:rsidP="00E61F2D"/>
    <w:p w:rsidR="00E61F2D" w:rsidRDefault="00E61F2D" w:rsidP="00E61F2D">
      <w:r>
        <w:tab/>
      </w:r>
    </w:p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3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both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двух труб прямоугольного, квадратного или круглого сечения;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</w:t>
      </w:r>
      <w:proofErr w:type="gramEnd"/>
      <w:r w:rsidRPr="009A1D48">
        <w:rPr>
          <w:rFonts w:eastAsia="Calibri"/>
        </w:rPr>
        <w:t xml:space="preserve">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Default="00E61F2D" w:rsidP="00E61F2D">
      <w:r>
        <w:rPr>
          <w:noProof/>
        </w:rPr>
        <w:drawing>
          <wp:inline distT="0" distB="0" distL="0" distR="0" wp14:anchorId="23B305EB" wp14:editId="25F6CA4F">
            <wp:extent cx="6276975" cy="401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4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F2D" w:rsidRPr="009A1D48" w:rsidRDefault="00E61F2D" w:rsidP="00E61F2D">
      <w:pPr>
        <w:pStyle w:val="ab"/>
        <w:contextualSpacing/>
        <w:rPr>
          <w:bCs/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может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8. Конструктивный чертеж: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267ED2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A2FC8DD" wp14:editId="5639ABE3">
            <wp:extent cx="6305550" cy="406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>
      <w:pPr>
        <w:pStyle w:val="ab"/>
        <w:contextualSpacing/>
        <w:rPr>
          <w:bCs/>
          <w:sz w:val="28"/>
          <w:szCs w:val="28"/>
        </w:rPr>
      </w:pPr>
    </w:p>
    <w:p w:rsidR="00E61F2D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5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9A1D48">
        <w:rPr>
          <w:rFonts w:eastAsia="Calibri"/>
        </w:rPr>
        <w:t>цветового  стандарта</w:t>
      </w:r>
      <w:proofErr w:type="gramEnd"/>
      <w:r w:rsidRPr="009A1D48">
        <w:rPr>
          <w:rFonts w:eastAsia="Calibri"/>
        </w:rPr>
        <w:t xml:space="preserve"> – RAL 7035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Default="00E61F2D" w:rsidP="00E61F2D">
      <w:pPr>
        <w:contextualSpacing/>
      </w:pPr>
    </w:p>
    <w:p w:rsidR="00E61F2D" w:rsidRDefault="00E61F2D" w:rsidP="00E61F2D">
      <w:r>
        <w:rPr>
          <w:noProof/>
        </w:rPr>
        <w:drawing>
          <wp:inline distT="0" distB="0" distL="0" distR="0" wp14:anchorId="52AD9B76" wp14:editId="6931F11B">
            <wp:extent cx="6305550" cy="402907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6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>блен или декорирован и окрашен</w:t>
      </w:r>
      <w:r w:rsidRPr="006B6CDE">
        <w:rPr>
          <w:rFonts w:eastAsia="Calibri"/>
        </w:rPr>
        <w:t xml:space="preserve"> в установленный цветовой стандарт.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6B6CDE">
        <w:rPr>
          <w:rFonts w:eastAsia="Calibri"/>
        </w:rPr>
        <w:t>цветового  стандарта</w:t>
      </w:r>
      <w:proofErr w:type="gramEnd"/>
      <w:r w:rsidRPr="006B6CDE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F2D" w:rsidRPr="006B6CDE" w:rsidRDefault="00E61F2D" w:rsidP="00E61F2D">
      <w:pPr>
        <w:contextualSpacing/>
      </w:pPr>
    </w:p>
    <w:p w:rsidR="00E61F2D" w:rsidRPr="006B6CDE" w:rsidRDefault="00E61F2D" w:rsidP="00E61F2D">
      <w:r>
        <w:rPr>
          <w:noProof/>
        </w:rPr>
        <w:drawing>
          <wp:inline distT="0" distB="0" distL="0" distR="0" wp14:anchorId="4B9E1964" wp14:editId="0B40F835">
            <wp:extent cx="6305550" cy="398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7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F2D" w:rsidRPr="006B6CDE" w:rsidRDefault="00E61F2D" w:rsidP="00E61F2D">
      <w:pPr>
        <w:pStyle w:val="ab"/>
        <w:contextualSpacing/>
        <w:jc w:val="both"/>
        <w:rPr>
          <w:sz w:val="28"/>
          <w:szCs w:val="28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>размер информационного поля определяется по индивидуальному проекту;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индивидуальному проекту.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декорирован и окрашен</w:t>
      </w:r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5.3. допускается установка рекламной конструкции без фундамента, если это предусмотрено индивидуальным проектом.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8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F2D" w:rsidRPr="00AF0495" w:rsidRDefault="00E61F2D" w:rsidP="00E61F2D">
      <w:pPr>
        <w:pStyle w:val="ab"/>
        <w:contextualSpacing/>
        <w:jc w:val="both"/>
        <w:rPr>
          <w:bCs/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размер1,3*0,4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выполнена из трубы круглого </w:t>
      </w:r>
      <w:r>
        <w:rPr>
          <w:rFonts w:eastAsia="Calibri"/>
        </w:rPr>
        <w:t>сечения;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конструктивный узел соединения опорной стойки с фундаментом может быть заглублен или декорирован и окрашен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Pr="00A30CEA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t>8.Конструктивный чертеж:</w:t>
      </w:r>
    </w:p>
    <w:p w:rsidR="00E61F2D" w:rsidRDefault="00E61F2D" w:rsidP="00E61F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BD93" wp14:editId="2C6A942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838C3" id="Прямоугольник 10" o:spid="_x0000_s1026" style="position:absolute;margin-left:456.45pt;margin-top:306.55pt;width:43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joQIAAA0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" stroked="f"/>
            </w:pict>
          </mc:Fallback>
        </mc:AlternateContent>
      </w:r>
      <w:r>
        <w:rPr>
          <w:noProof/>
        </w:rPr>
        <w:drawing>
          <wp:inline distT="0" distB="0" distL="0" distR="0" wp14:anchorId="0FC1AD34" wp14:editId="141E56FF">
            <wp:extent cx="6248400" cy="381952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9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contextualSpacing/>
        <w:rPr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F2D" w:rsidRPr="00AF0495" w:rsidRDefault="00E61F2D" w:rsidP="00E61F2D">
      <w:pPr>
        <w:pStyle w:val="ab"/>
        <w:contextualSpacing/>
        <w:rPr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F2D" w:rsidRPr="001B2F1A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F2D" w:rsidRPr="00057B38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4FF5C98" wp14:editId="63900D5B">
            <wp:extent cx="4579033" cy="2926080"/>
            <wp:effectExtent l="0" t="0" r="0" b="762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10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выполнена из трубы круглого сечения;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lastRenderedPageBreak/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F2D" w:rsidRPr="0078400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27D3"/>
    <w:rsid w:val="00053E45"/>
    <w:rsid w:val="00054B0E"/>
    <w:rsid w:val="000625BB"/>
    <w:rsid w:val="000646A5"/>
    <w:rsid w:val="0006759B"/>
    <w:rsid w:val="00071AD9"/>
    <w:rsid w:val="0007474C"/>
    <w:rsid w:val="000820CD"/>
    <w:rsid w:val="00083F00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8690F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17657"/>
    <w:rsid w:val="0042173C"/>
    <w:rsid w:val="00423B3A"/>
    <w:rsid w:val="00427D11"/>
    <w:rsid w:val="00432419"/>
    <w:rsid w:val="004427C6"/>
    <w:rsid w:val="0045561F"/>
    <w:rsid w:val="00456E23"/>
    <w:rsid w:val="00461B36"/>
    <w:rsid w:val="00461ECE"/>
    <w:rsid w:val="00462C7B"/>
    <w:rsid w:val="00467681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4CC4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052F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975A6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E4D5C"/>
    <w:rsid w:val="007F5ECA"/>
    <w:rsid w:val="00803B45"/>
    <w:rsid w:val="00803E7F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2031"/>
    <w:rsid w:val="00884489"/>
    <w:rsid w:val="00884604"/>
    <w:rsid w:val="00884ABA"/>
    <w:rsid w:val="00892F0F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970AA"/>
    <w:rsid w:val="009A012C"/>
    <w:rsid w:val="009C3BB0"/>
    <w:rsid w:val="009D6917"/>
    <w:rsid w:val="009D7371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24785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00E70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B6FC7"/>
    <w:rsid w:val="00EC7B9D"/>
    <w:rsid w:val="00ED3F64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177CC"/>
    <w:rsid w:val="00F20137"/>
    <w:rsid w:val="00F24AD9"/>
    <w:rsid w:val="00F25B1F"/>
    <w:rsid w:val="00F275AD"/>
    <w:rsid w:val="00F3601B"/>
    <w:rsid w:val="00F374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8335C1"/>
  <w15:docId w15:val="{DAE082EE-8A2B-40B9-A250-EADE73DF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7" Type="http://schemas.openxmlformats.org/officeDocument/2006/relationships/hyperlink" Target="consultantplus://offline/ref=DBAD475E26847350C438127800CA62FFE0486D5D64C4FC9498DD6B503862BAD7FB797B32545C7BE567FC30BEF6BBI6G" TargetMode="External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AAB9-B298-40E3-B3C4-272C2FB5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59</Pages>
  <Words>15641</Words>
  <Characters>89160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141</cp:revision>
  <cp:lastPrinted>2018-12-25T07:54:00Z</cp:lastPrinted>
  <dcterms:created xsi:type="dcterms:W3CDTF">2018-08-27T10:11:00Z</dcterms:created>
  <dcterms:modified xsi:type="dcterms:W3CDTF">2019-12-23T09:42:00Z</dcterms:modified>
</cp:coreProperties>
</file>