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447C8D">
      <w:pPr>
        <w:autoSpaceDE w:val="0"/>
        <w:autoSpaceDN w:val="0"/>
        <w:adjustRightInd w:val="0"/>
        <w:spacing w:after="0" w:line="240" w:lineRule="exact"/>
        <w:contextualSpacing/>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типовое архитектурное решение внешнего вида Объекта: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w:t>
      </w:r>
      <w:r w:rsidR="00593F98">
        <w:rPr>
          <w:rFonts w:ascii="Times New Roman" w:hAnsi="Times New Roman" w:cs="Times New Roman"/>
          <w:color w:val="000000" w:themeColor="text1"/>
          <w:sz w:val="20"/>
          <w:szCs w:val="20"/>
        </w:rPr>
        <w:t xml:space="preserve">ношении сезонных (летних) кафе </w:t>
      </w:r>
      <w:r w:rsidRPr="00AA0208">
        <w:rPr>
          <w:rFonts w:ascii="Times New Roman" w:hAnsi="Times New Roman" w:cs="Times New Roman"/>
          <w:color w:val="000000" w:themeColor="text1"/>
          <w:sz w:val="20"/>
          <w:szCs w:val="20"/>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lastRenderedPageBreak/>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lastRenderedPageBreak/>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w:t>
      </w:r>
      <w:r w:rsidR="00593F98">
        <w:rPr>
          <w:rFonts w:ascii="Times New Roman" w:hAnsi="Times New Roman" w:cs="Times New Roman"/>
          <w:color w:val="000000" w:themeColor="text1"/>
          <w:sz w:val="20"/>
          <w:szCs w:val="20"/>
        </w:rPr>
        <w:t>тношении сезонных (летних) кафе</w:t>
      </w:r>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8B0D5F" w:rsidRDefault="008B0D5F"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lastRenderedPageBreak/>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типовое архитектурное решение внешнего вида </w:t>
      </w:r>
      <w:proofErr w:type="gramStart"/>
      <w:r w:rsidRPr="00AA0208">
        <w:rPr>
          <w:rFonts w:ascii="Times New Roman" w:hAnsi="Times New Roman" w:cs="Times New Roman"/>
          <w:sz w:val="20"/>
          <w:szCs w:val="20"/>
        </w:rPr>
        <w:t>Объекта</w:t>
      </w:r>
      <w:r w:rsidR="00447C8D">
        <w:rPr>
          <w:rFonts w:ascii="Times New Roman" w:hAnsi="Times New Roman" w:cs="Times New Roman"/>
          <w:sz w:val="20"/>
          <w:szCs w:val="20"/>
        </w:rPr>
        <w:t xml:space="preserve"> :</w:t>
      </w:r>
      <w:proofErr w:type="gramEnd"/>
      <w:r w:rsidR="00447C8D">
        <w:rPr>
          <w:rFonts w:ascii="Times New Roman" w:hAnsi="Times New Roman" w:cs="Times New Roman"/>
          <w:sz w:val="20"/>
          <w:szCs w:val="20"/>
        </w:rPr>
        <w:t xml:space="preserve"> _______________________</w:t>
      </w:r>
      <w:r w:rsidRPr="00AA0208">
        <w:rPr>
          <w:rFonts w:ascii="Times New Roman" w:hAnsi="Times New Roman" w:cs="Times New Roman"/>
          <w:sz w:val="20"/>
          <w:szCs w:val="20"/>
        </w:rPr>
        <w:t>.</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3B2CEE"/>
    <w:rsid w:val="004131E2"/>
    <w:rsid w:val="00447C8D"/>
    <w:rsid w:val="00593F98"/>
    <w:rsid w:val="007072CF"/>
    <w:rsid w:val="008B0D5F"/>
    <w:rsid w:val="009207D4"/>
    <w:rsid w:val="00AA0208"/>
    <w:rsid w:val="00D14A00"/>
    <w:rsid w:val="00E0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39412-1575-4029-A47E-9EC56F8D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2020-08-31T09:18:00Z</dcterms:created>
  <dcterms:modified xsi:type="dcterms:W3CDTF">2020-08-31T09:18:00Z</dcterms:modified>
</cp:coreProperties>
</file>