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922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0"/>
        <w:jc w:val="both"/>
        <w:spacing w:line="240" w:lineRule="exact"/>
        <w:tabs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4" w:firstLine="6"/>
        <w:spacing w:line="240" w:lineRule="exact"/>
        <w:tabs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tabs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tabs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tabs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16.08.2024 № 059-19-01-11-85</w:t>
      </w:r>
      <w:r>
        <w:rPr>
          <w:sz w:val="28"/>
          <w:szCs w:val="28"/>
        </w:rPr>
      </w:r>
    </w:p>
    <w:p>
      <w:pPr>
        <w:ind w:left="283"/>
        <w:jc w:val="center"/>
        <w:tabs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"/>
        <w:jc w:val="center"/>
        <w:tabs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19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.09.2024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электронных аукционов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922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на право заключения договоров аренды земельных участков (далее – аукцион) проводятся в соответствии со статьями 39.11, 39.12, 39.13 Земельного кодекса Российской Федерации, Положением о департаменте имущественных отношений админи</w:t>
      </w:r>
      <w:r>
        <w:rPr>
          <w:shd w:val="clear" w:color="auto" w:fill="ffffff"/>
        </w:rPr>
        <w:t xml:space="preserve">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</w:t>
      </w:r>
      <w:r>
        <w:rPr>
          <w:shd w:val="clear" w:color="auto" w:fill="ffffff"/>
        </w:rPr>
        <w:t xml:space="preserve">альной собственности города Перми,                   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</w:t>
      </w:r>
      <w:r>
        <w:rPr>
          <w:shd w:val="clear" w:color="auto" w:fill="ffffff"/>
        </w:rPr>
        <w:t xml:space="preserve">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                         и участков, собственность на которые не разграничена» (далее – комиссия), </w:t>
      </w:r>
      <w:r>
        <w:rPr>
          <w:rFonts w:eastAsia="Courier New"/>
          <w:color w:val="000000"/>
          <w:lang w:bidi="ru-RU"/>
        </w:rPr>
        <w:t xml:space="preserve">р</w:t>
      </w:r>
      <w:r>
        <w:rPr>
          <w:shd w:val="clear" w:color="auto" w:fill="ffffff"/>
        </w:rPr>
        <w:t xml:space="preserve">егламентом электронной площадки АО «Сбербанк-АСТ»</w:t>
      </w:r>
      <w: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567"/>
        <w:jc w:val="both"/>
        <w:tabs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bCs/>
          <w:lang w:val="en-US"/>
        </w:rPr>
        <w:t xml:space="preserve">dzo</w:t>
      </w:r>
      <w:r>
        <w:rPr>
          <w:bCs/>
        </w:rPr>
        <w:t xml:space="preserve">@</w:t>
      </w:r>
      <w:r>
        <w:rPr>
          <w:bCs/>
          <w:lang w:val="en-US"/>
        </w:rPr>
        <w:t xml:space="preserve">gorodperm</w:t>
      </w:r>
      <w:r>
        <w:rPr>
          <w:bCs/>
        </w:rPr>
        <w:t xml:space="preserve">.</w:t>
      </w:r>
      <w:r>
        <w:rPr>
          <w:bCs/>
          <w:lang w:val="en-US"/>
        </w:rPr>
        <w:t xml:space="preserve">ru</w:t>
      </w:r>
      <w:r>
        <w:rPr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567"/>
        <w:jc w:val="both"/>
        <w:tabs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департ</w:t>
      </w:r>
      <w:r>
        <w:rPr>
          <w:bCs/>
        </w:rPr>
        <w:t xml:space="preserve">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 </w:t>
      </w:r>
      <w:r>
        <w:rPr>
          <w:bCs/>
          <w:lang w:val="en-US"/>
        </w:rPr>
        <w:t xml:space="preserve">dio</w:t>
      </w:r>
      <w:r>
        <w:rPr>
          <w:bCs/>
        </w:rPr>
        <w:t xml:space="preserve">@</w:t>
      </w:r>
      <w:r>
        <w:rPr>
          <w:bCs/>
          <w:lang w:val="en-US"/>
        </w:rPr>
        <w:t xml:space="preserve">gorodperm</w:t>
      </w:r>
      <w:r>
        <w:rPr>
          <w:bCs/>
        </w:rPr>
        <w:t xml:space="preserve">.</w:t>
      </w:r>
      <w:r>
        <w:rPr>
          <w:bCs/>
          <w:lang w:val="en-US"/>
        </w:rPr>
        <w:t xml:space="preserve">ru</w:t>
      </w:r>
      <w:r>
        <w:rPr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567"/>
        <w:jc w:val="both"/>
        <w:tabs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 </w:t>
      </w:r>
      <w:r>
        <w:rPr>
          <w:sz w:val="24"/>
          <w:szCs w:val="24"/>
        </w:rPr>
        <w:t xml:space="preserve">16.08.2024 № 059-19-01-11-85</w:t>
      </w:r>
      <w:r>
        <w:rPr>
          <w:bCs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932"/>
        <w:ind w:left="-567" w:firstLine="567"/>
        <w:jc w:val="both"/>
        <w:spacing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910"/>
            <w:color w:val="000000"/>
            <w:sz w:val="24"/>
            <w:szCs w:val="24"/>
            <w:u w:val="none"/>
          </w:rPr>
          <w:t xml:space="preserve">www</w:t>
        </w:r>
        <w:r>
          <w:rPr>
            <w:rStyle w:val="91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910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91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910"/>
            <w:color w:val="000000"/>
            <w:sz w:val="24"/>
            <w:szCs w:val="24"/>
            <w:u w:val="none"/>
          </w:rPr>
          <w:t xml:space="preserve">gov</w:t>
        </w:r>
        <w:r>
          <w:rPr>
            <w:rStyle w:val="91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910"/>
            <w:color w:val="000000"/>
            <w:sz w:val="24"/>
            <w:szCs w:val="24"/>
            <w:u w:val="none"/>
          </w:rPr>
          <w:t xml:space="preserve">ru</w:t>
        </w:r>
      </w:hyperlink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tooltip="http://www.gorodperm.ru/" w:history="1">
        <w:r>
          <w:rPr>
            <w:rStyle w:val="910"/>
            <w:color w:val="000000"/>
            <w:sz w:val="24"/>
            <w:szCs w:val="24"/>
            <w:u w:val="none"/>
          </w:rPr>
          <w:t xml:space="preserve">www</w:t>
        </w:r>
        <w:r>
          <w:rPr>
            <w:rStyle w:val="91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910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91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910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r>
        <w:rPr>
          <w:sz w:val="24"/>
          <w:szCs w:val="24"/>
        </w:rPr>
      </w:r>
      <w:hyperlink r:id="rId13" w:tooltip="http://utp.sberbank-ast.ru" w:history="1">
        <w:r>
          <w:rPr>
            <w:rStyle w:val="910"/>
            <w:sz w:val="24"/>
            <w:szCs w:val="24"/>
          </w:rPr>
          <w:t xml:space="preserve">http</w:t>
        </w:r>
        <w:r>
          <w:rPr>
            <w:rStyle w:val="910"/>
            <w:sz w:val="24"/>
            <w:szCs w:val="24"/>
            <w:lang w:val="ru-RU"/>
          </w:rPr>
          <w:t xml:space="preserve">://</w:t>
        </w:r>
        <w:r>
          <w:rPr>
            <w:rStyle w:val="910"/>
            <w:sz w:val="24"/>
            <w:szCs w:val="24"/>
          </w:rPr>
          <w:t xml:space="preserve">utp</w:t>
        </w:r>
        <w:r>
          <w:rPr>
            <w:rStyle w:val="910"/>
            <w:sz w:val="24"/>
            <w:szCs w:val="24"/>
            <w:lang w:val="ru-RU"/>
          </w:rPr>
          <w:t xml:space="preserve">.</w:t>
        </w:r>
        <w:r>
          <w:rPr>
            <w:rStyle w:val="910"/>
            <w:sz w:val="24"/>
            <w:szCs w:val="24"/>
          </w:rPr>
          <w:t xml:space="preserve">sberbank</w:t>
        </w:r>
        <w:r>
          <w:rPr>
            <w:rStyle w:val="910"/>
            <w:sz w:val="24"/>
            <w:szCs w:val="24"/>
            <w:lang w:val="ru-RU"/>
          </w:rPr>
          <w:t xml:space="preserve">-</w:t>
        </w:r>
        <w:r>
          <w:rPr>
            <w:rStyle w:val="910"/>
            <w:sz w:val="24"/>
            <w:szCs w:val="24"/>
          </w:rPr>
          <w:t xml:space="preserve">ast</w:t>
        </w:r>
        <w:r>
          <w:rPr>
            <w:rStyle w:val="910"/>
            <w:sz w:val="24"/>
            <w:szCs w:val="24"/>
            <w:lang w:val="ru-RU"/>
          </w:rPr>
          <w:t xml:space="preserve">.</w:t>
        </w:r>
        <w:r>
          <w:rPr>
            <w:rStyle w:val="910"/>
            <w:sz w:val="24"/>
            <w:szCs w:val="24"/>
          </w:rPr>
          <w:t xml:space="preserve">ru</w:t>
        </w:r>
        <w:r>
          <w:rPr>
            <w:rStyle w:val="910"/>
            <w:bCs/>
            <w:sz w:val="24"/>
            <w:szCs w:val="24"/>
            <w:lang w:val="ru-RU" w:bidi="ru-RU"/>
          </w:rPr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" w:history="1">
        <w:r>
          <w:rPr>
            <w:rStyle w:val="910"/>
          </w:rPr>
          <w:t xml:space="preserve">http://utp.sberbank-ast.ru</w:t>
        </w:r>
        <w:r>
          <w:rPr>
            <w:rStyle w:val="910"/>
            <w:rFonts w:eastAsia="Courier New"/>
            <w:lang w:bidi="ru-RU"/>
          </w:rPr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contextualSpacing/>
        <w:ind w:left="-567" w:firstLine="567"/>
        <w:jc w:val="both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contextualSpacing/>
        <w:ind w:left="-567" w:firstLine="567"/>
        <w:jc w:val="both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</w:r>
      <w:hyperlink r:id="rId15" w:tooltip="https://utp.sberbank-ast.ru/Main/Notice/988/Reglament" w:history="1">
        <w:r>
          <w:rPr>
            <w:rStyle w:val="910"/>
            <w:rFonts w:eastAsia="Courier New"/>
            <w:lang w:bidi="ru-RU"/>
          </w:rPr>
          <w:t xml:space="preserve">https://utp.sberbank-ast.ru/Main/Notice/988/Reglament</w:t>
        </w:r>
        <w:r>
          <w:rPr>
            <w:rStyle w:val="910"/>
            <w:rFonts w:eastAsia="Courier New"/>
            <w:lang w:bidi="ru-RU"/>
          </w:rPr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contextualSpacing/>
        <w:ind w:left="-567" w:firstLine="567"/>
        <w:jc w:val="both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</w:r>
      <w:hyperlink r:id="rId16" w:tooltip="https://utp.sberbank-ast.ru/AP/Notice/1027/Instructions" w:history="1">
        <w:r>
          <w:rPr>
            <w:rStyle w:val="910"/>
            <w:rFonts w:eastAsia="Calibri"/>
            <w:lang w:eastAsia="en-US"/>
          </w:rPr>
          <w:t xml:space="preserve">https://utp.sberbank-ast.ru/AP/Notice/1027/Instructions</w:t>
        </w:r>
        <w:r>
          <w:rPr>
            <w:rStyle w:val="910"/>
            <w:rFonts w:eastAsia="Calibri"/>
            <w:lang w:eastAsia="en-US"/>
          </w:rPr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contextualSpacing/>
        <w:ind w:left="-567" w:firstLine="567"/>
        <w:jc w:val="both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r>
        <w:rPr>
          <w:bCs/>
          <w:lang w:eastAsia="en-US" w:bidi="ru-RU"/>
        </w:rPr>
      </w:r>
      <w:hyperlink r:id="rId17" w:tooltip="https://utp.sberbank-ast.ru/AP/Notice/652/Instructions" w:history="1">
        <w:r>
          <w:rPr>
            <w:rStyle w:val="910"/>
            <w:bCs/>
            <w:lang w:eastAsia="en-US" w:bidi="ru-RU"/>
          </w:rPr>
          <w:t xml:space="preserve">https://utp.sberbank-ast.ru/AP/Notice/652/Instructions</w:t>
        </w:r>
        <w:r>
          <w:rPr>
            <w:rStyle w:val="910"/>
            <w:bCs/>
            <w:lang w:eastAsia="en-US" w:bidi="ru-RU"/>
          </w:rPr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участка: </w:t>
      </w:r>
      <w:r>
        <w:rPr>
          <w:bCs/>
        </w:rPr>
        <w:t xml:space="preserve">департамент земельных отношений администрации города Перми, 614015, г. Пермь, ул.Сибирская,15, телефон 212-61-90 (отдел договоров).</w:t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709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22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-263"/>
        <w:tabs>
          <w:tab w:val="left" w:pos="5103" w:leader="none"/>
        </w:tabs>
        <w:rPr>
          <w:sz w:val="20"/>
          <w:szCs w:val="20"/>
        </w:rPr>
      </w:pPr>
      <w:r>
        <w:rPr>
          <w:b/>
          <w:lang w:val="en-US"/>
        </w:rPr>
        <w:t xml:space="preserve">Лот № 1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150" w:type="pct"/>
        <w:tblInd w:w="-606" w:type="dxa"/>
        <w:tblLayout w:type="fixed"/>
        <w:tblLook w:val="04A0" w:firstRow="1" w:lastRow="0" w:firstColumn="1" w:lastColumn="0" w:noHBand="0" w:noVBand="1"/>
      </w:tblPr>
      <w:tblGrid>
        <w:gridCol w:w="363"/>
        <w:gridCol w:w="4938"/>
        <w:gridCol w:w="5140"/>
      </w:tblGrid>
      <w:tr>
        <w:tblPrEx/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органа местного самоуправления,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принявшего решение о проведении аукциона,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263"/>
            </w:pPr>
            <w:r>
              <w:rPr>
                <w:sz w:val="20"/>
                <w:szCs w:val="20"/>
              </w:rPr>
              <w:t xml:space="preserve">реквизиты указанного решения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Администрация города Перми, р</w:t>
            </w:r>
            <w:r>
              <w:rPr>
                <w:sz w:val="20"/>
                <w:szCs w:val="20"/>
              </w:rPr>
              <w:t xml:space="preserve">аспоряжение начальника департамента земельных отношений администрации города Перми от 02 мая 2024 г.                  № 21-01-03-3971 «О проведении аукциона на право заключения договора аренды земельного участка                   в Орджоникидзевском районе</w:t>
            </w:r>
            <w:r>
              <w:rPr>
                <w:sz w:val="20"/>
                <w:szCs w:val="20"/>
              </w:rPr>
              <w:t xml:space="preserve"> города Перми» </w:t>
            </w:r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</w:pPr>
            <w:r>
              <w:rPr>
                <w:sz w:val="20"/>
                <w:szCs w:val="20"/>
              </w:rPr>
              <w:t xml:space="preserve">Предмет аукциона на право заключения договора</w:t>
            </w:r>
            <w:r>
              <w:rPr>
                <w:sz w:val="20"/>
                <w:szCs w:val="20"/>
              </w:rPr>
              <w:br w:type="textWrapping" w:clear="all"/>
              <w:t xml:space="preserve">аренды земельного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77"/>
              <w:jc w:val="both"/>
            </w:pPr>
            <w:r>
              <w:rPr>
                <w:sz w:val="20"/>
                <w:szCs w:val="20"/>
              </w:rPr>
              <w:t xml:space="preserve">местоположение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Российская Федерация, край Пермский, городской округ Пермский, город Пермь, улица Липовая, з/у 25</w:t>
            </w:r>
            <w:r/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77"/>
            </w:pPr>
            <w:r>
              <w:rPr>
                <w:sz w:val="20"/>
                <w:szCs w:val="20"/>
                <w:lang w:val="en-US"/>
              </w:rPr>
              <w:t xml:space="preserve">площадь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963 кв. м</w:t>
            </w:r>
            <w:r/>
          </w:p>
        </w:tc>
      </w:tr>
      <w:tr>
        <w:tblPrEx/>
        <w:trPr>
          <w:trHeight w:val="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77"/>
            </w:pPr>
            <w:r>
              <w:rPr>
                <w:sz w:val="20"/>
                <w:szCs w:val="20"/>
                <w:lang w:val="en-US"/>
              </w:rPr>
              <w:t xml:space="preserve">кадастровый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59:01:3810273:134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84"/>
            </w:pPr>
            <w:r>
              <w:rPr>
                <w:sz w:val="20"/>
              </w:rPr>
              <w:t xml:space="preserve">права на земельный участок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ind w:right="-263"/>
              <w:jc w:val="both"/>
            </w:pPr>
            <w:r>
              <w:rPr>
                <w:sz w:val="20"/>
                <w:lang w:val="en-US"/>
              </w:rPr>
              <w:t xml:space="preserve">государственная собственность не разграничена</w:t>
            </w:r>
            <w:r/>
          </w:p>
        </w:tc>
      </w:tr>
      <w:tr>
        <w:tblPrEx/>
        <w:trPr>
          <w:trHeight w:val="2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77"/>
            </w:pPr>
            <w:r>
              <w:rPr>
                <w:sz w:val="20"/>
                <w:szCs w:val="20"/>
                <w:lang w:val="en-US"/>
              </w:rPr>
              <w:t xml:space="preserve">разрешенное использование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lang w:val="en-US"/>
              </w:rPr>
              <w:t xml:space="preserve">магазины (4.4), бытовое обслуживание (3.3)</w:t>
            </w:r>
            <w:r/>
          </w:p>
        </w:tc>
      </w:tr>
      <w:tr>
        <w:tblPrEx/>
        <w:trPr>
          <w:trHeight w:val="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84"/>
            </w:pPr>
            <w:r>
              <w:rPr>
                <w:sz w:val="20"/>
              </w:rPr>
              <w:t xml:space="preserve">принадлежность к определенной  </w:t>
            </w:r>
            <w:r>
              <w:rPr>
                <w:sz w:val="20"/>
              </w:rPr>
              <w:br w:type="textWrapping" w:clear="all"/>
              <w:t xml:space="preserve">категории земель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ind w:right="-263"/>
              <w:jc w:val="both"/>
            </w:pPr>
            <w:r>
              <w:rPr>
                <w:sz w:val="20"/>
                <w:szCs w:val="20"/>
              </w:rPr>
              <w:t xml:space="preserve">земли населенных пунктов</w:t>
            </w:r>
            <w:r/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77"/>
            </w:pPr>
            <w:r>
              <w:rPr>
                <w:sz w:val="20"/>
              </w:rPr>
              <w:t xml:space="preserve">ограничение прав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прав подробно описаны: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выписке из Единого государственного реестра недвижимости об объекте недвижимости                            от 04.06.2024г. № КУВИ-001/2024-150568308;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градостроительном плане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31.01.2024 № РФ-59-2-03-0-00-2024-0177-0 (далее – ГПЗУ).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со сведениями из ЕГРН в границах Участка расположены объекты капитального строительства с кадастровыми номерами: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59:01:000000</w:t>
            </w:r>
            <w:r>
              <w:rPr>
                <w:sz w:val="20"/>
                <w:szCs w:val="20"/>
              </w:rPr>
              <w:t xml:space="preserve">0:77564 - сооружение (электросетевой комплекс «Подстанция 110/6 кВ «Северная» с линиями электропередачи, трансформаторными подстанциями                      и распределительными пунктами»), находящееся                      в собственности ОАО «МРСК Урала»;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59:01:0000000:81123 – сооружение коммунального хозяйства, технологический комплекс в составе:                  1. газопровод высокого давления, протяженност</w:t>
            </w:r>
            <w:r>
              <w:rPr>
                <w:sz w:val="20"/>
                <w:szCs w:val="20"/>
              </w:rPr>
              <w:t xml:space="preserve">ью 11 п.м., газопровод среднего давления, протяженностью 1331 п.м., газопровод низкого давления, протяженностью 5477 п.м., 2. 1-этажное здание газорегуляторного пункта, площадью 15.8 кв. м., находящееся в собственности АО «Газпром газораспределение Пермь».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пункту 8 статьи 39.11 Земельного кодекса Российской Федерации (далее – Кодекс) земельный участок, нахо</w:t>
            </w:r>
            <w:r>
              <w:rPr>
                <w:sz w:val="20"/>
                <w:szCs w:val="20"/>
              </w:rPr>
              <w:t xml:space="preserve">дящийся в государственной 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</w:t>
            </w:r>
            <w:r>
              <w:rPr>
                <w:sz w:val="20"/>
                <w:szCs w:val="20"/>
              </w:rPr>
              <w:t xml:space="preserve">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Кодекса.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Учитыва</w:t>
            </w:r>
            <w:r>
              <w:rPr>
                <w:sz w:val="20"/>
                <w:szCs w:val="20"/>
              </w:rPr>
              <w:t xml:space="preserve">я, что указанные линейные объекты могут размещаться на основании сервитута, публичного сервитута, в соответствии со статьей 39.36 Кодекса, наличие таких объектов на земельном участке не является препятствием для предоставления земельного участка на торгах.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данным геодезической съемки в границах Участка расположены сети электроснабжения, газоснабжения, опора без проводов.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администрации Орджоникидзевского района города Перми                          от 30.01.2024 № 059-37-01-32/3-301, акту обследования от 26.01.2024 № 30 на части Участка произрастают низкоро</w:t>
            </w:r>
            <w:r>
              <w:rPr>
                <w:sz w:val="20"/>
                <w:szCs w:val="20"/>
              </w:rPr>
              <w:t xml:space="preserve">слые кустарники и лиственные деревья, Участок ничем не огорожен. В западной части Участка неустановленными лицами размещены бетонные блоки, в восточной части участка – деревянная лестница. Иные объекты капитального/некапитального строительства отсутствуют.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отношении указанных объектов администрацией района проводятся мероприятия в со</w:t>
            </w:r>
            <w:r>
              <w:rPr>
                <w:sz w:val="20"/>
                <w:szCs w:val="20"/>
              </w:rPr>
              <w:t xml:space="preserve">ответствии                        с Положением о порядке выявления и демонтажа, самовольно установленных и незаконно размещенных движимых объектов на территории города Перми, утвержденным решением Пермской городской Думы                от 08.11.2005 № 192.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того, по территории Участка осуществляется проезд с ул. Логовая к земельному участку                              с кадастровым но</w:t>
            </w:r>
            <w:r>
              <w:rPr>
                <w:sz w:val="20"/>
                <w:szCs w:val="20"/>
              </w:rPr>
              <w:t xml:space="preserve">мером 59:01:3812829:8, расположенному по адресу: Пермский край, г. Пермь, Орджоникидзевский район, ул. Липовая, 23. Альтернативный проезд, в том числе с ул. Липовая,                    к земельному участку с кадастровым номером 59:01:3812829:8 отсутствует.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Близлежащие пожарные гидранты расположены по адресам: ул. Пархоменко, 8, ул. Пархоменко, 21, близлежащий пожарный водоем – по ул. Новогодняя, 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информации МКУ «Пермблагоустройство», направленной письмом от 03.04.2024 № 059-24/1-01-13-Вн-775 обеспечение доступа к земельному участку                      с кадастровым номером 59:01:3812829:8 возможно путем устройства примыкания к улице Липовая.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получения</w:t>
            </w:r>
            <w:r>
              <w:rPr>
                <w:sz w:val="20"/>
                <w:szCs w:val="20"/>
              </w:rPr>
              <w:t xml:space="preserve"> согласия на устройство примыкания установлен постановлением администрации города Перми от 31.01.2022 № 45 «Об утверждении Порядка выдачи согласия владельца автомобильной дороги общего пользования местного значения в целях строительства, реконструкции, кап</w:t>
            </w:r>
            <w:r>
              <w:rPr>
                <w:sz w:val="20"/>
                <w:szCs w:val="20"/>
              </w:rPr>
              <w:t xml:space="preserve">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выявления объектов некапитального типа победитель аукциона обязан осуществить демонтаж выявленных объектов за счет собственных средств                     и (или) с пр</w:t>
            </w:r>
            <w:r>
              <w:rPr>
                <w:sz w:val="20"/>
                <w:szCs w:val="20"/>
              </w:rPr>
              <w:t xml:space="preserve">ивлечением средств других лиц без отнесения соответствующих расходов 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сведениям, содержащимся в ГПЗУ, ЕГРН             и справке по градостроительным условиям                          от 04.06.2024 № 595672, Участок частично расположен в границах зон с особыми условиями использования территории: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Охранная зона ВЛ 0,4 кВ от ТП4383, от ТП4384,                  от ТП4385, от ТП4386, КЛ 0,4 кВ от ТП4383,                        от ТП4385, от ТП4386 (электро</w:t>
            </w:r>
            <w:r>
              <w:rPr>
                <w:sz w:val="20"/>
                <w:szCs w:val="20"/>
              </w:rPr>
              <w:t xml:space="preserve">сетевой комплекс «Подстанция 110/6кВ «Северная» с линиями электропередачи, трансформаторными подстанциями                                            и распределительными пунктами) (реестровый (учетный) номер ЕГРН 59.01.2.179, площадь пересечения 42 кв. м);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Охранная зона ВЛ-0,4КВ ТП-4384 МОПРа (реестровый номер границы: 59:01-6.7526, площадь пересечения 1 кв. м).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проектировании и строительстве необ</w:t>
            </w:r>
            <w:r>
              <w:rPr>
                <w:sz w:val="20"/>
                <w:szCs w:val="20"/>
              </w:rPr>
              <w:t xml:space="preserve">ходимо учитывать требования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Охранная зона газопровода высокого, среднего                   и низкого давления, зона с особыми условиями использования территорий (реестровый номер границы 59:01-6.3614, площадь пересечения 180 кв. м).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проектировании и строительстве необходимо учитывать требования постановления Правительства Российской Федерации от 20.11.2000 №878                          «Об утверждении Правил охраны газораспределительных сетей».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полностью расположен в границах зоны                   с особыми условиями использования территории: Приаэродромная территория аэродрома аэропорта Большое Савино, реестровый номер границы 59:32-6.553.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и строительство вести                       </w:t>
            </w:r>
            <w:r>
              <w:rPr>
                <w:sz w:val="20"/>
                <w:szCs w:val="20"/>
              </w:rPr>
              <w:t xml:space="preserve">          в соответствии с постановлением Правительства Российской Федерации от 11.03.2010 № 138                          «Об утверждении Федеральных правил использования воздушного пространства Российской Федерации»: «Запрещается размещать в полосах возду</w:t>
            </w:r>
            <w:r>
              <w:rPr>
                <w:sz w:val="20"/>
                <w:szCs w:val="20"/>
              </w:rPr>
              <w:t xml:space="preserve">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отношении Участка установлен публичный сервитут в отдельных целях (распоряжение администрации города Перми от 02.12.2021 № 12-01-03-1425) для размещения объекта электросетевого хозяйства «Электростевой</w:t>
            </w:r>
            <w:r>
              <w:rPr>
                <w:sz w:val="20"/>
                <w:szCs w:val="20"/>
              </w:rPr>
              <w:t xml:space="preserve"> комплекс Подстанция 110/6 кВ «Северная» (ВЛ-0,4 кВ ТП-4384) с кадастровым номером 59:01:0000000:77564, принадлежащего на праве собственности ОАО «МРСК Урала», на срок 48 лет 11 месяцев (реестровый номер границы: 59:01-6.8499, площадь пересечения 1 кв. м).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сведениям информационной системы обеспечения градостроительной деятельности Участок попадает в противопожарный разрыв от 30 до 50 метров от территории пермского городского лесничества.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размещении объектов на Участке необходимо учитывать требования свода правил СП 4.13130.2013 «Системы пр</w:t>
            </w:r>
            <w:r>
              <w:rPr>
                <w:sz w:val="20"/>
                <w:szCs w:val="20"/>
              </w:rPr>
              <w:t xml:space="preserve">отивопожарной защиты. Ограничение распространения пожара на объектах защиты. Требования к объемно-планировочным                                         и конструктивным решениям», утвержденного приказом МЧС России от 24.04.2013 № 288 (далее – Свод правил).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Обращаем внимание, что с 01.12.2022 вступили                 в силу изменения № 3 к Своду правил. Пункт 4.14 Свода правил дополн</w:t>
            </w:r>
            <w:r>
              <w:rPr>
                <w:b/>
                <w:sz w:val="20"/>
                <w:szCs w:val="20"/>
              </w:rPr>
              <w:t xml:space="preserve">ен абзацем 9, в соответствии                с которым противопожарные расстояния от зданий, сооружений до лесных и других древесно-кустарниковых насаждений на землях населенных пунктов (городских лесов, парков, скверов, аллей, садов и т.п.) не нормируются.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управления по экологии               </w:t>
            </w:r>
            <w:r>
              <w:rPr>
                <w:sz w:val="20"/>
                <w:szCs w:val="20"/>
              </w:rPr>
              <w:t xml:space="preserve">               и природопользованию администрации города Перми              от 26.01.2024 № 059-33-01-10/3-36 средняя стоимость                  в ценах 2024 года одного дерева лиственной породы                  от 17 тыс. руб., а хвойной – от 20 тыс.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Участке произрастает 14 деревьев породы – черемуха 3 шт., клен 10 шт., береза 1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Победителю аукциона необходимо соблюдать следующие условия строительства, а также проектом предусмотреть: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нанесение существующих деревьев на стройгенплане;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снос деревьев, попадающих в пят</w:t>
            </w:r>
            <w:r>
              <w:rPr>
                <w:sz w:val="20"/>
                <w:szCs w:val="20"/>
              </w:rPr>
              <w:t xml:space="preserve">но застройки, вести на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на основании проектной документации. Остальные деревья сохранить;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восстановление зеленых насаждений вести                            в соответствии с решением Пермской городской Думы   от 15.12.2020 № 277;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 отвод ливневых вод с использованием вариантов решений в зависимости от: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наличия централизованной системы ливневой канализации;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площади водосбора с учетом транзитных вод                          с прилегающей территории;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угла наклона рельефа, включающий прилегающие территории;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применения иных решений равномерного отвода поверхностного стока с запрашиваемой территории на прилегающей территории;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Определение видов образующих отходов и мест их размещения на период эксплуатации;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Конкретные мероприятия по охране окружающей среды на период строительства, включая: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установку временного защитного ограждения строительной площадки;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ограждение существующих зеленых насаждений, не попадающих под пятно застройки;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прокладку коммуникаций осуществлять на расстоянии не менее 2 м. от ствола дерева, чтобы не повредить корневую систему;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использовать приствольные круги существующих деревьев (диаметром 1 м) под складирование материалов и установки временных сооружений;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определение видов и объемов образующихся отходов и мест их размещения;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систематический вывоз отходов;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недопущение загрязнения атмосферы, почвы                       и подземных вод;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предотвращение выноса грязи автотранспортом, выезжающим со строительной площадки.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дорог и благоустройства администрации города Перми письмом от 05.02.2024   № 059-24-01-36/3-334 сообщает следующее.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бюджетом города Перми на 2024 год и плановый период 2025-2026 годов мероприятия по строительству, реконструкции, капитальному ремонту улично-дорожной сети на данной территории не запланированы.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Присоединение Участка к улично-дорожной сети возможно при следующих условиях: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разработать и согласовать на рабочей группе по</w:t>
            </w:r>
            <w:r>
              <w:rPr>
                <w:sz w:val="20"/>
                <w:szCs w:val="20"/>
              </w:rPr>
              <w:t xml:space="preserve"> организации и безопасности дорожного движения                   (ул. Пермская, 164, 236-00-30 доб. 116) проектное решение для примыкания территории Участка                           к автомобильной дороге общего пользования местного значения города Перми;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разработать и согласовать в установленном порядке соответствующий проект организации дорожного движения на примыкание Участков к автомобильно</w:t>
            </w:r>
            <w:r>
              <w:rPr>
                <w:sz w:val="20"/>
                <w:szCs w:val="20"/>
              </w:rPr>
              <w:t xml:space="preserve">й дороге общего пользования местного значения города Перми (Приказ Минтранса России от 30.07.2020 № 274 «Об утверждении Правил подготовки документации по организации дорожного движения», постановление Администрации г. Перми от 02.03.2021 № 122             </w:t>
            </w:r>
            <w:r>
              <w:rPr>
                <w:sz w:val="20"/>
                <w:szCs w:val="20"/>
              </w:rPr>
              <w:t xml:space="preserve">          «Об утверждении Перечня органов и организаций,                    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на территории города Перми»);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получить согласие владельца автомобильной дороги (порядок выдачи согласия владельц</w:t>
            </w:r>
            <w:r>
              <w:rPr>
                <w:sz w:val="20"/>
                <w:szCs w:val="20"/>
              </w:rPr>
              <w:t xml:space="preserve">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</w:t>
            </w:r>
            <w:r>
              <w:rPr>
                <w:sz w:val="20"/>
                <w:szCs w:val="20"/>
              </w:rPr>
              <w:t xml:space="preserve"> примыкания автомобильной дороги общего пользования местного значения к другой автомобильной дороге,                     а также перечень документов, необходимых для выдачи Согласия, утверждены Постановлением администрации города Перми от 31.01.2022 № 45).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нап</w:t>
            </w:r>
            <w:r>
              <w:rPr>
                <w:sz w:val="20"/>
                <w:szCs w:val="20"/>
              </w:rPr>
              <w:t xml:space="preserve">равлена информация                               о соблюдении при строительстве объекта недвижимости на Участке, предоставленном на аукционе, Правил благоустройства территории города Перми, утвержденных решением Пермской городской Думы от 15.12.2020 № 277: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поверхностный водоотвод решить проектом без подтопления смежных территорий, в соответствии                      с действующими нормативно-правовыми актами                      и природоохранным законодательством;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предусмотреть электроосвещение территории объекта;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стоянку временного транспорта разместить                             в границах отведенного под строительство земельного участка вне территории общего пользования;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предусмотреть устройство подъезда к Участку или ликвидацию разрушений, повреждений дорожного покрытия существующих проездов от границ Участка до существующей улично-дорожной сети, а также наружное освещение подъездов.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сообщается, что в соответствии                     с Федеральным законом от 08.11.2007 № 257-ФЗ                   «Об автомобильных дорогах и о дорожной деятельности в Российской Федерации и о внесении из</w:t>
            </w:r>
            <w:r>
              <w:rPr>
                <w:sz w:val="20"/>
                <w:szCs w:val="20"/>
              </w:rPr>
              <w:t xml:space="preserve">менений                      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</w:t>
            </w:r>
            <w:r>
              <w:rPr>
                <w:sz w:val="20"/>
                <w:szCs w:val="20"/>
              </w:rPr>
              <w:t xml:space="preserve">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письмом департамента общественной безопасности администрации города Перми от 24.01.2024 № 059-10-01-27/3-78: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пожарного водоема на указанной территории не запланировано;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ближайшее подразделение пожарной охраны расположено по адресу: ул. Васнецова, 7 (ПСЧ-7                   10-ПСО);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общественной безопасности, отнесенный                   к объектам полиции (участковые пункты полиции),                     в микрорайоне Чапаева отсутствуют. Ближайший участковый</w:t>
            </w:r>
            <w:r>
              <w:rPr>
                <w:sz w:val="20"/>
                <w:szCs w:val="20"/>
              </w:rPr>
              <w:t xml:space="preserve"> пункт расположен по адресу: г. Пермь, переулок Талицкий, д. 8 (микрорайон Кислотные Дачи, Орджоникидзевский район). В настоящее время                           в указанном микрорайоне строительство (приобретение) участковых пунктов полиции не планируется;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помещения для аварийно-спасательных формирований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указанной территории отсутствуют. В настоящее время потребность в обеспечении служебными помещениями для аварийно-спасательных формирований в указанном микрорайоне отсутствует;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указанной территории источники противопожарного водоснабжения отсутствуют;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информацией, предоставленной Министерством территориальной безопасности Пермского края, Участок попадает в зону возможного химического заражения в особый период;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находится в зоне действия региональной автоматизированной системы централизованного оповещения населения города Перми, установленной по ул. 1-й Еловский переулок, д. 22 – 600 метров.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</w:t>
            </w:r>
            <w:r>
              <w:rPr>
                <w:sz w:val="20"/>
                <w:szCs w:val="20"/>
              </w:rPr>
              <w:t xml:space="preserve">ществом </w:t>
            </w:r>
            <w:r>
              <w:rPr>
                <w:sz w:val="20"/>
                <w:szCs w:val="20"/>
              </w:rPr>
              <w:t xml:space="preserve">и градостроительной деятельно</w:t>
            </w:r>
            <w:r>
              <w:rPr>
                <w:sz w:val="20"/>
                <w:szCs w:val="20"/>
              </w:rPr>
              <w:t xml:space="preserve">сти Пермского края</w:t>
            </w:r>
            <w:r>
              <w:rPr>
                <w:sz w:val="20"/>
                <w:szCs w:val="20"/>
              </w:rPr>
              <w:t xml:space="preserve">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</w:t>
            </w:r>
            <w:r>
              <w:rPr>
                <w:sz w:val="20"/>
                <w:szCs w:val="20"/>
              </w:rPr>
              <w:t xml:space="preserve">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          № 288 и иной документации, касающейся норм противопожарной безопасности.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</w:t>
            </w:r>
            <w:r>
              <w:rPr>
                <w:sz w:val="20"/>
                <w:szCs w:val="20"/>
              </w:rPr>
              <w:t xml:space="preserve">т экономики и промышленной политики администрации города Перми письмом от 23.01.2024             № 059-13-01-04-90 сообщает, что места для установки               и эксплуатации рекламных конструкций, включенные               в схему размещения рекламных к</w:t>
            </w:r>
            <w:r>
              <w:rPr>
                <w:sz w:val="20"/>
                <w:szCs w:val="20"/>
              </w:rPr>
              <w:t xml:space="preserve">онструкций на территории города Перми, утвержденную решением Пермской городской Думы от 23.08.2016 № 171,                    и места размещения НТО, включенные в схему размещения НТО на территории города Перми, утвержденную постановлением администрации гор</w:t>
            </w:r>
            <w:r>
              <w:rPr>
                <w:sz w:val="20"/>
                <w:szCs w:val="20"/>
              </w:rPr>
              <w:t xml:space="preserve">ода Перми </w:t>
            </w:r>
            <w:r>
              <w:rPr>
                <w:sz w:val="20"/>
                <w:szCs w:val="20"/>
              </w:rPr>
              <w:t xml:space="preserve">от 02.08.2018 № 521, в границах Участка отсутствуют.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Договоры на размещение НТО в границах Участка не заключались.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департамента имущественных отношений администрации города Перми от 23.01.2024 № 059-19-01-35/3-92 Участок и объекты недвижимого имущества в реестре муниципального имущества города Перми не учитываются.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инспекция по охране объектов культурного наследия Пермского края письмом                      от 25.01.2024 № Исх55-01-17.2-28 сообщает следующее.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 границах Участка отсутствуют: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объекты культурного наследия, включенные                      в единый государственный реестр объектов культурного наследия (памятников истории и культуры) народов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выявленные объекты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объекты, обладающие признаками объектов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территории объектов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зоны охраны объектов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защитные зоны объектов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Участок не связан с земельным участком                          в границах территории объекта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Сведения о режимах использования (ограничения/обременения) Участка отсутствуют;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Данные о проведенных историко-культурных исследованиях в границах Участка отсутствуют;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</w:pPr>
            <w:r>
              <w:rPr>
                <w:sz w:val="20"/>
                <w:szCs w:val="20"/>
              </w:rPr>
              <w:t xml:space="preserve">5. Необходимость проведения историко-культурной экспертизы в границах Участка отсутствует.</w:t>
            </w:r>
            <w:r/>
          </w:p>
        </w:tc>
      </w:tr>
      <w:tr>
        <w:tblPrEx/>
        <w:trPr>
          <w:trHeight w:val="3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84"/>
            </w:pPr>
            <w:r>
              <w:rPr>
                <w:sz w:val="20"/>
                <w:szCs w:val="20"/>
              </w:rPr>
              <w:t xml:space="preserve">максимально и (или) минимально допустимые параметры разрешенного строительства </w:t>
            </w:r>
            <w:r>
              <w:rPr>
                <w:sz w:val="20"/>
                <w:szCs w:val="20"/>
              </w:rPr>
              <w:br w:type="textWrapping" w:clear="all"/>
              <w:t xml:space="preserve">объекта капитального строительства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ind w:firstLine="31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               в ГИС Торги </w:t>
            </w:r>
            <w:r>
              <w:rPr>
                <w:sz w:val="20"/>
                <w:lang w:val="en-US"/>
              </w:rPr>
              <w:t xml:space="preserve">www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torgi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gov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ru</w:t>
            </w:r>
            <w:r>
              <w:rPr>
                <w:sz w:val="20"/>
                <w:shd w:val="clear" w:color="auto" w:fill="ffffff"/>
              </w:rPr>
              <w:t xml:space="preserve">, официальном сайте муниципального образования город Пермь </w:t>
            </w:r>
            <w:r>
              <w:rPr>
                <w:sz w:val="20"/>
                <w:shd w:val="clear" w:color="auto" w:fill="ffffff"/>
              </w:rPr>
              <w:br w:type="textWrapping" w:clear="all"/>
              <w:t xml:space="preserve">в информационно-телекоммуникационной сети Интернет </w:t>
            </w:r>
            <w:r>
              <w:rPr>
                <w:sz w:val="20"/>
              </w:rPr>
              <w:t xml:space="preserve">www.gorodperm.ru.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Предельные параметры торгового зала для предприятий торговли: дискаунтер от 250 кв. м, гастроном от 400 кв. м, с</w:t>
            </w:r>
            <w:r>
              <w:rPr>
                <w:sz w:val="20"/>
                <w:szCs w:val="20"/>
              </w:rPr>
              <w:t xml:space="preserve">упермаркет от 400 до 2500 кв. м установлены в соответствии с разделом «Типы торговых предприятий» ГОСТ Р 51303-2013. Национальный стандарт Российской Федерации. Торговля. Термины и определения». Не допускается использование иных типов торговых предприятий.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таблицей Б.1 «Показатели плотности застройки участков территориальных зон» СП 42.13330.2016. С</w:t>
            </w:r>
            <w:r>
              <w:rPr>
                <w:sz w:val="20"/>
                <w:szCs w:val="20"/>
              </w:rPr>
              <w:t xml:space="preserve">вод правил. Градостроительство. Планировка и застройка городских и сельских поселений. Актуализированная редакция СНиП 2.07.01-89* коэффициент плотности застройки земельного участка в общественно-деловой (многофункциональной застройке) зоне составляет 3,0.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Таким образом, предельные параметры разрешенного строительства составляют 2889 (963*3) кв. 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Предельные (минимальные и (или) максимальные) размеры земельного участка и предельные параметры разрешенного строительства, реконструкции объекта капита</w:t>
            </w:r>
            <w:r>
              <w:rPr>
                <w:sz w:val="20"/>
                <w:szCs w:val="20"/>
              </w:rPr>
              <w:t xml:space="preserve">льного строительства, установленные, градостроительным регламентом для территориальной зоны, в которой расположен земельный участок, указаны в градостроительном плане земельного участка (пункт 3 статьи 57.3 Градостроительного кодекса Российской Федерации).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информации, содержащейся                                 в градостроительном плане земельного участка                      от 31.01.2024 № РФ-59-2-03-0-00-2024-0177-0 (далее – ГПЗУ), параметр возможной предельной застройки – до 10,5 м, </w:t>
            </w:r>
            <w:r>
              <w:rPr>
                <w:b/>
                <w:sz w:val="20"/>
                <w:szCs w:val="20"/>
              </w:rPr>
              <w:t xml:space="preserve">предельная высота зданий, строений – не более 4 этажей</w:t>
            </w:r>
            <w:r>
              <w:rPr>
                <w:sz w:val="20"/>
                <w:szCs w:val="20"/>
              </w:rPr>
              <w:t xml:space="preserve"> (документация по планировке территории, утвержденная постановлением администрации города Перми от 23.12.2015 № 1102).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отступ от границ Участка до места допустимого размещения зданий, строений – 0 м. Максимальный выступ за красную линию нависающих частей здания наземных уровней, выступающих из плоскости наружной стены фасада здан</w:t>
            </w:r>
            <w:r>
              <w:rPr>
                <w:sz w:val="20"/>
                <w:szCs w:val="20"/>
              </w:rPr>
              <w:t xml:space="preserve">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протоколу заседания координационного совещания по обеспечению правопорядка в Пермско</w:t>
            </w:r>
            <w:r>
              <w:rPr>
                <w:sz w:val="20"/>
                <w:szCs w:val="20"/>
              </w:rPr>
              <w:t xml:space="preserve">м крае от 16.03.2022 № 74-гс для строительства объектов городской инфраструктуры (парков, скверов, торгово-развлекательных комплексов, иных зданий                               и сооружений) обязательным является условие по установке камер видеонаблюдения.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пунктом 2.1.34. Решения Пермской городской Думы от 15.12.202</w:t>
            </w:r>
            <w:r>
              <w:rPr>
                <w:sz w:val="20"/>
                <w:szCs w:val="20"/>
              </w:rPr>
              <w:t xml:space="preserve">0 № 277 «Об утверждении Правил благоустройства территории города Перми»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(колерный паспорт).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Колерный паспорт - документ, разрабатываемый                      в случаях, предусмотренных действующим законодательством, Прави</w:t>
            </w:r>
            <w:r>
              <w:rPr>
                <w:sz w:val="20"/>
                <w:szCs w:val="20"/>
              </w:rPr>
              <w:t xml:space="preserve">лами, для фасада здания, строения, сооружения при планируемом строительстве, реконструкции, капитальном ремонте, реставрации, приспособлении объекта культурного наследия для современного использования, а также при изменении внешнего вида здания, строения, </w:t>
            </w:r>
            <w:r>
              <w:rPr>
                <w:sz w:val="20"/>
                <w:szCs w:val="20"/>
              </w:rPr>
              <w:t xml:space="preserve">сооружения, который устанавливает внешний облик (вид) фасада здания, строения, сооружения, включая требования                         в отношении материалов, способов отделки и цветов фасадов, ограждающих конструкций (крыш (кровельного покрытия), ограждени</w:t>
            </w:r>
            <w:r>
              <w:rPr>
                <w:sz w:val="20"/>
                <w:szCs w:val="20"/>
              </w:rPr>
              <w:t xml:space="preserve">й балконов, лоджий), мест для размещения средств размещения информации (вывесок, указателей с наименованиями улиц и номерами домов (зданий)), рекламных конструкций, а также мест для размещения, вида, цветового решения архитектурно-художественной подсветки.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</w:pPr>
            <w:r>
              <w:rPr>
                <w:sz w:val="20"/>
                <w:szCs w:val="20"/>
              </w:rPr>
              <w:t xml:space="preserve">Колерный паспорт подлежит согласованию                          с функциональным органом администрации города Перми,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осуществляющим функции управления в сфере градостроительства. </w:t>
            </w:r>
            <w:r/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0" w:right="-263" w:hanging="284"/>
            </w:pPr>
            <w:r>
              <w:rPr>
                <w:sz w:val="20"/>
                <w:szCs w:val="20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  <w:shd w:val="clear" w:color="auto" w:fill="ffffff"/>
              </w:rPr>
              <w:t xml:space="preserve">документации по земельным участкам, размещенной с извещением о проведении аукциона на ГИС Торги </w:t>
            </w:r>
            <w:r>
              <w:rPr>
                <w:sz w:val="20"/>
                <w:lang w:val="en-US"/>
              </w:rPr>
              <w:t xml:space="preserve">www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torgi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gov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ru</w:t>
            </w:r>
            <w:r>
              <w:rPr>
                <w:sz w:val="20"/>
                <w:shd w:val="clear" w:color="auto" w:fill="ffffff"/>
              </w:rPr>
              <w:t xml:space="preserve">, официальном сайте муниципального образования город Пермь </w:t>
            </w:r>
            <w:r>
              <w:rPr>
                <w:sz w:val="20"/>
                <w:shd w:val="clear" w:color="auto" w:fill="ffffff"/>
              </w:rPr>
              <w:br w:type="textWrapping" w:clear="all"/>
              <w:t xml:space="preserve">в информационно-телекоммуникационной сети Интернет </w:t>
            </w:r>
            <w:r>
              <w:rPr>
                <w:sz w:val="20"/>
              </w:rPr>
              <w:t xml:space="preserve">www.gorodperm.ru</w:t>
            </w:r>
            <w: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Филиала ПАО </w:t>
            </w:r>
            <w:r>
              <w:rPr>
                <w:sz w:val="20"/>
                <w:szCs w:val="20"/>
              </w:rPr>
              <w:t xml:space="preserve">«Россети Урал» - «Пермэнерго» от 08.02.2024 № ПЭ/22/100 о наличии технической возможности технологического присоединения энергопринимающего устройства объекта с предполагаемой максимальной мощностью энергопринимающих устройств 260 кВт сообщается следующее.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технолог</w:t>
            </w:r>
            <w:r>
              <w:rPr>
                <w:sz w:val="20"/>
                <w:szCs w:val="20"/>
              </w:rPr>
              <w:t xml:space="preserve">ического присоединения                          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                 </w:t>
            </w:r>
            <w:r>
              <w:rPr>
                <w:sz w:val="20"/>
                <w:szCs w:val="20"/>
              </w:rPr>
              <w:t xml:space="preserve">     а также объектов электросетевого хозяйства, принадлежащих сетевым организациям и иным лицам,                к электрическим сетям, утвержденными постановлением Правительства Российской Федерации от 27.12.2004                № 861 (далее – Правила ТП).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силу пункта 6 Правил ТП техническое присоединение осуществляется на основании договора                  о технологическом присоединении.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получения технических условий и заключения договора на технологическое присоединение необходимо направить заявку через единый федеральный портал электросетевых услуг группы компаний «Россети» на сайте: https://портал-тп.рф.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АО «Газпром газораспр</w:t>
            </w:r>
            <w:r>
              <w:rPr>
                <w:sz w:val="20"/>
                <w:szCs w:val="20"/>
              </w:rPr>
              <w:t xml:space="preserve">еделение Пермь» от 23.01.2024 № ПФ-375 техническая возможность подключения объекта капитального строительства с предполагаемой максимальной нагрузкой (часовым расходом газа) 197 м3/час                         к существующим сетям газораспределения имеется.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</w:t>
            </w:r>
            <w:r>
              <w:rPr>
                <w:sz w:val="20"/>
                <w:szCs w:val="20"/>
              </w:rPr>
              <w:t xml:space="preserve">ассмотрения вопроса о предоставлении технических условий на подключение (технологическое присоединение) необходимо направить заявку о заключении договора по типовой форме с пакетом документов в соответствии с п. 11, 16 Постановления Правительства Российско</w:t>
            </w:r>
            <w:r>
              <w:rPr>
                <w:sz w:val="20"/>
                <w:szCs w:val="20"/>
              </w:rPr>
              <w:t xml:space="preserve">й Федерации от 13.09.2021  № 1547 «Об утверждении Правил подключения (технологического присоединения) газоиспользующего оборудования и объектов капитального строительства                 к сетям газораспределения и о признании утратившими силу некоторых ак</w:t>
            </w:r>
            <w:r>
              <w:rPr>
                <w:sz w:val="20"/>
                <w:szCs w:val="20"/>
              </w:rPr>
              <w:t xml:space="preserve">тов Правительства Российской Федерации» на электронную почту post@pf.ugaz.ru, либо почтовым отправлением по адресу: г. Пермь,                            ул. Уральская, 104, через Единый центр предоставления услуг по адресу: г. Пермь, ул. Уральская, д. 104,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письмом ООО «НОВОГОР-Прикамье» от 28.03.2024 № 110-4593 о наличии технической возможности подключения объекта капитального строительства с предполагаемыми объе</w:t>
            </w:r>
            <w:r>
              <w:rPr>
                <w:sz w:val="20"/>
                <w:szCs w:val="20"/>
              </w:rPr>
              <w:t xml:space="preserve">мами водопотребления и водоотведения 10,0 м3/сут., расходом на внутреннее пожаротушение – 2,5 л/сек., расходом на наружное пожаротушение – 15,0 л/сек. к централизованным системам водоснабжения                           и водоотведения сообщается следующее.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настоящее время отсутствует техническая возможность подключения объекта                                          к централизованным системам водоснабжения                       и водоотведения.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технической возможности необходимо: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 xml:space="preserve"> Запроектировать и выполнить реконструкцию (перекладку) сети водоснабжения Д-89-100 мм по 1-му Еловскому пер. от ул. А. Пархоменко до ул. Чапаева, ориентировочной протяженностью 346,0 м, ориентировочной стоимостью на текущую дату: не менее 27,29 млн.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Запроектировать и выполнить строительство водопровода по ул. Новогодняя, 2</w:t>
            </w:r>
            <w:r>
              <w:rPr>
                <w:sz w:val="20"/>
                <w:szCs w:val="20"/>
              </w:rPr>
              <w:t xml:space="preserve">-й Еловский пер.                   от внутриквартального водопровода Д-50-63 мм                      до водопровода Д-300 мм по ул. А. Пархоменко, ориентировочной протяженностью 147,0 м, ориентировочной стоимостью на текущую дату: не менее 10,55 млн.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Запроектировать и выполнить реконструкцию (перекладку) </w:t>
            </w:r>
            <w:r>
              <w:rPr>
                <w:sz w:val="20"/>
                <w:szCs w:val="20"/>
              </w:rPr>
              <w:t xml:space="preserve">участков сети канализации Д-150 мм по                 ул. Еловская между ул. Липовая и 1-й Еловский пер.,               с увеличением диаметра сети, ориентировочной протяженностью 145,0 м, ориентировочной стоимостью на текущую дату: не менее 3,51 млн.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того, необходимо выполнить мероприятия по ликвидации технологического разрыва: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Проектирование и строительство сети водопровода от границы Участка до сети водопровода Д-300 мм по    ул. А. Пархоменко, ориентировочной протяженностью - 265,0 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Проектирование и строительство сети канализации от границы Участка до дворовой сети канализации Д-200 мм здания по ул. А. Пархоменко, 2, ориентировочной протяженностью - 115,0 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водоснабжения и водоотведения в пределах границ Участка проектируются и строятся силами заявителя (правообладателя земельного участка).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Ввиду отсутствия да</w:t>
            </w:r>
            <w:r>
              <w:rPr>
                <w:sz w:val="20"/>
                <w:szCs w:val="20"/>
              </w:rPr>
              <w:t xml:space="preserve">нных о посадке проектируемого объекта и точных длин технологических разрывов до сетей водоснабжения и водоотведения, информации                   о технических характеристиках и параметрах проектируемого объекта, исходя из которых определяются планируемые </w:t>
            </w:r>
            <w:r>
              <w:rPr>
                <w:sz w:val="20"/>
                <w:szCs w:val="20"/>
              </w:rPr>
              <w:t xml:space="preserve">расходы на нужды наружного и внутреннего пожаротушения ООО «Новогор-Прикамье» не может определить точные объемы и стоимости мероприятий для наличия технической возможности подключения объекта                и предоставить информацию о плате за подключение.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границах Участка отсутствуют сети водопровода          и канализации, эксплуатируемые ООО «НОВОГОР-Прикамье», при этом размещение объекта необходимо преду</w:t>
            </w:r>
            <w:r>
              <w:rPr>
                <w:sz w:val="20"/>
                <w:szCs w:val="20"/>
              </w:rPr>
              <w:t xml:space="preserve">сматривать строго за пределами охранных зон сетей водопровода и канализации в соответствии норм СП, в том числе в соответствии таблицы 12.5 СП 42.13330.2016 «Градостроительство планировка                         и застройка городских и сельских поселений».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письмом Филиала «Пермский ПАО «Т Плюс» от 30.01.2024 № 51030-01-00575 имеется техническая во</w:t>
            </w:r>
            <w:r>
              <w:rPr>
                <w:sz w:val="20"/>
                <w:szCs w:val="20"/>
              </w:rPr>
              <w:t xml:space="preserve">зможность подключения Участка к системе теплоснабжения. Возможные точки присоединения на существующих тепловых сетях: К-8 на М-72 2Ду100мм. Источник теплоснабжения: ВК по адресу: г. Пермь, ул. Чапаева, 6. Размер подключаемой тепловой нагрузки: 0,15 Гкал/ч.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границах Участка сети ПАО «Ростелеком» отсутствуют.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подключения (технологического присоединения) к сетям электросвязи ПАО «Ростелеком» необходим запрос правообладателя земельного участка на выдачу т</w:t>
            </w:r>
            <w:r>
              <w:rPr>
                <w:sz w:val="20"/>
                <w:szCs w:val="20"/>
              </w:rPr>
              <w:t xml:space="preserve">ехнических условий подключения или заявка                      о заключении договора о подключении в порядке, определенном действующим законодательством по адресу: г. Пермь, ул. Крупской, 2, ел.:(342) 235-57-34 или направить запрос на perm-mail@ural.rt.ru.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действия технических условий составляет 3 года со дня выдачи. В случае, если в течении 1 года со дня выдачи технических условий заявителем не будет подана заявка о подключении, срок</w:t>
            </w:r>
            <w:r>
              <w:rPr>
                <w:sz w:val="20"/>
                <w:szCs w:val="20"/>
              </w:rPr>
              <w:t xml:space="preserve">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 от 01.07.2022               № 1196).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</w:pPr>
            <w:r>
              <w:rPr>
                <w:sz w:val="20"/>
                <w:szCs w:val="20"/>
              </w:rPr>
              <w:t xml:space="preserve">Согласно письму департамента жилищно-коммунального хозяйства администрации города Перми от 29.01.2024 № 059-04-17/3-99-ри на территории, где расположен Участок, схемами водоснабжения </w:t>
            </w:r>
            <w:r>
              <w:rPr>
                <w:sz w:val="20"/>
                <w:szCs w:val="20"/>
              </w:rPr>
              <w:br/>
              <w:t xml:space="preserve">и водоотведения города Перми, утвержденными постановлением администрации города Перми </w:t>
            </w:r>
            <w:r>
              <w:rPr>
                <w:sz w:val="20"/>
                <w:szCs w:val="20"/>
              </w:rPr>
              <w:br/>
              <w:t xml:space="preserve">от 28.12.2018 № 1085, предусмотрено строительство сетей водоснабжения и водоотведения мкр. Чапаевский с 2024 года (мероприятие не обеспечено финансированием).</w:t>
            </w:r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цена предмета аукциона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right="-2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размер ежегодной арендной платы</w:t>
            </w:r>
            <w:r>
              <w:rPr>
                <w:b/>
                <w:sz w:val="20"/>
                <w:szCs w:val="20"/>
              </w:rPr>
              <w:t xml:space="preserve">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right="-2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r>
              <w:rPr>
                <w:sz w:val="20"/>
                <w:szCs w:val="20"/>
              </w:rPr>
              <w:t xml:space="preserve"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</w:t>
            </w:r>
            <w:r>
              <w:rPr>
                <w:sz w:val="20"/>
                <w:szCs w:val="20"/>
              </w:rPr>
              <w:t xml:space="preserve">обязан в течение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  <w:t xml:space="preserve"> 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 w:type="textWrapping" w:clear="all"/>
              <w:t xml:space="preserve">со дня размещения протокола о результатах аукциона, а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случаях, определенных п.</w:t>
            </w:r>
            <w:r>
              <w:rPr>
                <w:sz w:val="20"/>
                <w:szCs w:val="20"/>
              </w:rPr>
              <w:t xml:space="preserve">13, п.14, ст. 39.12 ЗК РФ, протокола рассмотрения заявок, </w:t>
            </w:r>
            <w:r>
              <w:rPr>
                <w:sz w:val="20"/>
                <w:szCs w:val="20"/>
              </w:rPr>
              <w:t xml:space="preserve">уплатить ежегодный размер арендной платы (за вычетом задатка, внесенного для участия в аукционе)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однократно за первые 3 года</w:t>
            </w:r>
            <w:r>
              <w:rPr>
                <w:sz w:val="20"/>
                <w:szCs w:val="20"/>
              </w:rPr>
              <w:t xml:space="preserve"> на счет департамента земельных отношений администрации города Перми, </w:t>
            </w:r>
            <w:r>
              <w:rPr>
                <w:sz w:val="20"/>
                <w:szCs w:val="20"/>
              </w:rPr>
              <w:t xml:space="preserve">614015, ул. Сибирская,15, </w:t>
            </w:r>
            <w:r>
              <w:rPr>
                <w:sz w:val="20"/>
                <w:szCs w:val="20"/>
              </w:rPr>
              <w:br w:type="textWrapping" w:clear="all"/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340 000 руб. </w:t>
            </w:r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</w:pPr>
            <w:r>
              <w:rPr>
                <w:sz w:val="20"/>
                <w:szCs w:val="20"/>
              </w:rPr>
              <w:t xml:space="preserve">«Шаг аукциона» (3% от начальной цены)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10 200 руб.</w:t>
            </w:r>
            <w:r/>
          </w:p>
        </w:tc>
      </w:tr>
      <w:tr>
        <w:tblPrEx/>
        <w:trPr>
          <w:trHeight w:val="4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заявки на участие в аукционе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заявки размещена на сайтах </w:t>
            </w:r>
            <w:hyperlink r:id="rId18" w:tooltip="http://www.torgi.gov.ru/" w:history="1">
              <w:r>
                <w:rPr>
                  <w:rStyle w:val="910"/>
                  <w:sz w:val="20"/>
                  <w:szCs w:val="20"/>
                  <w:lang w:val="en-US"/>
                </w:rPr>
                <w:t xml:space="preserve">www</w:t>
              </w:r>
              <w:r>
                <w:rPr>
                  <w:rStyle w:val="910"/>
                  <w:sz w:val="20"/>
                  <w:szCs w:val="20"/>
                </w:rPr>
                <w:t xml:space="preserve">.</w:t>
              </w:r>
              <w:r>
                <w:rPr>
                  <w:rStyle w:val="910"/>
                  <w:sz w:val="20"/>
                  <w:szCs w:val="20"/>
                  <w:lang w:val="en-US"/>
                </w:rPr>
                <w:t xml:space="preserve">torgi</w:t>
              </w:r>
              <w:r>
                <w:rPr>
                  <w:rStyle w:val="910"/>
                  <w:sz w:val="20"/>
                  <w:szCs w:val="20"/>
                </w:rPr>
                <w:t xml:space="preserve">.</w:t>
              </w:r>
              <w:r>
                <w:rPr>
                  <w:rStyle w:val="910"/>
                  <w:sz w:val="20"/>
                  <w:szCs w:val="20"/>
                  <w:lang w:val="en-US"/>
                </w:rPr>
                <w:t xml:space="preserve">gov</w:t>
              </w:r>
              <w:r>
                <w:rPr>
                  <w:rStyle w:val="910"/>
                  <w:sz w:val="20"/>
                  <w:szCs w:val="20"/>
                </w:rPr>
                <w:t xml:space="preserve">.</w:t>
              </w:r>
              <w:r>
                <w:rPr>
                  <w:rStyle w:val="910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  <w:t xml:space="preserve">, www.gorodperm.ru (раздел Деятельность/Муниципальная собственность/Торговая площадка/ Вид торгов Продажа </w:t>
            </w:r>
            <w:r>
              <w:rPr>
                <w:sz w:val="20"/>
                <w:szCs w:val="20"/>
              </w:rPr>
              <w:br w:type="textWrapping" w:clear="all"/>
              <w:t xml:space="preserve">и аренда земельных участков).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подается одновременно с полным пакетом документов, требуемых для участия в аукционе.              На каждый лот представляется отдельный пакет документов.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</w:pPr>
            <w:r>
              <w:rPr>
                <w:b/>
                <w:sz w:val="20"/>
                <w:szCs w:val="20"/>
              </w:rPr>
              <w:t xml:space="preserve">Решение о проведении аукциона принято                           в соответствии со статьей 39.11 Земельного кодекса Российской Федерации. Аукцион является открытым по составу участников.</w:t>
            </w:r>
            <w:r/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задатка (50% от начальной цены)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170 000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аренды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4 года 10 месяцев</w:t>
            </w:r>
            <w:r/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</w:pPr>
            <w:r>
              <w:rPr>
                <w:sz w:val="20"/>
                <w:szCs w:val="20"/>
              </w:rPr>
              <w:t xml:space="preserve">Проект договора аренды земельного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Примерная</w:t>
            </w:r>
            <w:r>
              <w:rPr>
                <w:sz w:val="20"/>
                <w:szCs w:val="20"/>
              </w:rPr>
              <w:t xml:space="preserve"> форма договора аренды земельного участка, приобретаемого на торгах в форме аукциона, </w:t>
            </w:r>
            <w:r>
              <w:rPr>
                <w:sz w:val="20"/>
                <w:szCs w:val="20"/>
              </w:rPr>
              <w:t xml:space="preserve">для строительства, </w:t>
            </w:r>
            <w:r>
              <w:rPr>
                <w:sz w:val="20"/>
                <w:szCs w:val="20"/>
              </w:rPr>
              <w:t xml:space="preserve">утверждена постановлением администрации города Перми от 29.05.2015 № 322, является Приложением </w:t>
            </w: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к настоящему извещению </w:t>
            </w:r>
            <w:r>
              <w:rPr>
                <w:sz w:val="20"/>
                <w:szCs w:val="20"/>
              </w:rPr>
              <w:br w:type="textWrapping" w:clear="all"/>
              <w:t xml:space="preserve">и размещена на сайтах </w:t>
            </w:r>
            <w:r>
              <w:rPr>
                <w:sz w:val="20"/>
                <w:szCs w:val="20"/>
                <w:lang w:val="en-US"/>
              </w:rPr>
              <w:t xml:space="preserve">www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torgi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gov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www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gorodperm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  <w:t xml:space="preserve"> (раздел Деятельность/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  <w:t xml:space="preserve">униципальная собственность/ Торговая площадка/Вид торгов Продажа и аренда земельных участков)</w:t>
            </w:r>
            <w:r>
              <w:rPr>
                <w:sz w:val="20"/>
                <w:szCs w:val="20"/>
              </w:rPr>
              <w:t xml:space="preserve">.</w:t>
            </w:r>
            <w:r/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</w:pPr>
            <w:r>
              <w:rPr>
                <w:sz w:val="20"/>
                <w:szCs w:val="20"/>
              </w:rPr>
              <w:t xml:space="preserve">Порядок осмотра земельного участка </w:t>
            </w:r>
            <w:r>
              <w:rPr>
                <w:sz w:val="20"/>
                <w:szCs w:val="20"/>
              </w:rPr>
              <w:br w:type="textWrapping" w:clear="all"/>
              <w:t xml:space="preserve">на местности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 </w:t>
            </w:r>
            <w:r/>
          </w:p>
        </w:tc>
      </w:tr>
    </w:tbl>
    <w:p>
      <w:pPr>
        <w:ind w:right="-263"/>
        <w:tabs>
          <w:tab w:val="left" w:pos="5103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-263"/>
        <w:tabs>
          <w:tab w:val="left" w:pos="5103" w:leader="none"/>
        </w:tabs>
        <w:rPr>
          <w:b/>
          <w:lang w:val="en-US"/>
        </w:rPr>
      </w:pPr>
      <w:r>
        <w:rPr>
          <w:b/>
          <w:lang w:val="en-US"/>
        </w:rPr>
        <w:t xml:space="preserve">Лот № 2</w:t>
      </w:r>
      <w:r>
        <w:rPr>
          <w:b/>
          <w:lang w:val="en-US"/>
        </w:rPr>
      </w:r>
      <w:r>
        <w:rPr>
          <w:b/>
          <w:lang w:val="en-US"/>
        </w:rPr>
      </w:r>
    </w:p>
    <w:tbl>
      <w:tblPr>
        <w:tblW w:w="5150" w:type="pct"/>
        <w:tblInd w:w="-606" w:type="dxa"/>
        <w:tblLayout w:type="fixed"/>
        <w:tblLook w:val="04A0" w:firstRow="1" w:lastRow="0" w:firstColumn="1" w:lastColumn="0" w:noHBand="0" w:noVBand="1"/>
      </w:tblPr>
      <w:tblGrid>
        <w:gridCol w:w="363"/>
        <w:gridCol w:w="4938"/>
        <w:gridCol w:w="5140"/>
      </w:tblGrid>
      <w:tr>
        <w:tblPrEx/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органа местного самоуправления,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принявшего решение о проведении аукциона,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263"/>
            </w:pPr>
            <w:r>
              <w:rPr>
                <w:sz w:val="20"/>
                <w:szCs w:val="20"/>
              </w:rPr>
              <w:t xml:space="preserve">реквизиты указанного решения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Админ</w:t>
            </w:r>
            <w:r>
              <w:rPr>
                <w:sz w:val="20"/>
                <w:szCs w:val="20"/>
              </w:rPr>
              <w:t xml:space="preserve">истрация города Перми, распоряжение начальника департамента земельных отношений администрации города Перми от 03 мая 2024 г. № 21-01-03-4150 «О проведении аукциона на право заключения договора аренды земельного участка в Индустриальном районе города Перми»</w:t>
            </w:r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</w:pPr>
            <w:r>
              <w:rPr>
                <w:sz w:val="20"/>
                <w:szCs w:val="20"/>
              </w:rPr>
              <w:t xml:space="preserve">Предмет аукциона на право заключения договора</w:t>
            </w:r>
            <w:r>
              <w:rPr>
                <w:sz w:val="20"/>
                <w:szCs w:val="20"/>
              </w:rPr>
              <w:br w:type="textWrapping" w:clear="all"/>
              <w:t xml:space="preserve">аренды земельного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77"/>
              <w:jc w:val="both"/>
            </w:pPr>
            <w:r>
              <w:rPr>
                <w:sz w:val="20"/>
                <w:szCs w:val="20"/>
              </w:rPr>
              <w:t xml:space="preserve">местоположение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Российская Федерация, край Пермский, городской округ Пермский, город Пермь, улица 3-я Мало-Субботинская, з/у 5</w:t>
            </w:r>
            <w:r/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77"/>
            </w:pPr>
            <w:r>
              <w:rPr>
                <w:sz w:val="20"/>
                <w:szCs w:val="20"/>
                <w:lang w:val="en-US"/>
              </w:rPr>
              <w:t xml:space="preserve">площадь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528 кв. м</w:t>
            </w:r>
            <w:r/>
          </w:p>
        </w:tc>
      </w:tr>
      <w:tr>
        <w:tblPrEx/>
        <w:trPr>
          <w:trHeight w:val="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77"/>
            </w:pPr>
            <w:r>
              <w:rPr>
                <w:sz w:val="20"/>
                <w:szCs w:val="20"/>
                <w:lang w:val="en-US"/>
              </w:rPr>
              <w:t xml:space="preserve">кадастровый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59:01:4413926:166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84"/>
            </w:pPr>
            <w:r>
              <w:rPr>
                <w:sz w:val="20"/>
              </w:rPr>
              <w:t xml:space="preserve">права на земельный участок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ind w:right="-263"/>
              <w:jc w:val="both"/>
            </w:pPr>
            <w:r>
              <w:rPr>
                <w:sz w:val="20"/>
                <w:lang w:val="en-US"/>
              </w:rPr>
              <w:t xml:space="preserve">государственная собственность не разграничена</w:t>
            </w:r>
            <w:r/>
          </w:p>
        </w:tc>
      </w:tr>
      <w:tr>
        <w:tblPrEx/>
        <w:trPr>
          <w:trHeight w:val="2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77"/>
            </w:pPr>
            <w:r>
              <w:rPr>
                <w:sz w:val="20"/>
                <w:szCs w:val="20"/>
                <w:lang w:val="en-US"/>
              </w:rPr>
              <w:t xml:space="preserve">разрешенное использование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</w:rPr>
              <w:t xml:space="preserve">для индивидуального жилищного строительства</w:t>
            </w:r>
            <w:r/>
          </w:p>
        </w:tc>
      </w:tr>
      <w:tr>
        <w:tblPrEx/>
        <w:trPr>
          <w:trHeight w:val="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84"/>
            </w:pPr>
            <w:r>
              <w:rPr>
                <w:sz w:val="20"/>
              </w:rPr>
              <w:t xml:space="preserve">принадлежность к определенной  </w:t>
            </w:r>
            <w:r>
              <w:rPr>
                <w:sz w:val="20"/>
              </w:rPr>
              <w:br w:type="textWrapping" w:clear="all"/>
              <w:t xml:space="preserve">категории земель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ind w:right="-263"/>
              <w:jc w:val="both"/>
            </w:pPr>
            <w:r>
              <w:rPr>
                <w:sz w:val="20"/>
                <w:szCs w:val="20"/>
              </w:rPr>
              <w:t xml:space="preserve">земли населенных пунктов</w:t>
            </w:r>
            <w:r/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77"/>
            </w:pPr>
            <w:r>
              <w:rPr>
                <w:sz w:val="20"/>
              </w:rPr>
              <w:t xml:space="preserve">ограничение прав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Ограничения прав подробно описаны: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выписке из Единого государственного реестра недвижимости об объекте недвижимости                         от</w:t>
            </w:r>
            <w:r>
              <w:t xml:space="preserve"> </w:t>
            </w:r>
            <w:r>
              <w:rPr>
                <w:sz w:val="20"/>
              </w:rPr>
              <w:t xml:space="preserve">03.06.2024г. № КУВИ-001/2024-149539055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градостроительном плане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09.04.2024 № РФ-59-2-03-0-00-2024-0627-0 (далее – ГПЗУ).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администрации Индустриального района города Перми от 09.04.2024 № 059-16-01-08/3-1127, акту обследования от 08.04.2024 № 79 Участок находится в свободном досту</w:t>
            </w:r>
            <w:r>
              <w:rPr>
                <w:sz w:val="20"/>
                <w:szCs w:val="20"/>
              </w:rPr>
              <w:t xml:space="preserve">пе, на территории Участка капитальные и некапитальные объекты отсутствуют.              На Участке произрастают деревья, кустарники.                       В соответствии со сведениями ЕГРН в границах Участка капитальные и некапитальные объекты отсутствуют.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данным копии городского планшета 1:500 (требуется корректура топографической съемки)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02.04.2024 в границах Участка объекты капитального строительства отсутствуют.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выявления объектов некапитального типа победитель аукциона обязан осуществить демонтаж выявленных объектов за счет собственных средств                     и (или) с пр</w:t>
            </w:r>
            <w:r>
              <w:rPr>
                <w:sz w:val="20"/>
                <w:szCs w:val="20"/>
              </w:rPr>
              <w:t xml:space="preserve">ивлечением средств других лиц без отнесения соответствующих расходов 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сведениям, содержащимся в ГПЗУ, ЕГРН             и справке по градостроительным условиям                         от 03.06.2024 № 595581 Участок полностью расположен в границах зон с особыми условиями использования территории: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Приаэродромной территории аэродрома аэропорта Большое Савино, реестровый номер границы 59:32-6.553.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и строительство вести                    </w:t>
            </w:r>
            <w:r>
              <w:rPr>
                <w:sz w:val="20"/>
                <w:szCs w:val="20"/>
              </w:rPr>
              <w:t xml:space="preserve">        в соответствии с постановлением Правительства Российской Федерации от 11.03.2010 № 138                            «Об утверждении Федеральных правил использования воздушного пространства Российской Федерации»: «Запрещается размещать в полосах возду</w:t>
            </w:r>
            <w:r>
              <w:rPr>
                <w:sz w:val="20"/>
                <w:szCs w:val="20"/>
              </w:rPr>
              <w:t xml:space="preserve">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водоохранной зоне бассейна реки Верхняя Мулянка, Часть 5, учётный № ГКН 59:00-6.1411;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прибрежной защитной полосе бассейна реки Верхняя Мулянка, Часть 5. учётный № ГКН 59:00-6.1412.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проектировании и строительстве необходимо учитывать требования приказа Министерства природных ресурсов, лесного хозяйства и экологии Пермского края от 11.12.2023 № 30-01-02-1557 «О внесении изменений  в пр</w:t>
            </w:r>
            <w:r>
              <w:rPr>
                <w:sz w:val="20"/>
                <w:szCs w:val="20"/>
              </w:rPr>
              <w:t xml:space="preserve">иказ от 24.11.2020 № 30-01-02-969 «Об утверждении установленных границ водоохранных зон, границ прибрежных защитных полос и границ береговых линий бассейна реки Верхняя Мулянка на территории Пермского края»», статьи 65 Водного кодекса Российской Федерации.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управления по экологии                                и природопользованию администрации города Перми                 от 12.04.2024 № 059-33-01-10/3-202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испрашиваемом земельном участке произрастают 14 деревьев – 9 яблонь, 4 тополя, 1 черемуха. Средняя стоимость в ценах 2024 года одного дерева лиственной породы от 17 тыс. руб., а хвойной – от 20 тыс.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Победителю аукциона необходимо соблюдать следующие условия строительства, а также проектом предусмотреть: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Нанесение существующих деревьев на стройгенплане;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Снос деревьев, попадающих в пят</w:t>
            </w:r>
            <w:r>
              <w:rPr>
                <w:sz w:val="20"/>
                <w:szCs w:val="20"/>
              </w:rPr>
              <w:t xml:space="preserve">но застройки, вести на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на основании проектной документации. Остальные деревья сохранить;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Восстановление зеленых насаждений вести                         в соответствии с решением Пермской городской Думы       от 15.12.2020 № 277;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Сбор и отвод ливневых вод с использованием вариантов решений в зависимости от: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наличия централизованной системы ливневой канализации;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площади водосбора с учетом транзитных вод                        с прилегающей территории;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угла наклона рельефа, включающий прилегающие территории;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применения иных решений равномерного отвода поверхностного стока с запрашиваемой территории на прилегающей территории;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Определение видов образующих отходов и мест их размещения на период эксплуатации;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Конкретные мероприятия по охране окружающей среды на период строительства, включая: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установку временного защитного ограждения строительной площадки;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ограждение существующих зеленых насаждений, не попадающих под пятно застройки;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прокладку коммуникаций осуществлять на расстоянии не менее 2 м. от ствола дерева, чтобы не повредить корневую систему;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использовать приствольные круги существующих деревьев (диаметром 1 м) под складирование материалов и установки временных сооружений;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определение видов и объемов образующихся отходов и мест их размещения;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систематический вывоз отходов;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недопущение загрязнения атмосферы, почвы                       и подземных вод;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предотвращение выноса грязи автотранспортом, выезжающим со строительной площадки.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дорог и благоустройства администрации города Перми письмом от 27.03.2024 № 059-24-01-36/3-941 сообщает следующее: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бюджетом города Перми на 2024 год и плановый период 2025-2026 годов мероприятий по строительству, реконструкции, капитальному ремонту улично-дорожной сети на данной территории не запланировано.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Присоединение Участка к улично-дорожной сети возможно при следующих условиях: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разработать и согласовать на рабочей группе по</w:t>
            </w:r>
            <w:r>
              <w:rPr>
                <w:sz w:val="20"/>
                <w:szCs w:val="20"/>
              </w:rPr>
              <w:t xml:space="preserve"> организации и безопасности дорожного движения                  (ул. Пермская, 164, 236-00-30 доб. 116) проектное решение для примыкания территории Участка                            к автомобильной дороге общего пользования местного значения города Перми;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разработать и согласовать в установленном порядке соответствующий проект организации дорожного движения на примыкание Участков к автомобильной </w:t>
            </w:r>
            <w:r>
              <w:rPr>
                <w:sz w:val="20"/>
                <w:szCs w:val="20"/>
              </w:rPr>
              <w:t xml:space="preserve">дороге общего пользования местного значения города Перми (Приказ Минтранса России от 30.07.2020 № 274 «Об утверждении Правил подготовки документации по организации дорожного движения», постановление Администрации г. Перми от 02.03.2021 № 122               </w:t>
            </w:r>
            <w:r>
              <w:rPr>
                <w:sz w:val="20"/>
                <w:szCs w:val="20"/>
              </w:rPr>
              <w:t xml:space="preserve">         «Об утверждении Перечня органов и организаций,                     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на территории города Перми»);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получить согласие владельца автомобильной дороги (порядок выдачи согласия владельц</w:t>
            </w:r>
            <w:r>
              <w:rPr>
                <w:sz w:val="20"/>
                <w:szCs w:val="20"/>
              </w:rPr>
              <w:t xml:space="preserve">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</w:t>
            </w:r>
            <w:r>
              <w:rPr>
                <w:sz w:val="20"/>
                <w:szCs w:val="20"/>
              </w:rPr>
              <w:t xml:space="preserve"> примыкания автомобильной дороги общего пользования местного значения к другой автомобильной дороге,                     а также перечень документов, необходимых для выдачи Согласия, утверждены Постановлением администрации города Перми от 31.01.2022 № 45).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направлена инфо</w:t>
            </w:r>
            <w:r>
              <w:rPr>
                <w:sz w:val="20"/>
                <w:szCs w:val="20"/>
              </w:rPr>
              <w:t xml:space="preserve">рмация                           о соблюдении при строительстве объекта недвижимости на Участке, предоставленном на аукционе, Правил благоустройства территории города Перми, утвержденных решением Пермской городской Думы                 от 15.12.2020 № 277: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поверхностный водоотвод решить проектом без подтопления смежных территорий, в соответствии                      с действующими нормативно-правовыми актами                        и природоохранным законодательством;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предусмотреть электроосвещение территории объекта;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стоянку временного транспорта разместить                           в границах отведенного под строительство земельного участка вне территории общего пользования;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предусмотреть устройство подъезда к Участку или ликвидацию разрушений, повреждений дорожного покрытия существующих проездов от границ Участка до существующей улично-дорожной сети, а также наружное освещение подъездов.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сообщается, что в соответствии                     с Федеральным законом от 08.11.2007 № 257-ФЗ                    «Об автомобильных дорогах и о дорожной деятельности в Российской Федерации и о внесении изм</w:t>
            </w:r>
            <w:r>
              <w:rPr>
                <w:sz w:val="20"/>
                <w:szCs w:val="20"/>
              </w:rPr>
              <w:t xml:space="preserve">енений                       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</w:t>
            </w:r>
            <w:r>
              <w:rPr>
                <w:sz w:val="20"/>
                <w:szCs w:val="20"/>
              </w:rPr>
              <w:t xml:space="preserve">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письмом департамента общественной безопасности администрации города Перми от 02.04.2024 № 059-10-01-27/3-448: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ближайшее подразделение пожарной охраны расположено по адресу: ул. Беляева, 29 (ПСЧ-2 10-ПСО);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общественной безопасности, отнесенный                  к объектам полиции (участковые пункты полици</w:t>
            </w:r>
            <w:r>
              <w:rPr>
                <w:sz w:val="20"/>
                <w:szCs w:val="20"/>
              </w:rPr>
              <w:t xml:space="preserve">и), отсутствуют. Ближайший участковый пункт расположен по адресу: г. Пермь, ул. Экскаваторная, 57 (микрорайон Нагорный, Индустриальный район). В настоящее время в указанном микрорайоне строительство (приобретение) участковых пунктов полиции не планируется;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помещения для аварийно-спасательных формирований на указанной территории отсутствуют.              В настоящее время потребность в обеспечении служебными помещениями для аварийно-спасательных формирований в указанном микрорайоне отсутствует;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указанной территории источники противопожарного водоснабжения отсутствуют;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информацией, предоставленной Министерством территориальной безопасности Пермского края, Участок попадает в зону возможного химического заражения в особый период;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не попадает в зону действия региональной автоматизированной системы централизованного оповещения населения города Перми, н</w:t>
            </w:r>
            <w:r>
              <w:rPr>
                <w:sz w:val="20"/>
                <w:szCs w:val="20"/>
              </w:rPr>
              <w:t xml:space="preserve">еобходимо предусмотреть размещение дополнительных сиренно-речевых узлов системы оповещения,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размещении объектов на вышеуказанной территории необходимо </w:t>
            </w:r>
            <w:r>
              <w:rPr>
                <w:sz w:val="20"/>
                <w:szCs w:val="20"/>
              </w:rPr>
              <w:t xml:space="preserve">соблюдать нормы                            и требования действующего законодательства: Федеральных законов от 21.12.1994 № 69-ФЗ                     «О пожарной безопасности»  и от 22.07.2008 № 123-ФЗ «Технический регламент о требованиях пожарной безопасно</w:t>
            </w:r>
            <w:r>
              <w:rPr>
                <w:sz w:val="20"/>
                <w:szCs w:val="20"/>
              </w:rPr>
              <w:t xml:space="preserve">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                          и градостроитель</w:t>
            </w:r>
            <w:r>
              <w:rPr>
                <w:sz w:val="20"/>
                <w:szCs w:val="20"/>
              </w:rPr>
              <w:t xml:space="preserve">ной деятельности Пермского края         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</w:t>
            </w:r>
            <w:r>
              <w:rPr>
                <w:sz w:val="20"/>
                <w:szCs w:val="20"/>
              </w:rPr>
              <w:t xml:space="preserve">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экономики и промышленной политики администрации города Перми п</w:t>
            </w:r>
            <w:r>
              <w:rPr>
                <w:sz w:val="20"/>
                <w:szCs w:val="20"/>
              </w:rPr>
              <w:t xml:space="preserve">исьмом от 27.03.2024               № 059-13-01-04-516 сообщает, что места для установки               и эксплуатации рекламных конструкций, включенные               в схему размещения рекламных конструкций на территории города Перми, утвержденную решением </w:t>
            </w:r>
            <w:r>
              <w:rPr>
                <w:sz w:val="20"/>
                <w:szCs w:val="20"/>
              </w:rPr>
              <w:t xml:space="preserve">Пермской городской Думы от 23.08.2016 № 171,                   и места размещения НТО, включенные в схему размещения НТО на территории города Перми, утвержденную постановлением администрации города Перми от 02.08.2018 № 521, в границах Участка отсутствуют.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Договоры на размещение нестационарных торговых объектов в границах Участка не заключались.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департамента имущественных отношений администрации города Перми от 25.03.2024 № 059-19-01-35/3-481 Участок и объекты недвижимого имущества в реестре муниципального имущества города Перми не учитываются.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инспекция по охране объектов культурного наследия Пермского края письмом                       от 28.03.2024 № Исх55-01-17.2-152 сообщает следующее.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 границах Участка отсутствуют: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объекты культурного наследия, включенные                       в единый государственный реестр объектов культурного наследия (памятников </w:t>
            </w:r>
            <w:r>
              <w:rPr>
                <w:sz w:val="20"/>
                <w:szCs w:val="20"/>
              </w:rPr>
              <w:t xml:space="preserve">истории </w:t>
            </w:r>
            <w:r>
              <w:rPr>
                <w:sz w:val="20"/>
                <w:szCs w:val="20"/>
              </w:rPr>
              <w:t xml:space="preserve">и культуры) народов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выявленные объекты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объекты, обладающие признаками объектов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территории объектов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зоны охраны объектов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защитные зоны объектов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Участок не связан с земельным участком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границах территории объекта культурного наследия;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Сведения о режимах использования (ограничения/обременения) Участка отсутствуют;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Данные о проведенных историко-культурных исследованиях в границах Участка отсутствуют;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</w:pPr>
            <w:r>
              <w:rPr>
                <w:sz w:val="20"/>
                <w:szCs w:val="20"/>
              </w:rPr>
              <w:t xml:space="preserve">5. Необходимость проведения историко-культурной экспертизы в границах Участка отсутствует.</w:t>
            </w:r>
            <w:r/>
          </w:p>
        </w:tc>
      </w:tr>
      <w:tr>
        <w:tblPrEx/>
        <w:trPr>
          <w:trHeight w:val="7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9" w:right="-263" w:hanging="284"/>
            </w:pPr>
            <w:r>
              <w:rPr>
                <w:sz w:val="20"/>
                <w:szCs w:val="20"/>
              </w:rPr>
              <w:t xml:space="preserve">максимально и (или) минимально допустимые параметры разрешенного строительства </w:t>
            </w:r>
            <w:r>
              <w:rPr>
                <w:sz w:val="20"/>
                <w:szCs w:val="20"/>
              </w:rPr>
              <w:br w:type="textWrapping" w:clear="all"/>
              <w:t xml:space="preserve">объекта капитального строительства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</w:t>
            </w:r>
            <w:r>
              <w:rPr>
                <w:sz w:val="20"/>
                <w:shd w:val="clear" w:color="auto" w:fill="ffffff"/>
              </w:rPr>
              <w:br/>
              <w:t xml:space="preserve">на ГИС Торги </w:t>
            </w:r>
            <w:r>
              <w:rPr>
                <w:sz w:val="20"/>
                <w:lang w:val="en-US"/>
              </w:rPr>
              <w:t xml:space="preserve">www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torgi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gov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ru</w:t>
            </w:r>
            <w:r>
              <w:rPr>
                <w:sz w:val="20"/>
                <w:shd w:val="clear" w:color="auto" w:fill="ffffff"/>
              </w:rPr>
              <w:t xml:space="preserve">, официальном сайте муниципального образования город Пермь </w:t>
            </w:r>
            <w:r>
              <w:rPr>
                <w:sz w:val="20"/>
                <w:shd w:val="clear" w:color="auto" w:fill="ffffff"/>
              </w:rPr>
              <w:br w:type="textWrapping" w:clear="all"/>
              <w:t xml:space="preserve">в информационно-телекоммуникационной сети Интернет </w:t>
            </w:r>
            <w:r>
              <w:rPr>
                <w:sz w:val="20"/>
              </w:rPr>
              <w:t xml:space="preserve">www.gorodperm.ru.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и строительство необходимо вести                в соответствии с пунктом 4.5 СП 55.13330.</w:t>
            </w:r>
            <w:r>
              <w:rPr>
                <w:sz w:val="20"/>
                <w:szCs w:val="20"/>
              </w:rPr>
              <w:t xml:space="preserve">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</w:t>
            </w:r>
            <w:r>
              <w:rPr>
                <w:sz w:val="20"/>
                <w:szCs w:val="20"/>
              </w:rPr>
              <w:t xml:space="preserve">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                   в однокомнатном доме</w:t>
            </w:r>
            <w:r>
              <w:rPr>
                <w:sz w:val="20"/>
                <w:szCs w:val="20"/>
              </w:rPr>
              <w:t xml:space="preserve"> - 14 м2, общей комнаты в доме              с числом комнат две и более - 16 м2, спальни - 8 м2              (на двух человек - 10 м2); кухни - 8 м2; кухонной зоны              в кухне-столовой - 6 м2. В домах с одной комнатой допускается проектировать кух</w:t>
            </w:r>
            <w:r>
              <w:rPr>
                <w:sz w:val="20"/>
                <w:szCs w:val="20"/>
              </w:rPr>
              <w:t xml:space="preserve">ни или кухни-ниши площадью не менее 5 м2. Площадь спальни и кухни                 в мансардном этаже (или этаже с наклонными ограждающими конструкциями) допускается не менее            7 м2 при условии, что общая жилая комната имеет площадь не менее 16 м2.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пункту 6.2 СП 55.13330.2016 высота                         (от пола до потолка) комнат и кухни (кухни-столовой)                в климатических районах строительства IА, IБ, IГ, IД, опр</w:t>
            </w:r>
            <w:r>
              <w:rPr>
                <w:sz w:val="20"/>
                <w:szCs w:val="20"/>
              </w:rPr>
              <w:t xml:space="preserve">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жилых комнатах и кухнях, расположенных                 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информации, содержащейся                                    в градостроительном плане земельного участка                         от 09.04.2024 № РФ-59-2-03-0-00-2024-0627-0 (далее – ГПЗУ), предельная высота зданий, строений не более 10,5 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отступ от границ земельного участка до места допустимого размещения зданий, строений, сооружений (за исключе</w:t>
            </w:r>
            <w:r>
              <w:rPr>
                <w:sz w:val="20"/>
                <w:szCs w:val="20"/>
              </w:rPr>
              <w:t xml:space="preserve">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</w:t>
            </w:r>
            <w:r>
              <w:rPr>
                <w:sz w:val="20"/>
                <w:szCs w:val="20"/>
              </w:rPr>
              <w:t xml:space="preserve">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процент застройки в границах Участка – 40%.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уведомлением о планируемом строительстве жилого дома рекомендуется обратиться                               в уполномоченный орган администрации города Перми.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410" w:right="-263" w:hanging="284"/>
            </w:pPr>
            <w:r>
              <w:rPr>
                <w:sz w:val="20"/>
                <w:szCs w:val="20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  <w:shd w:val="clear" w:color="auto" w:fill="ffffff"/>
              </w:rPr>
              <w:t xml:space="preserve">документации по земельн</w:t>
            </w:r>
            <w:r>
              <w:rPr>
                <w:sz w:val="20"/>
                <w:shd w:val="clear" w:color="auto" w:fill="ffffff"/>
              </w:rPr>
              <w:t xml:space="preserve">о</w:t>
            </w:r>
            <w:r>
              <w:rPr>
                <w:sz w:val="20"/>
                <w:shd w:val="clear" w:color="auto" w:fill="ffffff"/>
              </w:rPr>
              <w:t xml:space="preserve">м</w:t>
            </w:r>
            <w:r>
              <w:rPr>
                <w:sz w:val="20"/>
                <w:shd w:val="clear" w:color="auto" w:fill="ffffff"/>
              </w:rPr>
              <w:t xml:space="preserve">у участку</w:t>
            </w:r>
            <w:r>
              <w:rPr>
                <w:sz w:val="20"/>
                <w:shd w:val="clear" w:color="auto" w:fill="ffffff"/>
              </w:rPr>
              <w:t xml:space="preserve">, размещенной с извещением о проведении аукциона </w:t>
            </w:r>
            <w:r>
              <w:rPr>
                <w:sz w:val="20"/>
                <w:shd w:val="clear" w:color="auto" w:fill="ffffff"/>
              </w:rPr>
              <w:br/>
            </w:r>
            <w:r>
              <w:rPr>
                <w:sz w:val="20"/>
                <w:shd w:val="clear" w:color="auto" w:fill="ffffff"/>
              </w:rPr>
              <w:t xml:space="preserve">на ГИС Торги </w:t>
            </w:r>
            <w:r>
              <w:rPr>
                <w:sz w:val="20"/>
                <w:lang w:val="en-US"/>
              </w:rPr>
              <w:t xml:space="preserve">www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torgi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gov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  <w:lang w:val="en-US"/>
              </w:rPr>
              <w:t xml:space="preserve">ru</w:t>
            </w:r>
            <w:r>
              <w:rPr>
                <w:sz w:val="20"/>
                <w:shd w:val="clear" w:color="auto" w:fill="ffffff"/>
              </w:rPr>
              <w:t xml:space="preserve">, официальном сайте муниципального образования город Пермь </w:t>
            </w:r>
            <w:r>
              <w:rPr>
                <w:sz w:val="20"/>
                <w:shd w:val="clear" w:color="auto" w:fill="ffffff"/>
              </w:rPr>
              <w:br w:type="textWrapping" w:clear="all"/>
              <w:t xml:space="preserve">в информационно-телекоммуникационной сети Интернет </w:t>
            </w:r>
            <w:r>
              <w:rPr>
                <w:sz w:val="20"/>
              </w:rPr>
              <w:t xml:space="preserve">www.gorodperm.ru.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1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Филиал</w:t>
            </w:r>
            <w:r>
              <w:rPr>
                <w:sz w:val="20"/>
                <w:szCs w:val="20"/>
              </w:rPr>
              <w:t xml:space="preserve">а ПАО «Россети Урал» - «Пермэнерго» от 29.03.2024 № ПЭ/ПГЭС/01/22/2998                 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</w:t>
            </w:r>
            <w:r>
              <w:rPr>
                <w:sz w:val="20"/>
                <w:szCs w:val="20"/>
              </w:rPr>
              <w:t xml:space="preserve">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технологическое присоед</w:t>
            </w:r>
            <w:r>
              <w:rPr>
                <w:sz w:val="20"/>
                <w:szCs w:val="20"/>
              </w:rPr>
              <w:t xml:space="preserve">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№ 121-тп (в последней редакции).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https://портал-тп.рф или через Мобильное приложение ПАО «Россети».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АО «Газпром газораспределен</w:t>
            </w:r>
            <w:r>
              <w:rPr>
                <w:sz w:val="20"/>
                <w:szCs w:val="20"/>
              </w:rPr>
              <w:t xml:space="preserve">ие Пермь» от 26.03.2024 № ПФ-1728 техническая возможность подключения объекта капитального строительства с предполагаемой максимальной нагрузкой (часовым расходом газа) 8м3/час                                 к существующим сетям газораспределения имеется.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рассмотрения вопроса о предоставл</w:t>
            </w:r>
            <w:r>
              <w:rPr>
                <w:sz w:val="20"/>
                <w:szCs w:val="20"/>
              </w:rPr>
              <w:t xml:space="preserve">ении технических условий на подключение (технологическое присоединение) необходимо направить запрос по типовой форме согласно приложению № 1 к Правилам подключения (технологического присоединения) газоиспользующего оборудования и объектов капитального стро</w:t>
            </w:r>
            <w:r>
              <w:rPr>
                <w:sz w:val="20"/>
                <w:szCs w:val="20"/>
              </w:rPr>
              <w:t xml:space="preserve">ительства  к сетям газораспределения  и о признании утратившим силу некоторых актов Правительства Российской Федерации, утвержденным постановление Правительства Российской Федерации  от 13.09.2021  № 1547 (далее – Правила), с приложением необходимых докуме</w:t>
            </w:r>
            <w:r>
              <w:rPr>
                <w:sz w:val="20"/>
                <w:szCs w:val="20"/>
              </w:rPr>
              <w:t xml:space="preserve">нтов и сведений, указанных                        в пунктах Правил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письмом ООО «НОВОГОР-Прикамье» от 29.03.2024 № 110-4659 о наличии технической возможно</w:t>
            </w:r>
            <w:r>
              <w:rPr>
                <w:sz w:val="20"/>
                <w:szCs w:val="20"/>
              </w:rPr>
              <w:t xml:space="preserve">сти подключения объекта капитального строительства с планируемой величиной подключаемой нагрузки по водоснабжению                                  и водоотведению – 1,0 м3/сут. к централизованным системам водоснабжения и водоотведения сообщается следующее.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районе Участка отсутствуют централизованные сети водоснабжения и водоотведения, эксплуатируемые ООО «НОВОГОР-Прикамье».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Ближайшие сети водоснабжения и водоотведения, эксплуатируемые ООО «НОВОГОР-Прикамье», располагаются ориентировочно в радиусе – 2,19 км                    от Участка.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проектировании может быть применен альтернативный способ снабжения водой без подключения к централизованной системе водоснабжения (от скважины) и альтернативный способ канализования, без подключения к централизованной</w:t>
            </w:r>
            <w:r>
              <w:rPr>
                <w:sz w:val="20"/>
                <w:szCs w:val="20"/>
              </w:rPr>
              <w:t xml:space="preserve"> системе канализации города Перми (отвод стоков возможен на локальные очистные сооружения, канализование объекта 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тем, что ООО «НОВОГОР-Прикамье» эксп</w:t>
            </w:r>
            <w:r>
              <w:rPr>
                <w:sz w:val="20"/>
                <w:szCs w:val="20"/>
              </w:rPr>
              <w:t xml:space="preserve">луатирует только централизованные системы водоснабжения и водоотведения, по вопросу возможности обеспечения жилого дома холодным водоснабжением от скважины и отвод канализационных локально предложено обратиться в организации, регулирующие недропользование.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 не располагает сведениями о наличии сетей 3-х лиц в границах Участка.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Победителю аукциона для получения информации                о возможности подключения указанного выше земельного участка, рекомендуем обратиться                            к правообладателям близлежащих сетей водоснабжения    и водоотведения.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письмом Филиала «Пермский ПАО «Т Плюс» от 29.03.2024 № 51000-32-00936 Участок расположен вне зоны теплоснабжения ПАО «Т Плюс».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жилищно-коммуналь</w:t>
            </w:r>
            <w:r>
              <w:rPr>
                <w:sz w:val="20"/>
                <w:szCs w:val="20"/>
              </w:rPr>
              <w:t xml:space="preserve">ного хозяйства администрации города Перми (далее – ДЖКХ) письмом от 03.04.2024 № 059-04-25/3-39-ри сообщает, что техническая возможность подключения к сетям теплоснабжения отсутствует. Рекомендовано рассмотреть альтернативный источник теплоснабжения – газ.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границах Участка сети ПАО «Ростелеком» отсутствуют. Для подключения (технологического присоединения) к сетям электросвязи ПАО «Ростелеком» необходим запрос правообладателя земельного </w:t>
            </w:r>
            <w:r>
              <w:rPr>
                <w:sz w:val="20"/>
                <w:szCs w:val="20"/>
              </w:rPr>
              <w:t xml:space="preserve">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 по адресу: г. Пермь, ул. Крупской, 2, тел.: (342) 235-57-34 или направить запрос на perm-mail@ural.rt.ru.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действия технических условий составляет 3 года со дня выдачи. В случае, если в течении 1 года со дня выдачи технических условий заявителем не будет подана заявка о под</w:t>
            </w:r>
            <w:r>
              <w:rPr>
                <w:sz w:val="20"/>
                <w:szCs w:val="20"/>
              </w:rPr>
              <w:t xml:space="preserve">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 от 01.07.2022 № 1196).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52"/>
              <w:jc w:val="both"/>
              <w:tabs>
                <w:tab w:val="left" w:pos="311" w:leader="none"/>
              </w:tabs>
            </w:pPr>
            <w:r>
              <w:rPr>
                <w:sz w:val="20"/>
                <w:szCs w:val="20"/>
              </w:rPr>
              <w:t xml:space="preserve">Согласно письму ДЖКХ от 28.03.202</w:t>
            </w:r>
            <w:r>
              <w:rPr>
                <w:sz w:val="20"/>
                <w:szCs w:val="20"/>
              </w:rPr>
              <w:t xml:space="preserve">4 № 059-04-17/3-329-ри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предусмотрено строительство сетей водоснабжения и водоотведения </w:t>
            </w:r>
            <w:r>
              <w:rPr>
                <w:sz w:val="20"/>
                <w:szCs w:val="20"/>
              </w:rPr>
              <w:br/>
              <w:t xml:space="preserve">в д. Субботино с 2024 года (мероприятие не обеспечено финансированием). </w:t>
            </w:r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цена предмета аукциона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right="-2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размер ежегодной арендной платы</w:t>
            </w:r>
            <w:r>
              <w:rPr>
                <w:b/>
                <w:sz w:val="20"/>
                <w:szCs w:val="20"/>
              </w:rPr>
              <w:t xml:space="preserve">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right="-2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r>
              <w:rPr>
                <w:sz w:val="20"/>
                <w:szCs w:val="20"/>
              </w:rPr>
              <w:t xml:space="preserve"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</w:t>
            </w:r>
            <w:r>
              <w:rPr>
                <w:sz w:val="20"/>
                <w:szCs w:val="20"/>
              </w:rPr>
              <w:t xml:space="preserve">обязан в течение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  <w:t xml:space="preserve"> 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 w:type="textWrapping" w:clear="all"/>
              <w:t xml:space="preserve">со дня размещения протокола о результатах аукциона, а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случаях, определенных п.</w:t>
            </w:r>
            <w:r>
              <w:rPr>
                <w:sz w:val="20"/>
                <w:szCs w:val="20"/>
              </w:rPr>
              <w:t xml:space="preserve">13, п.14, ст. 39.12 ЗК РФ, протокола рассмотрения заявок, </w:t>
            </w:r>
            <w:r>
              <w:rPr>
                <w:sz w:val="20"/>
                <w:szCs w:val="20"/>
              </w:rPr>
              <w:t xml:space="preserve">уплатить ежегодный размер арендной платы (за вычетом задатка, внесенного для участия в аукционе)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за 1 год</w:t>
            </w:r>
            <w:r>
              <w:rPr>
                <w:sz w:val="20"/>
                <w:szCs w:val="20"/>
              </w:rPr>
              <w:t xml:space="preserve"> на счет департамента земельных отношений администрации города Перми, </w:t>
            </w:r>
            <w:r>
              <w:rPr>
                <w:sz w:val="20"/>
                <w:szCs w:val="20"/>
              </w:rPr>
              <w:t xml:space="preserve">614015, ул. Сибирская,15, </w:t>
            </w:r>
            <w:r>
              <w:rPr>
                <w:sz w:val="20"/>
                <w:szCs w:val="20"/>
              </w:rPr>
              <w:br w:type="textWrapping" w:clear="all"/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291 200 руб. </w:t>
            </w:r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</w:pPr>
            <w:r>
              <w:rPr>
                <w:sz w:val="20"/>
                <w:szCs w:val="20"/>
              </w:rPr>
              <w:t xml:space="preserve">«Шаг аукциона» (3% от начальной цены)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8 736 руб.</w:t>
            </w:r>
            <w:r/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заявки на участие в аукционе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заявки размещена на сайтах </w:t>
            </w:r>
            <w:hyperlink r:id="rId19" w:tooltip="http://www.torgi.gov.ru/" w:history="1">
              <w:r>
                <w:rPr>
                  <w:rStyle w:val="910"/>
                  <w:sz w:val="20"/>
                  <w:szCs w:val="20"/>
                  <w:lang w:val="en-US"/>
                </w:rPr>
                <w:t xml:space="preserve">www</w:t>
              </w:r>
              <w:r>
                <w:rPr>
                  <w:rStyle w:val="910"/>
                  <w:sz w:val="20"/>
                  <w:szCs w:val="20"/>
                </w:rPr>
                <w:t xml:space="preserve">.</w:t>
              </w:r>
              <w:r>
                <w:rPr>
                  <w:rStyle w:val="910"/>
                  <w:sz w:val="20"/>
                  <w:szCs w:val="20"/>
                  <w:lang w:val="en-US"/>
                </w:rPr>
                <w:t xml:space="preserve">torgi</w:t>
              </w:r>
              <w:r>
                <w:rPr>
                  <w:rStyle w:val="910"/>
                  <w:sz w:val="20"/>
                  <w:szCs w:val="20"/>
                </w:rPr>
                <w:t xml:space="preserve">.</w:t>
              </w:r>
              <w:r>
                <w:rPr>
                  <w:rStyle w:val="910"/>
                  <w:sz w:val="20"/>
                  <w:szCs w:val="20"/>
                  <w:lang w:val="en-US"/>
                </w:rPr>
                <w:t xml:space="preserve">gov</w:t>
              </w:r>
              <w:r>
                <w:rPr>
                  <w:rStyle w:val="910"/>
                  <w:sz w:val="20"/>
                  <w:szCs w:val="20"/>
                </w:rPr>
                <w:t xml:space="preserve">.</w:t>
              </w:r>
              <w:r>
                <w:rPr>
                  <w:rStyle w:val="910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</w:rPr>
              <w:t xml:space="preserve">, www.gorodperm.ru (раздел Деятельность/Муниципальная собственность/Торговая площадка/ Вид торгов Продажа </w:t>
            </w:r>
            <w:r>
              <w:rPr>
                <w:sz w:val="20"/>
                <w:szCs w:val="20"/>
              </w:rPr>
              <w:br w:type="textWrapping" w:clear="all"/>
              <w:t xml:space="preserve">и аренда земельных участков).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подается одновременно с полным пакетом документов, требуемых для участия в аукционе.              На каждый лот представляется отдельный пакет документов.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</w:pPr>
            <w:r>
              <w:rPr>
                <w:b/>
                <w:sz w:val="20"/>
                <w:szCs w:val="20"/>
              </w:rPr>
              <w:t xml:space="preserve">Решение о проведении аукциона принято                           в соответствии со статьей 39.11 Земельного кодекса Российской Федерации. Аукцион является открытым по составу участников.</w:t>
            </w:r>
            <w:r/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задатка (50% от начальной цены)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145 600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аренды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20 лет</w:t>
            </w:r>
            <w:r/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</w:pPr>
            <w:r>
              <w:rPr>
                <w:sz w:val="20"/>
                <w:szCs w:val="20"/>
              </w:rPr>
              <w:t xml:space="preserve">Проект договора аренды земельного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Примерная</w:t>
            </w:r>
            <w:r>
              <w:rPr>
                <w:sz w:val="20"/>
                <w:szCs w:val="20"/>
              </w:rPr>
              <w:t xml:space="preserve"> форма договора аренды земельного участка, приобретаемого на торгах в форме аукциона, </w:t>
            </w:r>
            <w:r>
              <w:rPr>
                <w:sz w:val="20"/>
                <w:szCs w:val="20"/>
              </w:rPr>
              <w:t xml:space="preserve">для строительства, </w:t>
            </w:r>
            <w:r>
              <w:rPr>
                <w:sz w:val="20"/>
                <w:szCs w:val="20"/>
              </w:rPr>
              <w:t xml:space="preserve">утверждена постановлением администрации города Перми от 29.05.2015 № 322, является Приложением </w:t>
            </w: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к настоящему извещению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размещена на сайтах </w:t>
            </w:r>
            <w:r>
              <w:rPr>
                <w:sz w:val="20"/>
                <w:szCs w:val="20"/>
                <w:lang w:val="en-US"/>
              </w:rPr>
              <w:t xml:space="preserve">www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torgi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gov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www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gorodperm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</w:t>
            </w:r>
            <w:r>
              <w:rPr>
                <w:sz w:val="20"/>
                <w:szCs w:val="20"/>
              </w:rPr>
              <w:t xml:space="preserve">.</w:t>
            </w:r>
            <w:r/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dxa"/>
            <w:textDirection w:val="lrTb"/>
            <w:noWrap w:val="false"/>
          </w:tcPr>
          <w:p>
            <w:pPr>
              <w:ind w:right="-263"/>
            </w:pPr>
            <w:r>
              <w:rPr>
                <w:sz w:val="20"/>
                <w:szCs w:val="20"/>
              </w:rPr>
              <w:t xml:space="preserve">Порядок осмотра земельного участка </w:t>
            </w:r>
            <w:r>
              <w:rPr>
                <w:sz w:val="20"/>
                <w:szCs w:val="20"/>
              </w:rPr>
              <w:br w:type="textWrapping" w:clear="all"/>
              <w:t xml:space="preserve">на местности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 </w:t>
            </w:r>
            <w:r/>
          </w:p>
        </w:tc>
      </w:tr>
    </w:tbl>
    <w:p>
      <w:pPr>
        <w:contextualSpacing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right="-263"/>
        <w:tabs>
          <w:tab w:val="left" w:pos="5103" w:leader="none"/>
        </w:tabs>
        <w:rPr>
          <w:rFonts w:eastAsia="Courier New"/>
          <w:b/>
          <w:lang w:bidi="ru-RU"/>
        </w:rPr>
      </w:pPr>
      <w:r/>
      <w:bookmarkStart w:id="0" w:name="_GoBack"/>
      <w:r/>
      <w:bookmarkEnd w:id="0"/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contextualSpacing/>
        <w:ind w:left="567"/>
        <w:jc w:val="center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contextualSpacing/>
        <w:ind w:left="567"/>
        <w:jc w:val="center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17.08.2024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17.09.2024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 </w:t>
      </w:r>
      <w:r>
        <w:rPr>
          <w:rFonts w:eastAsia="Courier New"/>
          <w:b/>
          <w:bCs/>
          <w:lang w:bidi="ru-RU"/>
        </w:rPr>
        <w:t xml:space="preserve">18.</w:t>
      </w:r>
      <w:r>
        <w:rPr>
          <w:rFonts w:eastAsia="Courier New"/>
          <w:b/>
          <w:lang w:bidi="ru-RU"/>
        </w:rPr>
        <w:t xml:space="preserve">09.2024</w:t>
      </w:r>
      <w:r>
        <w:rPr>
          <w:rFonts w:eastAsia="Courier New"/>
          <w:lang w:bidi="ru-RU"/>
        </w:rPr>
        <w:t xml:space="preserve">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lang w:bidi="ru-RU"/>
        </w:rPr>
        <w:br w:type="textWrapping" w:clear="all"/>
        <w:t xml:space="preserve">от участников аукциона) –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b/>
          <w:bCs/>
          <w:lang w:bidi="ru-RU"/>
        </w:rPr>
        <w:t xml:space="preserve">19.</w:t>
      </w:r>
      <w:r>
        <w:rPr>
          <w:rFonts w:eastAsia="Courier New"/>
          <w:b/>
          <w:lang w:bidi="ru-RU"/>
        </w:rPr>
        <w:t xml:space="preserve">09.2024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jc w:val="both"/>
        <w:widowControl w:val="off"/>
      </w:pPr>
      <w:r/>
      <w:r/>
    </w:p>
    <w:p>
      <w:pPr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ind w:left="-567" w:firstLine="709"/>
        <w:jc w:val="both"/>
        <w:widowControl w:val="off"/>
      </w:pPr>
      <w:r/>
      <w:r/>
    </w:p>
    <w:p>
      <w:pPr>
        <w:contextualSpacing/>
        <w:ind w:left="502"/>
        <w:jc w:val="center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contextualSpacing/>
        <w:ind w:left="502"/>
        <w:jc w:val="center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contextualSpacing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</w:r>
      <w:r>
        <w:rPr>
          <w:bCs/>
          <w:lang w:bidi="ru-RU"/>
        </w:rPr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contextualSpacing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contextualSpacing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contextualSpacing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contextualSpacing/>
        <w:ind w:left="-567" w:firstLine="567"/>
        <w:jc w:val="both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0" w:tooltip="http://utp.sberbank-ast.ru/AP/Notice/653/Requisites" w:history="1">
        <w:r>
          <w:rPr>
            <w:rStyle w:val="910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17.08.2024 по 17.09.2024.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contextualSpacing/>
        <w:ind w:left="-567" w:firstLine="567"/>
        <w:jc w:val="both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</w:t>
      </w:r>
      <w:r>
        <w:rPr>
          <w:lang w:bidi="ru-RU"/>
        </w:rPr>
      </w:r>
      <w:r>
        <w:rPr>
          <w:lang w:bidi="ru-RU"/>
        </w:rPr>
      </w:r>
    </w:p>
    <w:p>
      <w:pPr>
        <w:contextualSpacing/>
        <w:ind w:left="-567" w:firstLine="567"/>
        <w:jc w:val="both"/>
        <w:widowControl w:val="off"/>
        <w:rPr>
          <w:lang w:bidi="ru-RU"/>
        </w:rPr>
      </w:pPr>
      <w:r>
        <w:rPr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lang w:bidi="ru-RU"/>
        </w:rPr>
        <w:br w:type="textWrapping" w:clear="all"/>
        <w:t xml:space="preserve">в течение трех рабочих дней со дня оформления протокола приема заявок на участие в аукционе. </w:t>
      </w:r>
      <w:r>
        <w:rPr>
          <w:lang w:bidi="ru-RU"/>
        </w:rPr>
      </w:r>
      <w:r>
        <w:rPr>
          <w:lang w:bidi="ru-RU"/>
        </w:rPr>
      </w:r>
    </w:p>
    <w:p>
      <w:pPr>
        <w:ind w:left="-567" w:firstLine="567"/>
        <w:jc w:val="both"/>
        <w:widowControl w:val="off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</w:t>
      </w:r>
      <w:r>
        <w:rPr>
          <w:lang w:bidi="ru-RU"/>
        </w:rPr>
        <w:t xml:space="preserve">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 или единственного принявшего участие </w:t>
      </w:r>
      <w:r>
        <w:rPr>
          <w:lang w:bidi="ru-RU"/>
        </w:rPr>
        <w:br/>
        <w:t xml:space="preserve">в аукционе участника.</w:t>
      </w:r>
      <w:r>
        <w:rPr>
          <w:lang w:bidi="ru-RU"/>
        </w:rPr>
      </w:r>
      <w:r>
        <w:rPr>
          <w:lang w:bidi="ru-RU"/>
        </w:rPr>
      </w:r>
    </w:p>
    <w:p>
      <w:pPr>
        <w:ind w:left="-567" w:firstLine="567"/>
        <w:jc w:val="both"/>
        <w:widowControl w:val="off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 w:type="textWrapping" w:clear="all"/>
        <w:t xml:space="preserve">в установленные сроки формирует поручение Оператору:</w:t>
      </w:r>
      <w:r>
        <w:rPr>
          <w:lang w:bidi="ru-RU"/>
        </w:rPr>
      </w:r>
      <w:r>
        <w:rPr>
          <w:lang w:bidi="ru-RU"/>
        </w:rPr>
      </w:r>
    </w:p>
    <w:p>
      <w:pPr>
        <w:ind w:left="-567" w:firstLine="567"/>
        <w:jc w:val="both"/>
        <w:widowControl w:val="off"/>
        <w:rPr>
          <w:bCs/>
          <w:lang w:bidi="ru-RU"/>
        </w:rPr>
      </w:pPr>
      <w:r>
        <w:rPr>
          <w:lang w:bidi="ru-RU"/>
        </w:rPr>
        <w:t xml:space="preserve">- о</w:t>
      </w:r>
      <w:r>
        <w:rPr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</w:t>
      </w:r>
      <w:r>
        <w:rPr>
          <w:bCs/>
          <w:lang w:bidi="ru-RU"/>
        </w:rPr>
        <w:br/>
        <w:t xml:space="preserve">в соответствии с пунктами 13, 14, 20, 25 ст. 39.12 Земельного Кодекса Российской Федерации, засчитываю</w:t>
      </w:r>
      <w:r>
        <w:rPr>
          <w:bCs/>
          <w:lang w:bidi="ru-RU"/>
        </w:rPr>
        <w:t xml:space="preserve">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</w:t>
      </w:r>
      <w:r>
        <w:rPr>
          <w:bCs/>
          <w:lang w:bidi="ru-RU"/>
        </w:rPr>
        <w:br/>
        <w:t xml:space="preserve">от заключения указанных договоров, не возвращаются.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jc w:val="both"/>
        <w:spacing w:line="276" w:lineRule="auto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jc w:val="center"/>
        <w:widowControl w:val="off"/>
        <w:rPr>
          <w:rFonts w:eastAsia="Courier New"/>
          <w:lang w:bidi="ru-RU"/>
        </w:rPr>
      </w:pPr>
      <w:r>
        <w:rPr>
          <w:b/>
        </w:rPr>
        <w:t xml:space="preserve">Организатор аукциона вправе: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567"/>
        <w:jc w:val="both"/>
        <w:widowControl w:val="off"/>
      </w:pPr>
      <w:r>
        <w:t xml:space="preserve">В соответствии с п. 4 ст. 448 Гражданского кодекса Российской Федерации отказаться </w:t>
      </w:r>
      <w:r>
        <w:br w:type="textWrapping" w:clear="all"/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  <w:t xml:space="preserve">его проведения, указанной в извещении о проведении аукциона. </w:t>
      </w:r>
      <w:r/>
    </w:p>
    <w:p>
      <w:pPr>
        <w:ind w:left="-567" w:firstLine="567"/>
        <w:jc w:val="both"/>
        <w:widowControl w:val="off"/>
      </w:pPr>
      <w: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Извещение об отказе </w:t>
      </w:r>
      <w:r>
        <w:br/>
        <w:t xml:space="preserve">в проведении аукциона размещается на официальном сайте организатором аукциона </w:t>
      </w:r>
      <w:r>
        <w:br/>
        <w:t xml:space="preserve">и на электронной площадке в течение трех дней со дня принятия данного решения.</w:t>
      </w:r>
      <w:r/>
    </w:p>
    <w:p>
      <w:pPr>
        <w:ind w:left="-567" w:firstLine="567"/>
        <w:jc w:val="both"/>
        <w:widowControl w:val="off"/>
      </w:pPr>
      <w: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/>
    </w:p>
    <w:p>
      <w:pPr>
        <w:ind w:left="-567" w:firstLine="567"/>
        <w:jc w:val="both"/>
        <w:widowControl w:val="off"/>
      </w:pPr>
      <w:r>
        <w:t xml:space="preserve">В случае отмены аукциона организатором аукциона (в т. ч. одного или нескольких лотов) </w:t>
      </w:r>
      <w:r>
        <w:br w:type="textWrapping" w:clear="all"/>
        <w:t xml:space="preserve"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/>
    </w:p>
    <w:p>
      <w:pPr>
        <w:jc w:val="both"/>
        <w:widowControl w:val="off"/>
      </w:pPr>
      <w:r/>
      <w:r/>
    </w:p>
    <w:p>
      <w:pPr>
        <w:ind w:left="502"/>
        <w:jc w:val="center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lang w:bidi="ru-RU"/>
        </w:rPr>
        <w:t xml:space="preserve">Порядок регистрации на электронной площадке</w:t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ind w:left="-567" w:firstLine="567"/>
        <w:jc w:val="both"/>
        <w:widowControl w:val="off"/>
        <w:rPr>
          <w:b/>
          <w:color w:val="000000"/>
        </w:rPr>
      </w:pPr>
      <w:r>
        <w:rPr>
          <w:bCs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17.08.2024 по 17.09.2024 с 9.00 до 18.00 по местному времени (7:00 – 16:00 МСК).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933"/>
        <w:jc w:val="center"/>
        <w:rPr>
          <w:bCs/>
          <w:lang w:bidi="ru-RU"/>
        </w:rPr>
      </w:pPr>
      <w:r>
        <w:rPr>
          <w:b/>
          <w:color w:val="000000"/>
        </w:rPr>
        <w:t xml:space="preserve">Разъяснение положений извещения о проведении аукциона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21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На этапе приема заявок любое заинтересованное лицо вправе не позднее 10 календарных дней д</w:t>
      </w:r>
      <w:r>
        <w:rPr>
          <w:bCs/>
          <w:lang w:bidi="ru-RU"/>
        </w:rPr>
        <w:t xml:space="preserve">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</w:r>
      <w:r>
        <w:rPr>
          <w:bCs/>
          <w:lang w:bidi="ru-RU"/>
        </w:rPr>
        <w:br/>
        <w:t xml:space="preserve">не рассматриваются.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21"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ind w:left="-567" w:firstLine="709"/>
        <w:jc w:val="both"/>
        <w:spacing w:line="276" w:lineRule="auto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содержанию и составу заявки на участие в аукционе, инструкция </w:t>
      </w:r>
      <w:r>
        <w:rPr>
          <w:b/>
          <w:bCs/>
        </w:rPr>
        <w:br w:type="textWrapping" w:clear="all"/>
        <w:t xml:space="preserve">по её заполнению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567"/>
        <w:jc w:val="both"/>
        <w:tabs>
          <w:tab w:val="center" w:pos="5076" w:leader="none"/>
        </w:tabs>
        <w:rPr>
          <w:rFonts w:eastAsia="Courier New"/>
          <w:lang w:bidi="ru-RU"/>
        </w:rPr>
        <w:outlineLvl w:val="0"/>
      </w:pPr>
      <w: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br w:type="textWrapping" w:clear="all"/>
        <w:t xml:space="preserve">о проведении аукциона.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567"/>
        <w:jc w:val="both"/>
        <w:widowControl w:val="off"/>
        <w:rPr>
          <w:rFonts w:eastAsia="Calibri"/>
        </w:rPr>
      </w:pPr>
      <w:r>
        <w:rPr>
          <w:rFonts w:eastAsia="Courier New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lang w:bidi="ru-RU"/>
        </w:rPr>
        <w:br w:type="textWrapping" w:clear="all"/>
        <w:t xml:space="preserve">о проведении аукциона срок следующие документы: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  <w:t xml:space="preserve">2) копии документов, удостоверяющих личность заявителя (для граждан), всех страниц;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3) надлежащим образом заверенный перевод на русский язык документов </w:t>
      </w:r>
      <w:r>
        <w:rPr>
          <w:rFonts w:eastAsia="Calibri"/>
        </w:rPr>
        <w:br w:type="textWrapping" w:clear="all"/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  <w:t xml:space="preserve">4) документы, подтверждающие внесение задатка.</w:t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8"/>
        <w:jc w:val="center"/>
        <w:rPr>
          <w:b/>
        </w:rPr>
      </w:pPr>
      <w:r>
        <w:rPr>
          <w:b/>
        </w:rPr>
        <w:t xml:space="preserve">Инструкция по заполнению и подаче заявки, порядок приема заявки</w:t>
      </w:r>
      <w:r>
        <w:rPr>
          <w:b/>
        </w:rPr>
      </w:r>
      <w:r>
        <w:rPr>
          <w:b/>
        </w:rPr>
      </w:r>
    </w:p>
    <w:p>
      <w:pPr>
        <w:ind w:firstLine="70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567" w:firstLine="567"/>
        <w:jc w:val="both"/>
      </w:pPr>
      <w: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/>
    </w:p>
    <w:p>
      <w:pPr>
        <w:ind w:left="-567" w:firstLine="567"/>
        <w:jc w:val="both"/>
      </w:pPr>
      <w: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/>
    </w:p>
    <w:p>
      <w:pPr>
        <w:ind w:left="-567" w:firstLine="567"/>
        <w:jc w:val="both"/>
      </w:pPr>
      <w:r>
        <w:t xml:space="preserve">Подача заявки осуществляется заявителем, зарегистрированным в торговой секции, </w:t>
      </w:r>
      <w:r>
        <w:br w:type="textWrapping" w:clear="all"/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/>
    </w:p>
    <w:p>
      <w:pPr>
        <w:ind w:left="-567" w:firstLine="567"/>
        <w:jc w:val="both"/>
      </w:pPr>
      <w:r>
        <w:t xml:space="preserve">Заявитель вправе подать заявку в любое время с момента размещения извещения </w:t>
      </w:r>
      <w:r>
        <w:br w:type="textWrapping" w:clear="all"/>
        <w:t xml:space="preserve">о проведении аукциона до предусмотренных указанным извещением даты и времени окончания срока подачи заявок.</w:t>
      </w:r>
      <w:r/>
    </w:p>
    <w:p>
      <w:pPr>
        <w:ind w:left="-567" w:firstLine="567"/>
        <w:jc w:val="both"/>
      </w:pPr>
      <w:r>
        <w:t xml:space="preserve">Один заявитель вправе подать только одну заявку на участие в аукционе в отношении каждого лота.</w:t>
      </w:r>
      <w:r/>
    </w:p>
    <w:p>
      <w:pPr>
        <w:ind w:left="-567" w:firstLine="567"/>
        <w:jc w:val="both"/>
      </w:pPr>
      <w: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/>
    </w:p>
    <w:p>
      <w:pPr>
        <w:ind w:left="-567" w:firstLine="567"/>
        <w:jc w:val="both"/>
      </w:pPr>
      <w:r>
        <w:t xml:space="preserve">Участие в аукционе возможно при наличии на лицевом счете заявителя денежных средств </w:t>
      </w:r>
      <w:r>
        <w:br w:type="textWrapping" w:clear="all"/>
        <w:t xml:space="preserve">в размере не менее чем размер задатка на участие в аукционе, предусмотренный извещением </w:t>
      </w:r>
      <w:r>
        <w:br w:type="textWrapping" w:clear="all"/>
        <w:t xml:space="preserve">о проведении аукциона.</w:t>
      </w:r>
      <w:r/>
    </w:p>
    <w:p>
      <w:pPr>
        <w:ind w:left="-567" w:firstLine="567"/>
        <w:jc w:val="both"/>
      </w:pPr>
      <w:r>
        <w:t xml:space="preserve">Все документы, входящие в состав заявки, должны иметь четко читаемый текст.</w:t>
      </w:r>
      <w:r/>
    </w:p>
    <w:p>
      <w:pPr>
        <w:ind w:left="-567" w:firstLine="567"/>
        <w:jc w:val="both"/>
        <w:rPr>
          <w:bCs/>
        </w:rPr>
      </w:pPr>
      <w:r>
        <w:t xml:space="preserve">Заявка предоставляется организатору аукциона через Оператора.</w:t>
      </w:r>
      <w:r>
        <w:rPr>
          <w:bCs/>
        </w:rPr>
      </w:r>
      <w:r>
        <w:rPr>
          <w:bCs/>
        </w:rPr>
      </w:r>
    </w:p>
    <w:p>
      <w:pPr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Заявка не может быть принята Оператором в случае:</w:t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а) отсутствия на лицевом счете заявителя достаточной суммы денежных средств </w:t>
      </w:r>
      <w:r>
        <w:rPr>
          <w:bCs/>
        </w:rPr>
        <w:br w:type="textWrapping" w:clear="all"/>
        <w:t xml:space="preserve">в размере задатка;</w:t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bCs/>
        </w:rPr>
      </w:r>
      <w:r>
        <w:rPr>
          <w:bCs/>
        </w:rPr>
      </w:r>
    </w:p>
    <w:p>
      <w:pPr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в) подачи заявки по истечении установленного срока подачи заявок;</w:t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tabs>
          <w:tab w:val="center" w:pos="284" w:leader="none"/>
        </w:tabs>
        <w:rPr>
          <w:bCs/>
        </w:rPr>
        <w:outlineLvl w:val="0"/>
      </w:pPr>
      <w:r>
        <w:rPr>
          <w:bCs/>
        </w:rPr>
        <w:t xml:space="preserve">Протокол рассмотрения заявок на участие в аукционе подписывается не позднее чем </w:t>
      </w:r>
      <w:r>
        <w:rPr>
          <w:bCs/>
        </w:rPr>
        <w:br w:type="textWrapping" w:clear="all"/>
        <w:t xml:space="preserve">в течение одн</w:t>
      </w:r>
      <w:r>
        <w:rPr>
          <w:bCs/>
        </w:rPr>
        <w:t xml:space="preserve">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tabs>
          <w:tab w:val="center" w:pos="284" w:leader="none"/>
        </w:tabs>
        <w:rPr>
          <w:bCs/>
        </w:rPr>
        <w:outlineLvl w:val="0"/>
      </w:pPr>
      <w:r>
        <w:rPr>
          <w:bCs/>
        </w:rPr>
        <w:t xml:space="preserve">Заявителям, признанным участниками аукциона, и заявителям, не допущенным к участию </w:t>
      </w:r>
      <w:r>
        <w:rPr>
          <w:bCs/>
        </w:rPr>
        <w:br/>
        <w:t xml:space="preserve">в аукционе, оператор электронной площадки направляет в электронной форме уведомления </w:t>
      </w:r>
      <w:r>
        <w:rPr>
          <w:bCs/>
        </w:rPr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spacing w:line="276" w:lineRule="auto"/>
        <w:tabs>
          <w:tab w:val="center" w:pos="284" w:leader="none"/>
        </w:tabs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502"/>
        <w:jc w:val="center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Порядок и срок изменения, отзыва заявки на участие в аукционе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ind w:left="502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ind w:left="-567" w:firstLine="567"/>
        <w:jc w:val="both"/>
        <w:widowControl w:val="off"/>
        <w:rPr>
          <w:rFonts w:eastAsia="Courier New"/>
          <w:lang w:bidi="ru-RU"/>
        </w:rPr>
      </w:pPr>
      <w:r>
        <w:t xml:space="preserve">Заявитель имеет право отозвать принятую организатором аукциона заявку на участие </w:t>
      </w:r>
      <w:r>
        <w:br w:type="textWrapping" w:clear="all"/>
        <w:t xml:space="preserve">в аукционе до дня окончания срока приема заявок, путем направлен</w:t>
      </w:r>
      <w: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Определение участников аукциона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567"/>
        <w:jc w:val="both"/>
      </w:pPr>
      <w:r>
        <w:rPr>
          <w:bCs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</w:rPr>
        <w:br w:type="textWrapping" w:clear="all"/>
        <w:t xml:space="preserve">к участию в аукционе или об отказе в допуске к участию в аукционе.</w:t>
      </w:r>
      <w:r/>
    </w:p>
    <w:p>
      <w:pPr>
        <w:jc w:val="both"/>
        <w:rPr>
          <w:sz w:val="20"/>
        </w:rPr>
      </w:pPr>
      <w:r>
        <w:t xml:space="preserve">Заявитель не допускается к участию в аукционе в следующих случаях:</w:t>
      </w:r>
      <w:r>
        <w:rPr>
          <w:sz w:val="20"/>
        </w:rPr>
      </w:r>
      <w:r>
        <w:rPr>
          <w:sz w:val="20"/>
        </w:rPr>
      </w:r>
    </w:p>
    <w:p>
      <w:pPr>
        <w:ind w:left="-567" w:firstLine="567"/>
        <w:jc w:val="both"/>
        <w:widowControl w:val="off"/>
      </w:pPr>
      <w:r>
        <w:rPr>
          <w:sz w:val="20"/>
        </w:rPr>
        <w:t xml:space="preserve">1) </w:t>
      </w:r>
      <w:r>
        <w:t xml:space="preserve">непредставление необходимых для участия в аукционе документов или представление недостоверных сведений;</w:t>
      </w:r>
      <w:r/>
    </w:p>
    <w:p>
      <w:pPr>
        <w:jc w:val="both"/>
        <w:widowControl w:val="off"/>
      </w:pPr>
      <w:r>
        <w:t xml:space="preserve">2) непоступление задатка на дату рассмотрения заявок на участие в аукционе;</w:t>
      </w:r>
      <w:r/>
    </w:p>
    <w:p>
      <w:pPr>
        <w:ind w:left="-567" w:firstLine="567"/>
        <w:jc w:val="both"/>
        <w:widowControl w:val="off"/>
      </w:pPr>
      <w:r>
        <w:t xml:space="preserve">3) п</w:t>
      </w:r>
      <w:r>
        <w:t xml:space="preserve">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</w:r>
      <w:r>
        <w:br/>
        <w:t xml:space="preserve">в аренду;</w:t>
      </w:r>
      <w:r/>
    </w:p>
    <w:p>
      <w:pPr>
        <w:ind w:left="-567" w:firstLine="567"/>
        <w:jc w:val="both"/>
        <w:widowControl w:val="off"/>
      </w:pPr>
      <w:r>
        <w:t xml:space="preserve">4) наличие свед</w:t>
      </w:r>
      <w: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/>
    </w:p>
    <w:p>
      <w:pPr>
        <w:ind w:left="-567" w:firstLine="567"/>
        <w:jc w:val="both"/>
        <w:widowControl w:val="off"/>
      </w:pPr>
      <w:r>
        <w:t xml:space="preserve">В день признания заявителей участниками аукциона, указанный в извещении </w:t>
      </w:r>
      <w:r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/>
    </w:p>
    <w:p>
      <w:pPr>
        <w:ind w:left="-567" w:firstLine="567"/>
        <w:jc w:val="both"/>
        <w:widowControl w:val="off"/>
      </w:pPr>
      <w:r>
        <w:t xml:space="preserve">По результатам рассмотрения заявок и документов к ним комиссия принимает решение </w:t>
      </w:r>
      <w:r>
        <w:br/>
        <w:t xml:space="preserve">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</w:t>
      </w:r>
      <w:r>
        <w:br/>
        <w:t xml:space="preserve">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</w:t>
      </w:r>
      <w:r>
        <w:br/>
        <w:t xml:space="preserve">и размещается на официальных сайтах и на электронной площадке не позднее чем на следующий день после дня подписания протокола.</w:t>
      </w:r>
      <w:r/>
    </w:p>
    <w:p>
      <w:pPr>
        <w:ind w:left="-567" w:firstLine="567"/>
        <w:jc w:val="both"/>
        <w:widowControl w:val="off"/>
      </w:pPr>
      <w:r>
        <w:t xml:space="preserve">Заявитель приобретает статус участника аукциона с момента подписания протокола </w:t>
      </w:r>
      <w:r>
        <w:br w:type="textWrapping" w:clear="all"/>
        <w:t xml:space="preserve">о признании претендентов участниками аукциона.</w:t>
      </w:r>
      <w:r/>
    </w:p>
    <w:p>
      <w:pPr>
        <w:ind w:left="-567" w:firstLine="567"/>
        <w:jc w:val="both"/>
        <w:widowControl w:val="off"/>
      </w:pPr>
      <w:r>
        <w:t xml:space="preserve">Не позднее следующего рабочего дня после дня подписания протокола о признании претен</w:t>
      </w:r>
      <w:r>
        <w:t xml:space="preserve">дентов участниками всем претендентам, подавшим заявки,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  <w:r/>
    </w:p>
    <w:p>
      <w:pPr>
        <w:ind w:left="-567" w:firstLine="567"/>
        <w:jc w:val="both"/>
        <w:spacing w:line="276" w:lineRule="auto"/>
        <w:widowControl w:val="off"/>
      </w:pPr>
      <w:r/>
      <w:r/>
    </w:p>
    <w:p>
      <w:pPr>
        <w:jc w:val="center"/>
        <w:rPr>
          <w:rFonts w:eastAsia="Courier New"/>
          <w:b/>
          <w:bCs/>
          <w:lang w:bidi="ru-RU"/>
        </w:rPr>
      </w:pPr>
      <w:r>
        <w:rPr>
          <w:b/>
          <w:bCs/>
        </w:rPr>
        <w:t xml:space="preserve">Порядок проведения аукциона</w:t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ind w:left="502"/>
        <w:jc w:val="center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</w:rPr>
        <w:br w:type="textWrapping" w:clear="all"/>
        <w:t xml:space="preserve">о цене предмета аукциона на величину «шага аукциона»;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Время для подачи предложений о цене аукциона определяется в следующем порядке: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</w:rPr>
        <w:br w:type="textWrapping" w:clear="all"/>
        <w:t xml:space="preserve">10 (десять) минут. При поступлении предложения участника аукциона </w:t>
      </w:r>
      <w:r>
        <w:rPr>
          <w:rFonts w:eastAsia="Calibri"/>
        </w:rPr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Срок для подачи предложений о цене обновляется автоматически после улучшения</w:t>
      </w:r>
      <w:r>
        <w:rPr>
          <w:rFonts w:eastAsia="Calibri"/>
        </w:rPr>
        <w:t xml:space="preserve">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</w:r>
      <w:r>
        <w:rPr>
          <w:rFonts w:eastAsia="Calibri"/>
        </w:rPr>
        <w:br/>
        <w:t xml:space="preserve">а так же как время, оставшееся до окончания торгов в минутах.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</w:rPr>
        <w:br w:type="textWrapping" w:clear="all"/>
        <w:t xml:space="preserve">в момент его поступления и соответствующее уведомление участника аукциона, в случаях, если: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предложение о цене аукциона ниже начальной цены;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предложение о цене аукциона равно нулю;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</w:rPr>
        <w:br w:type="textWrapping" w:clear="all"/>
        <w:t xml:space="preserve">за земельный участок или наибольший размер ежегодной арендной платы за земельный участок.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rFonts w:eastAsia="Calibri"/>
        </w:rPr>
      </w:r>
      <w:r>
        <w:rPr>
          <w:rFonts w:eastAsia="Calibri"/>
        </w:rPr>
      </w:r>
    </w:p>
    <w:p>
      <w:pPr>
        <w:ind w:left="-567" w:firstLine="567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tabs>
          <w:tab w:val="center" w:pos="5076" w:leader="none"/>
        </w:tabs>
        <w:rPr>
          <w:bCs/>
        </w:rPr>
        <w:outlineLvl w:val="0"/>
      </w:pPr>
      <w:r>
        <w:rPr>
          <w:b/>
          <w:bCs/>
        </w:rPr>
        <w:t xml:space="preserve">Порядок и срок заключения договора</w:t>
      </w:r>
      <w:r>
        <w:rPr>
          <w:b/>
          <w:bCs/>
        </w:rPr>
        <w:br w:type="textWrapping" w:clear="all"/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</w:t>
      </w:r>
      <w:r>
        <w:rPr>
          <w:bCs/>
        </w:rPr>
        <w:t xml:space="preserve"> собственности, либо договора аренды такого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</w:r>
      <w:r>
        <w:rPr>
          <w:bCs/>
        </w:rPr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</w:r>
      <w:r>
        <w:rPr>
          <w:bCs/>
        </w:rPr>
        <w:br/>
        <w:t xml:space="preserve">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</w:t>
      </w:r>
      <w:r>
        <w:rPr>
          <w:bCs/>
        </w:rPr>
        <w:br/>
        <w:t xml:space="preserve">в государственной или муниципальной собственности, либо подписанный проект договора аренды такого участка.</w:t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По результатам проведения аукциона догов</w:t>
      </w:r>
      <w:r>
        <w:rPr>
          <w:bCs/>
        </w:rPr>
        <w:t xml:space="preserve">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rPr>
          <w:bCs/>
        </w:rPr>
      </w:pPr>
      <w:r>
        <w:rPr>
          <w:bCs/>
        </w:rPr>
        <w:t xml:space="preserve">Проект договора является частью извещения и представлен в Приложении 2  </w:t>
      </w:r>
      <w:r>
        <w:rPr>
          <w:bCs/>
        </w:rPr>
        <w:br w:type="textWrapping" w:clear="all"/>
        <w:t xml:space="preserve">к настоящему извещению.</w:t>
      </w:r>
      <w:r>
        <w:rPr>
          <w:bCs/>
        </w:rPr>
        <w:tab/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rPr>
          <w:bCs/>
        </w:rPr>
      </w:pPr>
      <w:r>
        <w:rPr>
          <w:bCs/>
        </w:rPr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</w:t>
      </w:r>
      <w:r>
        <w:rPr>
          <w:bCs/>
        </w:rPr>
        <w:t xml:space="preserve">епартамент земельных отношений администрации города Перми,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tabs>
          <w:tab w:val="center" w:pos="567" w:leader="none"/>
        </w:tabs>
        <w:rPr>
          <w:rFonts w:eastAsia="Courier New"/>
          <w:lang w:bidi="ru-RU"/>
        </w:rPr>
        <w:outlineLvl w:val="0"/>
      </w:pPr>
      <w:r>
        <w:rPr>
          <w:bCs/>
        </w:rPr>
        <w:tab/>
        <w:t xml:space="preserve">В </w:t>
      </w:r>
      <w:r>
        <w:rPr>
          <w:bCs/>
        </w:rPr>
        <w:t xml:space="preserve">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депар</w:t>
      </w:r>
      <w:r>
        <w:rPr>
          <w:bCs/>
        </w:rPr>
        <w:t xml:space="preserve">тамент земельных отношений администрации города Перми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567"/>
        <w:jc w:val="both"/>
        <w:tabs>
          <w:tab w:val="center" w:pos="567" w:leader="none"/>
        </w:tabs>
        <w:rPr>
          <w:rFonts w:eastAsia="Courier New"/>
          <w:lang w:bidi="ru-RU"/>
        </w:rPr>
        <w:outlineLvl w:val="0"/>
      </w:pPr>
      <w:r>
        <w:rPr>
          <w:rFonts w:eastAsia="Courier New"/>
          <w:lang w:bidi="ru-RU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</w:t>
      </w:r>
      <w:r>
        <w:rPr>
          <w:rFonts w:eastAsia="Courier New"/>
          <w:lang w:bidi="ru-RU"/>
        </w:rPr>
        <w:br/>
        <w:t xml:space="preserve">с которыми указанные договоры заключаются в соответствии с пунктом 13, 14 или 20 </w:t>
      </w:r>
      <w:r>
        <w:rPr>
          <w:rFonts w:eastAsia="Courier New"/>
          <w:lang w:bidi="ru-RU"/>
        </w:rPr>
        <w:br/>
        <w:t xml:space="preserve">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19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Verdana">
    <w:panose1 w:val="020B0606030504020204"/>
  </w:font>
  <w:font w:name="Tahoma">
    <w:panose1 w:val="020B0606030504020204"/>
  </w:font>
  <w:font w:name="Consultant">
    <w:panose1 w:val="02000603000000000000"/>
  </w:font>
  <w:font w:name="Times New Roman">
    <w:panose1 w:val="02020603050405020304"/>
  </w:font>
  <w:font w:name="Lohit Devanagari">
    <w:panose1 w:val="020B0600000000000000"/>
  </w:font>
  <w:font w:name="Courier New">
    <w:panose1 w:val="02070409020205020404"/>
  </w:font>
  <w:font w:name="Symbol">
    <w:panose1 w:val="05010000000000000000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21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9"/>
    <w:link w:val="723"/>
    <w:uiPriority w:val="10"/>
    <w:rPr>
      <w:sz w:val="48"/>
      <w:szCs w:val="48"/>
    </w:rPr>
  </w:style>
  <w:style w:type="character" w:styleId="692">
    <w:name w:val="Subtitle Char"/>
    <w:basedOn w:val="709"/>
    <w:link w:val="725"/>
    <w:uiPriority w:val="11"/>
    <w:rPr>
      <w:sz w:val="24"/>
      <w:szCs w:val="24"/>
    </w:rPr>
  </w:style>
  <w:style w:type="character" w:styleId="693">
    <w:name w:val="Quote Char"/>
    <w:link w:val="727"/>
    <w:uiPriority w:val="29"/>
    <w:rPr>
      <w:i/>
    </w:rPr>
  </w:style>
  <w:style w:type="character" w:styleId="694">
    <w:name w:val="Intense Quote Char"/>
    <w:link w:val="729"/>
    <w:uiPriority w:val="30"/>
    <w:rPr>
      <w:i/>
    </w:rPr>
  </w:style>
  <w:style w:type="character" w:styleId="695">
    <w:name w:val="Header Char"/>
    <w:basedOn w:val="709"/>
    <w:link w:val="931"/>
    <w:uiPriority w:val="99"/>
  </w:style>
  <w:style w:type="character" w:styleId="696">
    <w:name w:val="Caption Char"/>
    <w:basedOn w:val="919"/>
    <w:link w:val="927"/>
    <w:uiPriority w:val="99"/>
  </w:style>
  <w:style w:type="character" w:styleId="697">
    <w:name w:val="Footnote Text Char"/>
    <w:link w:val="860"/>
    <w:uiPriority w:val="99"/>
    <w:rPr>
      <w:sz w:val="18"/>
    </w:rPr>
  </w:style>
  <w:style w:type="character" w:styleId="698">
    <w:name w:val="Endnote Text Char"/>
    <w:link w:val="863"/>
    <w:uiPriority w:val="99"/>
    <w:rPr>
      <w:sz w:val="20"/>
    </w:rPr>
  </w:style>
  <w:style w:type="paragraph" w:styleId="699" w:default="1">
    <w:name w:val="Normal"/>
    <w:rPr>
      <w:sz w:val="24"/>
      <w:szCs w:val="24"/>
      <w:lang w:eastAsia="zh-CN"/>
    </w:rPr>
  </w:style>
  <w:style w:type="paragraph" w:styleId="700">
    <w:name w:val="Heading 1"/>
    <w:basedOn w:val="699"/>
    <w:next w:val="699"/>
    <w:link w:val="712"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701">
    <w:name w:val="Heading 2"/>
    <w:basedOn w:val="699"/>
    <w:next w:val="699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5">
    <w:name w:val="Heading 6"/>
    <w:basedOn w:val="699"/>
    <w:next w:val="699"/>
    <w:link w:val="71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link w:val="700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link w:val="701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1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99"/>
    <w:pPr>
      <w:ind w:left="708"/>
    </w:pPr>
  </w:style>
  <w:style w:type="paragraph" w:styleId="722">
    <w:name w:val="No Spacing"/>
    <w:uiPriority w:val="1"/>
    <w:qFormat/>
  </w:style>
  <w:style w:type="paragraph" w:styleId="723">
    <w:name w:val="Title"/>
    <w:basedOn w:val="699"/>
    <w:next w:val="699"/>
    <w:link w:val="724"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styleId="724" w:customStyle="1">
    <w:name w:val="Заголовок Знак1"/>
    <w:link w:val="723"/>
    <w:uiPriority w:val="10"/>
    <w:rPr>
      <w:sz w:val="48"/>
      <w:szCs w:val="48"/>
    </w:rPr>
  </w:style>
  <w:style w:type="paragraph" w:styleId="725">
    <w:name w:val="Subtitle"/>
    <w:basedOn w:val="699"/>
    <w:next w:val="699"/>
    <w:link w:val="726"/>
    <w:uiPriority w:val="11"/>
    <w:qFormat/>
    <w:pPr>
      <w:spacing w:before="200" w:after="200"/>
    </w:pPr>
  </w:style>
  <w:style w:type="character" w:styleId="726" w:customStyle="1">
    <w:name w:val="Подзаголовок Знак"/>
    <w:link w:val="725"/>
    <w:uiPriority w:val="11"/>
    <w:rPr>
      <w:sz w:val="24"/>
      <w:szCs w:val="24"/>
    </w:rPr>
  </w:style>
  <w:style w:type="paragraph" w:styleId="727">
    <w:name w:val="Quote"/>
    <w:basedOn w:val="699"/>
    <w:next w:val="699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9"/>
    <w:next w:val="699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Верхний колонтитул Знак1"/>
    <w:link w:val="931"/>
    <w:uiPriority w:val="99"/>
  </w:style>
  <w:style w:type="character" w:styleId="732" w:customStyle="1">
    <w:name w:val="Footer Char"/>
    <w:uiPriority w:val="99"/>
  </w:style>
  <w:style w:type="character" w:styleId="733" w:customStyle="1">
    <w:name w:val="Нижний колонтитул Знак1"/>
    <w:link w:val="927"/>
    <w:uiPriority w:val="99"/>
  </w:style>
  <w:style w:type="table" w:styleId="734">
    <w:name w:val="Table Grid"/>
    <w:basedOn w:val="71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Table Grid Light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1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71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1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1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1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1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1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1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1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1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1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1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1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1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1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1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1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1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1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1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1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1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71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71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71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71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71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>
    <w:name w:val="Grid Table 5 Dark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1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71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71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71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71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71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>
    <w:name w:val="Grid Table 7 Colorful"/>
    <w:basedOn w:val="71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basedOn w:val="71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basedOn w:val="71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basedOn w:val="71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basedOn w:val="71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basedOn w:val="71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basedOn w:val="71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71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1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1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1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1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1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1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1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1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1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1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1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1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1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1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1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1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1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1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1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1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1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1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1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1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1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71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1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1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1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1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1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1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1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71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71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71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71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71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>
    <w:name w:val="List Table 7 Colorful"/>
    <w:basedOn w:val="71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basedOn w:val="71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basedOn w:val="71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basedOn w:val="71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basedOn w:val="71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basedOn w:val="71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basedOn w:val="71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basedOn w:val="71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1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basedOn w:val="71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basedOn w:val="71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basedOn w:val="71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basedOn w:val="71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basedOn w:val="71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basedOn w:val="71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1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71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71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71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71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71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0">
    <w:name w:val="footnote text"/>
    <w:basedOn w:val="699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99"/>
    <w:link w:val="864"/>
    <w:uiPriority w:val="99"/>
    <w:semiHidden/>
    <w:unhideWhenUsed/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99"/>
    <w:next w:val="699"/>
    <w:uiPriority w:val="39"/>
    <w:unhideWhenUsed/>
    <w:pPr>
      <w:spacing w:after="57"/>
    </w:pPr>
  </w:style>
  <w:style w:type="paragraph" w:styleId="867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68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69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70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1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2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3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4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9"/>
    <w:next w:val="699"/>
    <w:uiPriority w:val="99"/>
    <w:unhideWhenUsed/>
  </w:style>
  <w:style w:type="character" w:styleId="877" w:customStyle="1">
    <w:name w:val="WW8Num2z0"/>
    <w:rPr>
      <w:rFonts w:ascii="Symbol" w:hAnsi="Symbol" w:cs="Symbol"/>
    </w:rPr>
  </w:style>
  <w:style w:type="character" w:styleId="878" w:customStyle="1">
    <w:name w:val="WW8Num3z0"/>
  </w:style>
  <w:style w:type="character" w:styleId="879" w:customStyle="1">
    <w:name w:val="WW8Num4z0"/>
  </w:style>
  <w:style w:type="character" w:styleId="880" w:customStyle="1">
    <w:name w:val="WW8Num5z0"/>
    <w:rPr>
      <w:sz w:val="16"/>
      <w:szCs w:val="16"/>
    </w:rPr>
  </w:style>
  <w:style w:type="character" w:styleId="881" w:customStyle="1">
    <w:name w:val="WW8Num6z0"/>
  </w:style>
  <w:style w:type="character" w:styleId="882" w:customStyle="1">
    <w:name w:val="WW8Num7z0"/>
  </w:style>
  <w:style w:type="character" w:styleId="883" w:customStyle="1">
    <w:name w:val="WW8Num8z0"/>
  </w:style>
  <w:style w:type="character" w:styleId="884" w:customStyle="1">
    <w:name w:val="WW8Num9z0"/>
  </w:style>
  <w:style w:type="character" w:styleId="885" w:customStyle="1">
    <w:name w:val="WW8Num10z0"/>
  </w:style>
  <w:style w:type="character" w:styleId="886" w:customStyle="1">
    <w:name w:val="WW8Num11z0"/>
  </w:style>
  <w:style w:type="character" w:styleId="887" w:customStyle="1">
    <w:name w:val="WW8Num12z0"/>
  </w:style>
  <w:style w:type="character" w:styleId="888" w:customStyle="1">
    <w:name w:val="WW8Num13z0"/>
  </w:style>
  <w:style w:type="character" w:styleId="889" w:customStyle="1">
    <w:name w:val="WW8Num14z0"/>
  </w:style>
  <w:style w:type="character" w:styleId="890" w:customStyle="1">
    <w:name w:val="WW8Num15z0"/>
  </w:style>
  <w:style w:type="character" w:styleId="891" w:customStyle="1">
    <w:name w:val="WW8Num18z0"/>
  </w:style>
  <w:style w:type="character" w:styleId="892" w:customStyle="1">
    <w:name w:val="WW8Num19z0"/>
  </w:style>
  <w:style w:type="character" w:styleId="893" w:customStyle="1">
    <w:name w:val="WW8Num20z0"/>
  </w:style>
  <w:style w:type="character" w:styleId="894" w:customStyle="1">
    <w:name w:val="WW8Num21z0"/>
  </w:style>
  <w:style w:type="character" w:styleId="895" w:customStyle="1">
    <w:name w:val="WW8Num22z0"/>
  </w:style>
  <w:style w:type="character" w:styleId="896" w:customStyle="1">
    <w:name w:val="WW8Num23z0"/>
  </w:style>
  <w:style w:type="character" w:styleId="897" w:customStyle="1">
    <w:name w:val="WW8Num25z0"/>
  </w:style>
  <w:style w:type="character" w:styleId="898" w:customStyle="1">
    <w:name w:val="WW8Num26z0"/>
  </w:style>
  <w:style w:type="character" w:styleId="899" w:customStyle="1">
    <w:name w:val="WW8Num27z0"/>
  </w:style>
  <w:style w:type="character" w:styleId="900" w:customStyle="1">
    <w:name w:val="WW8Num29z0"/>
    <w:rPr>
      <w:rFonts w:ascii="Symbol" w:hAnsi="Symbol" w:cs="Symbol"/>
    </w:rPr>
  </w:style>
  <w:style w:type="character" w:styleId="901" w:customStyle="1">
    <w:name w:val="WW8Num30z0"/>
  </w:style>
  <w:style w:type="character" w:styleId="902" w:customStyle="1">
    <w:name w:val="WW8Num31z0"/>
  </w:style>
  <w:style w:type="character" w:styleId="903" w:customStyle="1">
    <w:name w:val="WW8Num32z0"/>
  </w:style>
  <w:style w:type="character" w:styleId="904" w:customStyle="1">
    <w:name w:val="WW8Num33z0"/>
  </w:style>
  <w:style w:type="character" w:styleId="905" w:customStyle="1">
    <w:name w:val="WW8Num34z0"/>
  </w:style>
  <w:style w:type="character" w:styleId="906">
    <w:name w:val="page number"/>
    <w:basedOn w:val="709"/>
  </w:style>
  <w:style w:type="character" w:styleId="907" w:customStyle="1">
    <w:name w:val="Текст Знак"/>
    <w:rPr>
      <w:rFonts w:ascii="Courier New" w:hAnsi="Courier New" w:cs="Courier New"/>
    </w:rPr>
  </w:style>
  <w:style w:type="character" w:styleId="908" w:customStyle="1">
    <w:name w:val="Верхний колонтитул Знак"/>
    <w:rPr>
      <w:sz w:val="16"/>
      <w:lang w:val="ru-RU" w:bidi="ar-SA"/>
    </w:rPr>
  </w:style>
  <w:style w:type="character" w:styleId="909" w:customStyle="1">
    <w:name w:val="Основной текст с отступом 3 Знак"/>
    <w:rPr>
      <w:sz w:val="16"/>
      <w:szCs w:val="16"/>
    </w:rPr>
  </w:style>
  <w:style w:type="character" w:styleId="910">
    <w:name w:val="Hyperlink"/>
    <w:rPr>
      <w:color w:val="0563c1"/>
      <w:u w:val="single"/>
    </w:rPr>
  </w:style>
  <w:style w:type="character" w:styleId="911" w:customStyle="1">
    <w:name w:val="Абзац списка Знак"/>
    <w:rPr>
      <w:sz w:val="24"/>
      <w:szCs w:val="24"/>
    </w:rPr>
  </w:style>
  <w:style w:type="character" w:styleId="912" w:customStyle="1">
    <w:name w:val="Заголовок 6 Знак"/>
    <w:rPr>
      <w:b/>
      <w:bCs/>
      <w:sz w:val="22"/>
      <w:szCs w:val="22"/>
    </w:rPr>
  </w:style>
  <w:style w:type="character" w:styleId="913" w:customStyle="1">
    <w:name w:val="Название Знак"/>
    <w:rPr>
      <w:sz w:val="28"/>
      <w:lang w:val="ru-RU" w:bidi="ar-SA"/>
    </w:rPr>
  </w:style>
  <w:style w:type="character" w:styleId="914" w:customStyle="1">
    <w:name w:val="Заголовок Знак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15" w:customStyle="1">
    <w:name w:val="Нижний колонтитул Знак"/>
  </w:style>
  <w:style w:type="character" w:styleId="916">
    <w:name w:val="FollowedHyperlink"/>
    <w:rPr>
      <w:color w:val="954f72"/>
      <w:u w:val="single"/>
    </w:rPr>
  </w:style>
  <w:style w:type="paragraph" w:styleId="917">
    <w:name w:val="Body Text"/>
    <w:basedOn w:val="699"/>
    <w:pPr>
      <w:jc w:val="right"/>
    </w:pPr>
    <w:rPr>
      <w:sz w:val="28"/>
    </w:rPr>
  </w:style>
  <w:style w:type="paragraph" w:styleId="918">
    <w:name w:val="List"/>
    <w:basedOn w:val="917"/>
    <w:rPr>
      <w:rFonts w:cs="Lohit Devanagari"/>
    </w:rPr>
  </w:style>
  <w:style w:type="paragraph" w:styleId="919">
    <w:name w:val="Caption"/>
    <w:basedOn w:val="699"/>
    <w:pPr>
      <w:spacing w:before="120" w:after="120"/>
      <w:suppressLineNumbers/>
    </w:pPr>
    <w:rPr>
      <w:rFonts w:cs="Lohit Devanagari"/>
      <w:i/>
      <w:iCs/>
    </w:rPr>
  </w:style>
  <w:style w:type="paragraph" w:styleId="920">
    <w:name w:val="index heading"/>
    <w:basedOn w:val="699"/>
    <w:pPr>
      <w:suppressLineNumbers/>
    </w:pPr>
    <w:rPr>
      <w:rFonts w:cs="Lohit Devanagari"/>
    </w:rPr>
  </w:style>
  <w:style w:type="paragraph" w:styleId="921" w:customStyle="1">
    <w:name w:val="Caption1"/>
    <w:basedOn w:val="699"/>
    <w:pPr>
      <w:spacing w:before="120" w:after="120"/>
      <w:suppressLineNumbers/>
    </w:pPr>
    <w:rPr>
      <w:rFonts w:cs="Lohit Devanagari"/>
      <w:i/>
      <w:iCs/>
    </w:rPr>
  </w:style>
  <w:style w:type="paragraph" w:styleId="922">
    <w:name w:val="Plain Text"/>
    <w:basedOn w:val="699"/>
    <w:rPr>
      <w:rFonts w:ascii="Courier New" w:hAnsi="Courier New" w:cs="Courier New"/>
      <w:sz w:val="20"/>
      <w:szCs w:val="20"/>
      <w:lang w:val="en-US"/>
    </w:rPr>
  </w:style>
  <w:style w:type="paragraph" w:styleId="923" w:customStyle="1">
    <w:name w:val="ConsNormal"/>
    <w:pPr>
      <w:ind w:firstLine="720"/>
    </w:pPr>
    <w:rPr>
      <w:rFonts w:ascii="Consultant" w:hAnsi="Consultant" w:cs="Consultant"/>
      <w:lang w:eastAsia="zh-CN"/>
    </w:rPr>
  </w:style>
  <w:style w:type="paragraph" w:styleId="924">
    <w:name w:val="Body Text 2"/>
    <w:basedOn w:val="699"/>
    <w:pPr>
      <w:spacing w:after="120" w:line="480" w:lineRule="auto"/>
    </w:pPr>
  </w:style>
  <w:style w:type="paragraph" w:styleId="925">
    <w:name w:val="Body Text 3"/>
    <w:basedOn w:val="699"/>
    <w:pPr>
      <w:spacing w:after="120"/>
    </w:pPr>
    <w:rPr>
      <w:sz w:val="16"/>
      <w:szCs w:val="16"/>
    </w:rPr>
  </w:style>
  <w:style w:type="paragraph" w:styleId="926" w:customStyle="1">
    <w:name w:val="Колонтитул"/>
    <w:basedOn w:val="699"/>
    <w:pPr>
      <w:tabs>
        <w:tab w:val="center" w:pos="4819" w:leader="none"/>
        <w:tab w:val="right" w:pos="9638" w:leader="none"/>
      </w:tabs>
      <w:suppressLineNumbers/>
    </w:pPr>
  </w:style>
  <w:style w:type="paragraph" w:styleId="927">
    <w:name w:val="Footer"/>
    <w:basedOn w:val="699"/>
    <w:link w:val="733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28">
    <w:name w:val="Balloon Text"/>
    <w:basedOn w:val="699"/>
    <w:rPr>
      <w:rFonts w:ascii="Tahoma" w:hAnsi="Tahoma" w:cs="Tahoma"/>
      <w:sz w:val="16"/>
      <w:szCs w:val="16"/>
    </w:rPr>
  </w:style>
  <w:style w:type="paragraph" w:styleId="929" w:customStyle="1">
    <w:name w:val="Знак Знак Знак Знак Знак Знак Знак Знак Знак Знак Знак Знак"/>
    <w:basedOn w:val="699"/>
    <w:rPr>
      <w:rFonts w:ascii="Verdana" w:hAnsi="Verdana" w:cs="Verdana"/>
      <w:sz w:val="20"/>
      <w:szCs w:val="20"/>
      <w:lang w:val="en-US"/>
    </w:rPr>
  </w:style>
  <w:style w:type="paragraph" w:styleId="930" w:customStyle="1">
    <w:name w:val="ConsPlusNormal"/>
    <w:rPr>
      <w:rFonts w:eastAsia="Calibri"/>
      <w:lang w:eastAsia="zh-CN"/>
    </w:rPr>
  </w:style>
  <w:style w:type="paragraph" w:styleId="931">
    <w:name w:val="Header"/>
    <w:link w:val="731"/>
    <w:pPr>
      <w:jc w:val="center"/>
      <w:tabs>
        <w:tab w:val="center" w:pos="4153" w:leader="none"/>
        <w:tab w:val="right" w:pos="8306" w:leader="none"/>
      </w:tabs>
    </w:pPr>
    <w:rPr>
      <w:sz w:val="16"/>
      <w:lang w:eastAsia="zh-CN"/>
    </w:rPr>
  </w:style>
  <w:style w:type="paragraph" w:styleId="932">
    <w:name w:val="Body Text Indent 3"/>
    <w:basedOn w:val="699"/>
    <w:pPr>
      <w:ind w:left="283"/>
      <w:spacing w:after="120"/>
    </w:pPr>
    <w:rPr>
      <w:sz w:val="16"/>
      <w:szCs w:val="16"/>
      <w:lang w:val="en-US"/>
    </w:rPr>
  </w:style>
  <w:style w:type="paragraph" w:styleId="933">
    <w:name w:val="Normal (Web)"/>
    <w:basedOn w:val="699"/>
    <w:pPr>
      <w:spacing w:before="280" w:after="280"/>
    </w:pPr>
  </w:style>
  <w:style w:type="paragraph" w:styleId="934" w:customStyle="1">
    <w:name w:val="Default"/>
    <w:rPr>
      <w:color w:val="000000"/>
      <w:sz w:val="24"/>
      <w:szCs w:val="24"/>
      <w:lang w:eastAsia="zh-CN"/>
    </w:rPr>
  </w:style>
  <w:style w:type="paragraph" w:styleId="935" w:customStyle="1">
    <w:name w:val="Содержимое таблицы"/>
    <w:basedOn w:val="699"/>
    <w:pPr>
      <w:widowControl w:val="off"/>
      <w:suppressLineNumbers/>
    </w:pPr>
  </w:style>
  <w:style w:type="paragraph" w:styleId="936" w:customStyle="1">
    <w:name w:val="Заголовок таблицы"/>
    <w:basedOn w:val="935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torgi.gov.ru/" TargetMode="External"/><Relationship Id="rId19" Type="http://schemas.openxmlformats.org/officeDocument/2006/relationships/hyperlink" Target="http://www.torgi.gov.ru/" TargetMode="External"/><Relationship Id="rId20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121</cp:revision>
  <dcterms:created xsi:type="dcterms:W3CDTF">2023-10-30T09:15:00Z</dcterms:created>
  <dcterms:modified xsi:type="dcterms:W3CDTF">2024-08-16T11:10:45Z</dcterms:modified>
</cp:coreProperties>
</file>