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6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</w:t>
      </w:r>
      <w:r>
        <w:rPr>
          <w:sz w:val="28"/>
          <w:szCs w:val="28"/>
        </w:rPr>
        <w:t xml:space="preserve">орода</w:t>
      </w:r>
      <w:r>
        <w:rPr>
          <w:sz w:val="28"/>
          <w:szCs w:val="28"/>
        </w:rPr>
        <w:t xml:space="preserve"> Перми</w:t>
      </w:r>
      <w:r>
        <w:rPr>
          <w:sz w:val="28"/>
          <w:szCs w:val="28"/>
        </w:rPr>
      </w:r>
    </w:p>
    <w:p>
      <w:pPr>
        <w:pStyle w:val="67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рассмотрения заявок на участие в </w:t>
      </w:r>
      <w:r>
        <w:rPr>
          <w:b/>
          <w:sz w:val="28"/>
          <w:szCs w:val="28"/>
        </w:rPr>
        <w:t xml:space="preserve">электронном </w:t>
      </w:r>
      <w:r>
        <w:rPr>
          <w:b/>
          <w:sz w:val="28"/>
          <w:szCs w:val="28"/>
        </w:rPr>
        <w:t xml:space="preserve">аукционе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6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право заключения договоров аренды земельных участков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6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Пермь</w:t>
      </w:r>
      <w:r>
        <w:rPr>
          <w:sz w:val="28"/>
          <w:szCs w:val="28"/>
        </w:rPr>
        <w:t xml:space="preserve">, ул. Сибирская, д.14, каб.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21.08</w:t>
      </w:r>
      <w:r>
        <w:rPr>
          <w:sz w:val="28"/>
          <w:szCs w:val="28"/>
        </w:rPr>
        <w:t xml:space="preserve">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firstLine="720"/>
        <w:jc w:val="both"/>
        <w:tabs>
          <w:tab w:val="left" w:pos="28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омиссия по проведению аукционов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продаже з</w:t>
      </w:r>
      <w:r>
        <w:rPr>
          <w:sz w:val="28"/>
          <w:szCs w:val="28"/>
        </w:rPr>
        <w:t xml:space="preserve">емельных участков, находящихся </w:t>
      </w:r>
      <w:r>
        <w:rPr>
          <w:sz w:val="28"/>
          <w:szCs w:val="28"/>
        </w:rPr>
        <w:t xml:space="preserve">в муниципальной собственности города Перми, и участков, собственность на которые не разграничена, </w:t>
      </w:r>
      <w:r>
        <w:rPr>
          <w:sz w:val="28"/>
          <w:szCs w:val="28"/>
        </w:rPr>
        <w:t xml:space="preserve">объектов незавершенного строительства, расположенных на земельных участках, находящихся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прав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заключения</w:t>
      </w:r>
      <w:r>
        <w:rPr>
          <w:sz w:val="28"/>
          <w:szCs w:val="28"/>
        </w:rPr>
        <w:t xml:space="preserve"> договоров аренды земельных участков, находящихся в муниципаль</w:t>
      </w:r>
      <w:r>
        <w:rPr>
          <w:sz w:val="28"/>
          <w:szCs w:val="28"/>
        </w:rPr>
        <w:t xml:space="preserve">ной собственности города Перми,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участков, собственность на которые не разграничена, назначенная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 </w:t>
      </w:r>
      <w:r>
        <w:rPr>
          <w:sz w:val="28"/>
          <w:szCs w:val="28"/>
        </w:rPr>
        <w:t xml:space="preserve">от 20.11.2008 № 1089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(с последующими изменениями)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 в  составе: </w:t>
      </w:r>
      <w:r>
        <w:rPr>
          <w:sz w:val="28"/>
          <w:szCs w:val="28"/>
        </w:rPr>
      </w:r>
    </w:p>
    <w:p>
      <w:pPr>
        <w:pStyle w:val="672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672"/>
        <w:ind w:left="2520" w:hanging="2520"/>
        <w:spacing w:after="1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комиссии: </w:t>
      </w:r>
      <w:r>
        <w:rPr>
          <w:sz w:val="28"/>
          <w:szCs w:val="28"/>
          <w:lang w:eastAsia="en-US"/>
        </w:rPr>
        <w:t xml:space="preserve">Соснин А.В., и.о. начальника департамента имущественных отношений администрации города Перми;   </w:t>
      </w:r>
      <w:r>
        <w:rPr>
          <w:sz w:val="28"/>
          <w:szCs w:val="28"/>
          <w:lang w:eastAsia="en-US"/>
        </w:rPr>
      </w:r>
    </w:p>
    <w:p>
      <w:pPr>
        <w:pStyle w:val="672"/>
        <w:ind w:left="2517" w:hanging="251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</w:t>
      </w:r>
      <w:r>
        <w:rPr>
          <w:sz w:val="28"/>
          <w:szCs w:val="28"/>
          <w:lang w:eastAsia="en-US"/>
        </w:rPr>
        <w:t xml:space="preserve">Шафранова Е.П., заместитель начальника департамента земельных отношений администрации города Перми; 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72"/>
        <w:ind w:left="2517" w:hanging="2517"/>
        <w:rPr>
          <w:color w:val="ff0000"/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</w:r>
      <w:r>
        <w:rPr>
          <w:color w:val="ff0000"/>
          <w:sz w:val="28"/>
          <w:szCs w:val="28"/>
          <w:lang w:eastAsia="en-US"/>
        </w:rPr>
      </w:r>
    </w:p>
    <w:p>
      <w:pPr>
        <w:pStyle w:val="672"/>
        <w:ind w:left="1843" w:hanging="1843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r>
        <w:rPr>
          <w:sz w:val="28"/>
          <w:szCs w:val="28"/>
        </w:rPr>
        <w:t xml:space="preserve">Борцова Н.Н., начальник отдела сопровождения договоров юридического управления департамента земельных отношений администрации города Перми; </w:t>
      </w:r>
      <w:r>
        <w:rPr>
          <w:sz w:val="28"/>
          <w:szCs w:val="28"/>
        </w:rPr>
      </w:r>
    </w:p>
    <w:p>
      <w:pPr>
        <w:pStyle w:val="672"/>
        <w:ind w:left="1843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Гребнева А.О.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начальник сектора</w:t>
      </w:r>
      <w:r>
        <w:rPr>
          <w:sz w:val="28"/>
          <w:szCs w:val="28"/>
        </w:rPr>
        <w:t xml:space="preserve"> градостроительства, земельных</w:t>
        <w:br w:type="textWrapping" w:clear="all"/>
        <w:t xml:space="preserve">и имущественных отношений администрации </w:t>
      </w:r>
      <w:r>
        <w:rPr>
          <w:sz w:val="28"/>
          <w:szCs w:val="28"/>
        </w:rPr>
        <w:t xml:space="preserve">Кировского</w:t>
      </w:r>
      <w:r>
        <w:rPr>
          <w:sz w:val="28"/>
          <w:szCs w:val="28"/>
        </w:rPr>
        <w:t xml:space="preserve"> района</w:t>
        <w:br w:type="textWrapping" w:clear="all"/>
        <w:t xml:space="preserve">города Перми;</w:t>
      </w:r>
      <w:r>
        <w:rPr>
          <w:sz w:val="28"/>
          <w:szCs w:val="28"/>
          <w:highlight w:val="none"/>
        </w:rPr>
      </w:r>
    </w:p>
    <w:p>
      <w:pPr>
        <w:pStyle w:val="672"/>
        <w:ind w:left="1843"/>
        <w:rPr>
          <w:sz w:val="28"/>
          <w:szCs w:val="28"/>
        </w:rPr>
      </w:pPr>
      <w:r>
        <w:rPr>
          <w:sz w:val="28"/>
          <w:szCs w:val="28"/>
        </w:rPr>
        <w:t xml:space="preserve">Дмитриева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., начальник отдела градостроительства, земельных</w:t>
        <w:br/>
        <w:t xml:space="preserve">и имущественных отношений администрации </w:t>
      </w:r>
      <w:r>
        <w:rPr>
          <w:sz w:val="28"/>
          <w:szCs w:val="28"/>
        </w:rPr>
        <w:t xml:space="preserve">Дзержинского</w:t>
      </w:r>
      <w:r>
        <w:rPr>
          <w:sz w:val="28"/>
          <w:szCs w:val="28"/>
        </w:rPr>
        <w:t xml:space="preserve"> района города Перми;</w:t>
      </w:r>
      <w:r>
        <w:rPr>
          <w:sz w:val="32"/>
          <w:szCs w:val="32"/>
          <w:highlight w:val="none"/>
        </w:rPr>
      </w:r>
      <w:r>
        <w:rPr>
          <w:sz w:val="28"/>
          <w:szCs w:val="28"/>
        </w:rPr>
      </w:r>
    </w:p>
    <w:p>
      <w:pPr>
        <w:pStyle w:val="672"/>
        <w:ind w:left="1843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Панькова С.В., начальник отдела градостроительства, земельных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left="1843"/>
        <w:rPr>
          <w:sz w:val="28"/>
          <w:szCs w:val="28"/>
        </w:rPr>
      </w:pPr>
      <w:r>
        <w:rPr>
          <w:sz w:val="28"/>
          <w:szCs w:val="28"/>
        </w:rPr>
        <w:t xml:space="preserve">и имущественных отношений администрации Мотовилихинского района </w:t>
      </w:r>
      <w:r>
        <w:rPr>
          <w:sz w:val="28"/>
          <w:szCs w:val="28"/>
        </w:rPr>
        <w:t xml:space="preserve">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672"/>
        <w:ind w:left="1843"/>
        <w:rPr>
          <w:sz w:val="28"/>
          <w:szCs w:val="28"/>
        </w:rPr>
      </w:pPr>
      <w:r>
        <w:rPr>
          <w:sz w:val="28"/>
          <w:szCs w:val="28"/>
        </w:rPr>
        <w:t xml:space="preserve">Четина Ю.И., заместитель начальника отдела по распоряжению</w:t>
      </w:r>
      <w:r>
        <w:rPr>
          <w:sz w:val="28"/>
          <w:szCs w:val="28"/>
        </w:rPr>
      </w:r>
    </w:p>
    <w:p>
      <w:pPr>
        <w:pStyle w:val="672"/>
        <w:ind w:left="1843"/>
        <w:rPr>
          <w:sz w:val="28"/>
          <w:szCs w:val="28"/>
        </w:rPr>
      </w:pPr>
      <w:r>
        <w:rPr>
          <w:sz w:val="28"/>
          <w:szCs w:val="28"/>
        </w:rPr>
        <w:t xml:space="preserve">муниципальным имуществом управления по распоряжению </w:t>
      </w:r>
      <w:r>
        <w:rPr>
          <w:sz w:val="28"/>
          <w:szCs w:val="28"/>
        </w:rPr>
      </w:r>
    </w:p>
    <w:p>
      <w:pPr>
        <w:pStyle w:val="672"/>
        <w:ind w:left="1843"/>
        <w:rPr>
          <w:sz w:val="28"/>
          <w:szCs w:val="28"/>
        </w:rPr>
      </w:pPr>
      <w:r>
        <w:rPr>
          <w:sz w:val="28"/>
          <w:szCs w:val="28"/>
        </w:rPr>
        <w:t xml:space="preserve">муниципальным имуществом департамента имущественных</w:t>
      </w:r>
      <w:r>
        <w:rPr>
          <w:sz w:val="28"/>
          <w:szCs w:val="28"/>
        </w:rPr>
      </w:r>
    </w:p>
    <w:p>
      <w:pPr>
        <w:pStyle w:val="672"/>
        <w:ind w:left="1843"/>
        <w:rPr>
          <w:sz w:val="28"/>
          <w:szCs w:val="28"/>
        </w:rPr>
      </w:pPr>
      <w:r>
        <w:rPr>
          <w:sz w:val="28"/>
          <w:szCs w:val="28"/>
        </w:rPr>
        <w:t xml:space="preserve">отнош</w:t>
      </w:r>
      <w:r>
        <w:rPr>
          <w:sz w:val="28"/>
          <w:szCs w:val="28"/>
        </w:rPr>
        <w:t xml:space="preserve">ений администрации города Перми;</w:t>
      </w:r>
      <w:r>
        <w:rPr>
          <w:sz w:val="28"/>
          <w:szCs w:val="28"/>
        </w:rPr>
      </w:r>
    </w:p>
    <w:p>
      <w:pPr>
        <w:pStyle w:val="6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tabs>
          <w:tab w:val="left" w:pos="252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заявки на участие в </w:t>
      </w:r>
      <w:r>
        <w:rPr>
          <w:rFonts w:ascii="Times New Roman" w:hAnsi="Times New Roman"/>
          <w:sz w:val="28"/>
          <w:szCs w:val="28"/>
          <w:lang w:val="ru-RU"/>
        </w:rPr>
        <w:t xml:space="preserve">электронном </w:t>
      </w:r>
      <w:r>
        <w:rPr>
          <w:rFonts w:ascii="Times New Roman" w:hAnsi="Times New Roman"/>
          <w:sz w:val="28"/>
          <w:szCs w:val="28"/>
        </w:rPr>
        <w:t xml:space="preserve">аукционе, назначенном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22.08</w:t>
      </w:r>
      <w:r>
        <w:rPr>
          <w:rFonts w:ascii="Times New Roman" w:hAnsi="Times New Roman"/>
          <w:sz w:val="28"/>
          <w:szCs w:val="28"/>
          <w:lang w:val="ru-RU"/>
        </w:rPr>
        <w:t xml:space="preserve">.2024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(процедура №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SBR012-2407190113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установила</w:t>
      </w:r>
      <w:r>
        <w:rPr>
          <w:rFonts w:ascii="Times New Roman" w:hAnsi="Times New Roman"/>
          <w:bCs/>
          <w:sz w:val="28"/>
          <w:szCs w:val="28"/>
        </w:rPr>
        <w:t xml:space="preserve">: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8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>
        <w:rPr>
          <w:b/>
          <w:sz w:val="28"/>
          <w:szCs w:val="28"/>
        </w:rPr>
        <w:t xml:space="preserve"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</w:t>
      </w:r>
      <w:r>
        <w:rPr>
          <w:sz w:val="28"/>
          <w:szCs w:val="28"/>
        </w:rPr>
        <w:t xml:space="preserve"> заключения договора аренды земельного участка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 кадастровым номером 59:01:1717028:356 площадью 6000 кв. м., расположенного по адресу: Российская Федерация, край Пермский, г.о. Пермский, г. Пермь,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ул. Щигровская, зу 9, для строительства объекта капитального строительства согласно виду разрешенного использования земельного участка. Разрешенное использование земельного участка – легкая промышленность, склады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</w:t>
      </w:r>
      <w:r>
        <w:rPr>
          <w:sz w:val="28"/>
          <w:szCs w:val="28"/>
        </w:rPr>
        <w:t xml:space="preserve">заявки </w:t>
      </w:r>
      <w:r>
        <w:rPr>
          <w:bCs/>
          <w:sz w:val="28"/>
          <w:szCs w:val="28"/>
        </w:rPr>
        <w:t xml:space="preserve">от следующих заявителей: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99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588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заявителе</w:t>
            </w:r>
            <w:r>
              <w:rPr>
                <w:sz w:val="28"/>
                <w:szCs w:val="28"/>
              </w:rPr>
            </w:r>
          </w:p>
        </w:tc>
        <w:tc>
          <w:tcPr>
            <w:tcW w:w="3312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подачи заявки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2"/>
        </w:trPr>
        <w:tc>
          <w:tcPr>
            <w:tcW w:w="6588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Индивидуальный предприниматель Мудров Иван Юрьевич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W w:w="3312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17.08.2024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588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Индивидуальный предприниматель Кирюхин Семен Сергеевич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W w:w="3312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20.08.2024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32"/>
          <w:szCs w:val="32"/>
          <w:highlight w:val="none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по лоту № 2 </w:t>
      </w:r>
      <w:r>
        <w:rPr>
          <w:b/>
          <w:sz w:val="28"/>
          <w:szCs w:val="28"/>
        </w:rPr>
        <w:t xml:space="preserve"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заключения договора аренды земельного участка                            с кадастровым номером 59:01:0000000:91273 площадью 597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 кв. м., расположенного по адресу: Российская Федерация, край Пермский, г.о. Пермский, г. Пермь, ул. Белорусская, зу 1т, для индивидуального жилищного строительства. Разрешенное использование земельного участка – для индивидуального жилищного строительства поступили заявки от следующих заявителей: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both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tbl>
      <w:tblPr>
        <w:tblW w:w="99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312"/>
      </w:tblGrid>
      <w:tr>
        <w:tblPrEx/>
        <w:trPr/>
        <w:tc>
          <w:tcPr>
            <w:tcW w:w="6588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заявителе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12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подачи заявки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6"/>
        </w:trPr>
        <w:tc>
          <w:tcPr>
            <w:tcW w:w="6588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Михай Елена Маскалиевна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6"/>
                <w:szCs w:val="3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2"/>
                <w:szCs w:val="32"/>
              </w:rPr>
            </w:r>
          </w:p>
        </w:tc>
        <w:tc>
          <w:tcPr>
            <w:tcW w:w="3312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19.08.2024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pStyle w:val="67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0" w:firstLine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Поступили установленные суммы задатков </w:t>
      </w:r>
      <w:r>
        <w:rPr>
          <w:bCs/>
          <w:sz w:val="28"/>
          <w:szCs w:val="28"/>
        </w:rPr>
        <w:t xml:space="preserve">от следующих заявителей:</w:t>
      </w:r>
      <w:r>
        <w:rPr>
          <w:bCs/>
          <w:sz w:val="28"/>
          <w:szCs w:val="28"/>
        </w:rPr>
      </w:r>
    </w:p>
    <w:p>
      <w:pPr>
        <w:pStyle w:val="680"/>
        <w:ind w:left="0" w:firstLine="283"/>
        <w:jc w:val="both"/>
        <w:spacing w:after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680"/>
        <w:ind w:left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 xml:space="preserve">1</w:t>
      </w:r>
      <w:r>
        <w:rPr>
          <w:b/>
          <w:sz w:val="28"/>
          <w:szCs w:val="28"/>
          <w:lang w:val="ru-RU"/>
        </w:rPr>
      </w:r>
    </w:p>
    <w:tbl>
      <w:tblPr>
        <w:tblW w:w="99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588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заявителе</w:t>
            </w:r>
            <w:r>
              <w:rPr>
                <w:sz w:val="28"/>
                <w:szCs w:val="28"/>
              </w:rPr>
            </w:r>
          </w:p>
        </w:tc>
        <w:tc>
          <w:tcPr>
            <w:tcW w:w="3312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задатка, руб.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588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Индивидуальный предприниматель Мудров Иван Юрьевич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W w:w="3312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576 000,00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588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Индивидуальный предприниматель Кирюхин Семен Сергеевич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r>
          </w:p>
        </w:tc>
        <w:tc>
          <w:tcPr>
            <w:tcW w:w="3312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576 000,00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0"/>
        <w:ind w:left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 xml:space="preserve">2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tbl>
      <w:tblPr>
        <w:tblW w:w="99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588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заявителе</w:t>
            </w:r>
            <w:r>
              <w:rPr>
                <w:sz w:val="28"/>
                <w:szCs w:val="28"/>
              </w:rPr>
            </w:r>
          </w:p>
        </w:tc>
        <w:tc>
          <w:tcPr>
            <w:tcW w:w="3312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задатка, руб.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588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Михай Елена Маскалиевна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2"/>
                <w:szCs w:val="3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2"/>
                <w:szCs w:val="32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2"/>
                <w:szCs w:val="32"/>
              </w:rPr>
            </w:r>
          </w:p>
        </w:tc>
        <w:tc>
          <w:tcPr>
            <w:tcW w:w="3312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63 050,00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8 статьи 39.12 Земельного кодекса Российской Федерации, постановления администрации города Перми от 20.11.2008 № </w:t>
      </w:r>
      <w:r>
        <w:rPr>
          <w:sz w:val="28"/>
          <w:szCs w:val="28"/>
        </w:rPr>
        <w:t xml:space="preserve">1089 «О комиссии </w:t>
      </w:r>
      <w:r>
        <w:rPr>
          <w:sz w:val="28"/>
          <w:szCs w:val="28"/>
        </w:rPr>
        <w:t xml:space="preserve">по проведению аукционов по продаже земельных участков, находящихся в</w:t>
      </w:r>
      <w:r>
        <w:rPr>
          <w:sz w:val="28"/>
          <w:szCs w:val="28"/>
        </w:rPr>
        <w:t xml:space="preserve">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</w:t>
        <w:br/>
        <w:t xml:space="preserve">в муниципальной собственности города Перми, и участках, собственность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(с последующими изменениями) </w:t>
      </w:r>
      <w:r>
        <w:rPr>
          <w:b/>
          <w:sz w:val="28"/>
          <w:szCs w:val="28"/>
        </w:rPr>
        <w:t xml:space="preserve">комиссия решила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78"/>
        <w:jc w:val="both"/>
        <w:tabs>
          <w:tab w:val="left" w:pos="0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672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допущены к участию в </w:t>
      </w:r>
      <w:r>
        <w:rPr>
          <w:sz w:val="28"/>
          <w:szCs w:val="28"/>
        </w:rPr>
        <w:t xml:space="preserve">электронном </w:t>
      </w:r>
      <w:r>
        <w:rPr>
          <w:sz w:val="28"/>
          <w:szCs w:val="28"/>
        </w:rPr>
        <w:t xml:space="preserve">аукционе и признаны участниками </w:t>
      </w:r>
      <w:r>
        <w:rPr>
          <w:sz w:val="28"/>
          <w:szCs w:val="28"/>
        </w:rPr>
        <w:t xml:space="preserve">электронного </w:t>
      </w:r>
      <w:r>
        <w:rPr>
          <w:sz w:val="28"/>
          <w:szCs w:val="28"/>
        </w:rPr>
        <w:t xml:space="preserve">аукциона следующие заявители: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индивидуальный предприниматель Мудров Иван Юрьевич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индивидуальный предприниматель Кирюхин Семен Сергеевич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6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32"/>
          <w:szCs w:val="32"/>
        </w:rPr>
      </w:pPr>
      <w:r>
        <w:rPr>
          <w:b/>
          <w:sz w:val="28"/>
          <w:szCs w:val="28"/>
        </w:rPr>
        <w:t xml:space="preserve">по лоту № 2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28"/>
          <w:szCs w:val="28"/>
        </w:rPr>
        <w:t xml:space="preserve">Михай Елена Маскалиевна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32"/>
          <w:szCs w:val="32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32"/>
          <w:szCs w:val="32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mallCaps w:val="0"/>
          <w:color w:val="000000"/>
          <w:sz w:val="32"/>
          <w:szCs w:val="32"/>
        </w:rPr>
      </w:r>
    </w:p>
    <w:p>
      <w:pPr>
        <w:pStyle w:val="6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ризнать</w:t>
      </w:r>
      <w:r>
        <w:rPr>
          <w:sz w:val="28"/>
          <w:szCs w:val="28"/>
        </w:rPr>
        <w:t xml:space="preserve"> аукцион несостоявшимся по лоту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2 </w:t>
      </w:r>
      <w:r>
        <w:rPr>
          <w:sz w:val="28"/>
          <w:szCs w:val="28"/>
        </w:rPr>
        <w:t xml:space="preserve">в связи с тем, что </w:t>
        <w:br/>
        <w:t xml:space="preserve">по окончании срока подачи заявок на участие в аукционе по данному лоту подана только одна заявка на участие в аукционе</w:t>
      </w:r>
      <w:r>
        <w:rPr>
          <w:sz w:val="28"/>
          <w:szCs w:val="28"/>
        </w:rPr>
        <w:t xml:space="preserve">.</w:t>
      </w:r>
      <w:r/>
      <w:r>
        <w:rPr>
          <w:sz w:val="28"/>
          <w:szCs w:val="28"/>
        </w:rPr>
      </w:r>
      <w:r/>
      <w:r/>
      <w:r>
        <w:rPr>
          <w:sz w:val="28"/>
          <w:szCs w:val="28"/>
        </w:rPr>
      </w:r>
    </w:p>
    <w:p>
      <w:pPr>
        <w:pStyle w:val="672"/>
        <w:ind w:firstLine="709"/>
        <w:jc w:val="both"/>
        <w:rPr>
          <w:sz w:val="32"/>
          <w:szCs w:val="36"/>
          <w:lang w:val="en-US" w:eastAsia="en-US"/>
        </w:rPr>
      </w:pPr>
      <w:r>
        <w:rPr>
          <w:sz w:val="28"/>
          <w:szCs w:val="32"/>
          <w:lang w:val="en-US" w:eastAsia="en-US"/>
        </w:rPr>
        <w:t xml:space="preserve">Единственн</w:t>
      </w:r>
      <w:r>
        <w:rPr>
          <w:sz w:val="28"/>
          <w:szCs w:val="32"/>
          <w:lang w:eastAsia="en-US"/>
        </w:rPr>
        <w:t xml:space="preserve">ая</w:t>
      </w:r>
      <w:r>
        <w:rPr>
          <w:sz w:val="28"/>
          <w:szCs w:val="32"/>
          <w:lang w:val="en-US" w:eastAsia="en-US"/>
        </w:rPr>
        <w:t xml:space="preserve"> заявк</w:t>
      </w:r>
      <w:r>
        <w:rPr>
          <w:sz w:val="28"/>
          <w:szCs w:val="32"/>
          <w:lang w:eastAsia="en-US"/>
        </w:rPr>
        <w:t xml:space="preserve">а</w:t>
      </w:r>
      <w:r>
        <w:rPr>
          <w:sz w:val="28"/>
          <w:szCs w:val="32"/>
          <w:lang w:val="en-US" w:eastAsia="en-US"/>
        </w:rPr>
        <w:t xml:space="preserve"> на участие в аукционе и заявител</w:t>
      </w:r>
      <w:r>
        <w:rPr>
          <w:sz w:val="28"/>
          <w:szCs w:val="32"/>
          <w:lang w:eastAsia="en-US"/>
        </w:rPr>
        <w:t xml:space="preserve">ь</w:t>
      </w:r>
      <w:r>
        <w:rPr>
          <w:sz w:val="28"/>
          <w:szCs w:val="32"/>
          <w:lang w:val="en-US" w:eastAsia="en-US"/>
        </w:rPr>
        <w:t xml:space="preserve">, подавши</w:t>
      </w:r>
      <w:r>
        <w:rPr>
          <w:sz w:val="28"/>
          <w:szCs w:val="32"/>
          <w:lang w:eastAsia="en-US"/>
        </w:rPr>
        <w:t xml:space="preserve">й</w:t>
      </w:r>
      <w:r>
        <w:rPr>
          <w:sz w:val="28"/>
          <w:szCs w:val="32"/>
          <w:lang w:val="en-US" w:eastAsia="en-US"/>
        </w:rPr>
        <w:t xml:space="preserve"> указанн</w:t>
      </w:r>
      <w:r>
        <w:rPr>
          <w:sz w:val="28"/>
          <w:szCs w:val="32"/>
          <w:lang w:eastAsia="en-US"/>
        </w:rPr>
        <w:t xml:space="preserve">ую</w:t>
      </w:r>
      <w:r>
        <w:rPr>
          <w:sz w:val="28"/>
          <w:szCs w:val="32"/>
          <w:lang w:val="en-US" w:eastAsia="en-US"/>
        </w:rPr>
        <w:t xml:space="preserve"> заявк</w:t>
      </w:r>
      <w:r>
        <w:rPr>
          <w:sz w:val="28"/>
          <w:szCs w:val="32"/>
          <w:lang w:eastAsia="en-US"/>
        </w:rPr>
        <w:t xml:space="preserve">у</w:t>
      </w:r>
      <w:r>
        <w:rPr>
          <w:sz w:val="28"/>
          <w:szCs w:val="32"/>
          <w:lang w:val="en-US" w:eastAsia="en-US"/>
        </w:rPr>
        <w:t xml:space="preserve">, соответству</w:t>
      </w:r>
      <w:r>
        <w:rPr>
          <w:sz w:val="28"/>
          <w:szCs w:val="32"/>
          <w:lang w:eastAsia="en-US"/>
        </w:rPr>
        <w:t xml:space="preserve">ют</w:t>
      </w:r>
      <w:r>
        <w:rPr>
          <w:sz w:val="28"/>
          <w:szCs w:val="32"/>
          <w:lang w:val="en-US" w:eastAsia="en-US"/>
        </w:rPr>
        <w:t xml:space="preserve"> всем требованиям и условиям, указанным                    в извещении о проведении аукциона. </w:t>
      </w:r>
      <w:r>
        <w:rPr>
          <w:sz w:val="28"/>
          <w:szCs w:val="32"/>
          <w:lang w:val="en-US" w:eastAsia="en-US"/>
        </w:rPr>
      </w:r>
      <w:r>
        <w:rPr>
          <w:sz w:val="28"/>
          <w:szCs w:val="32"/>
          <w:lang w:val="en-US" w:eastAsia="en-US"/>
        </w:rPr>
      </w:r>
    </w:p>
    <w:p>
      <w:pPr>
        <w:pStyle w:val="672"/>
        <w:ind w:firstLine="708"/>
        <w:jc w:val="both"/>
        <w:rPr>
          <w:sz w:val="32"/>
          <w:szCs w:val="36"/>
          <w:lang w:eastAsia="en-US"/>
        </w:rPr>
      </w:pPr>
      <w:r>
        <w:rPr>
          <w:sz w:val="28"/>
          <w:szCs w:val="32"/>
          <w:lang w:val="en-US" w:eastAsia="en-US"/>
        </w:rPr>
        <w:t xml:space="preserve">В соответствии с пунктом 1</w:t>
      </w:r>
      <w:r>
        <w:rPr>
          <w:sz w:val="28"/>
          <w:szCs w:val="32"/>
          <w:lang w:eastAsia="en-US"/>
        </w:rPr>
        <w:t xml:space="preserve">2</w:t>
      </w:r>
      <w:r>
        <w:rPr>
          <w:sz w:val="28"/>
          <w:szCs w:val="32"/>
          <w:lang w:val="en-US" w:eastAsia="en-US"/>
        </w:rPr>
        <w:t xml:space="preserve"> статьи 39.1</w:t>
      </w:r>
      <w:r>
        <w:rPr>
          <w:sz w:val="28"/>
          <w:szCs w:val="32"/>
          <w:lang w:eastAsia="en-US"/>
        </w:rPr>
        <w:t xml:space="preserve">3</w:t>
      </w:r>
      <w:r>
        <w:rPr>
          <w:sz w:val="28"/>
          <w:szCs w:val="32"/>
          <w:lang w:val="en-US" w:eastAsia="en-US"/>
        </w:rPr>
        <w:t xml:space="preserve"> Земельного кодекса </w:t>
      </w:r>
      <w:r>
        <w:rPr>
          <w:sz w:val="28"/>
          <w:szCs w:val="28"/>
          <w:lang w:val="en-US" w:eastAsia="en-US"/>
        </w:rPr>
        <w:t xml:space="preserve">Российской Федерации уполномоченный орган в течение </w:t>
      </w:r>
      <w:r>
        <w:rPr>
          <w:sz w:val="28"/>
          <w:szCs w:val="28"/>
          <w:lang w:eastAsia="en-US"/>
        </w:rPr>
        <w:t xml:space="preserve">пяти</w:t>
      </w:r>
      <w:r>
        <w:rPr>
          <w:sz w:val="28"/>
          <w:szCs w:val="28"/>
          <w:lang w:val="en-US" w:eastAsia="en-US"/>
        </w:rPr>
        <w:t xml:space="preserve"> дней со дня </w:t>
      </w:r>
      <w:r>
        <w:rPr>
          <w:sz w:val="28"/>
          <w:szCs w:val="28"/>
          <w:lang w:eastAsia="en-US"/>
        </w:rPr>
        <w:t xml:space="preserve">истечения срока, предусмотренного п. 11 ст. 39.13 </w:t>
      </w:r>
      <w:r>
        <w:rPr>
          <w:sz w:val="28"/>
          <w:szCs w:val="28"/>
          <w:lang w:eastAsia="en-US"/>
        </w:rPr>
        <w:t xml:space="preserve">Земельного кодекса</w:t>
      </w:r>
      <w:r>
        <w:rPr>
          <w:sz w:val="28"/>
          <w:szCs w:val="28"/>
          <w:lang w:val="en-US" w:eastAsia="en-US"/>
        </w:rPr>
        <w:t xml:space="preserve"> Российской Федерации обязан направить заявителю</w:t>
      </w:r>
      <w:r>
        <w:rPr>
          <w:sz w:val="28"/>
          <w:szCs w:val="28"/>
          <w:lang w:eastAsia="en-US"/>
        </w:rPr>
        <w:t xml:space="preserve">, признанному единственным участником аукциона,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 xml:space="preserve">подписанный проект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аукциона:</w:t>
      </w:r>
      <w:r>
        <w:rPr>
          <w:sz w:val="28"/>
          <w:szCs w:val="32"/>
          <w:lang w:eastAsia="en-US"/>
        </w:rPr>
      </w:r>
      <w:r>
        <w:rPr>
          <w:sz w:val="28"/>
          <w:szCs w:val="32"/>
          <w:lang w:eastAsia="en-US"/>
        </w:rPr>
      </w:r>
    </w:p>
    <w:p>
      <w:pPr>
        <w:pStyle w:val="672"/>
        <w:jc w:val="both"/>
        <w:rPr>
          <w:b/>
          <w:sz w:val="32"/>
          <w:szCs w:val="36"/>
          <w:lang w:eastAsia="en-US"/>
        </w:rPr>
      </w:pPr>
      <w:r>
        <w:rPr>
          <w:b/>
          <w:sz w:val="28"/>
          <w:szCs w:val="32"/>
          <w:lang w:eastAsia="en-US"/>
        </w:rPr>
      </w:r>
      <w:r>
        <w:rPr>
          <w:b/>
          <w:sz w:val="28"/>
          <w:szCs w:val="32"/>
          <w:lang w:eastAsia="en-US"/>
        </w:rPr>
      </w:r>
      <w:r>
        <w:rPr>
          <w:b/>
          <w:sz w:val="28"/>
          <w:szCs w:val="32"/>
          <w:lang w:eastAsia="en-US"/>
        </w:rPr>
      </w:r>
    </w:p>
    <w:p>
      <w:pPr>
        <w:pStyle w:val="672"/>
        <w:ind w:firstLine="708"/>
        <w:jc w:val="both"/>
        <w:rPr>
          <w:b/>
          <w:sz w:val="32"/>
          <w:szCs w:val="36"/>
          <w:lang w:eastAsia="en-US"/>
        </w:rPr>
      </w:pPr>
      <w:r>
        <w:rPr>
          <w:b/>
          <w:sz w:val="28"/>
          <w:szCs w:val="32"/>
          <w:lang w:eastAsia="en-US"/>
        </w:rPr>
        <w:t xml:space="preserve">по лоту № </w:t>
      </w:r>
      <w:r>
        <w:rPr>
          <w:b/>
          <w:sz w:val="28"/>
          <w:szCs w:val="32"/>
          <w:lang w:eastAsia="en-US"/>
        </w:rPr>
        <w:t xml:space="preserve">2 (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mallCaps w:val="0"/>
          <w:color w:val="000000"/>
          <w:sz w:val="28"/>
          <w:szCs w:val="28"/>
        </w:rPr>
        <w:t xml:space="preserve">ул. Белорусская, зу 1т</w:t>
      </w:r>
      <w:r>
        <w:rPr>
          <w:b/>
          <w:sz w:val="28"/>
          <w:szCs w:val="32"/>
          <w:lang w:eastAsia="en-US"/>
        </w:rPr>
        <w:t xml:space="preserve">) – </w:t>
      </w:r>
      <w:r>
        <w:rPr>
          <w:b/>
          <w:sz w:val="28"/>
          <w:szCs w:val="32"/>
          <w:lang w:eastAsia="en-US"/>
        </w:rPr>
        <w:t xml:space="preserve">126 100</w:t>
      </w:r>
      <w:r>
        <w:rPr>
          <w:b/>
          <w:sz w:val="28"/>
          <w:szCs w:val="32"/>
          <w:lang w:eastAsia="en-US"/>
        </w:rPr>
        <w:t xml:space="preserve"> руб.</w:t>
      </w:r>
      <w:r>
        <w:rPr>
          <w:b/>
          <w:sz w:val="28"/>
          <w:szCs w:val="32"/>
          <w:lang w:eastAsia="en-US"/>
        </w:rPr>
      </w:r>
      <w:r>
        <w:rPr>
          <w:b/>
          <w:sz w:val="28"/>
          <w:szCs w:val="32"/>
          <w:lang w:eastAsia="en-US"/>
        </w:rPr>
      </w:r>
    </w:p>
    <w:p>
      <w:pPr>
        <w:pStyle w:val="672"/>
        <w:ind w:firstLine="708"/>
        <w:jc w:val="both"/>
        <w:rPr>
          <w:b/>
          <w:sz w:val="32"/>
          <w:szCs w:val="36"/>
          <w:lang w:eastAsia="en-US"/>
        </w:rPr>
      </w:pPr>
      <w:r>
        <w:rPr>
          <w:b/>
          <w:sz w:val="28"/>
          <w:szCs w:val="32"/>
          <w:lang w:eastAsia="en-US"/>
        </w:rPr>
      </w:r>
      <w:r>
        <w:rPr>
          <w:b/>
          <w:sz w:val="28"/>
          <w:szCs w:val="32"/>
          <w:lang w:eastAsia="en-US"/>
        </w:rPr>
      </w:r>
      <w:r>
        <w:rPr>
          <w:b/>
          <w:sz w:val="28"/>
          <w:szCs w:val="32"/>
          <w:lang w:eastAsia="en-US"/>
        </w:rPr>
      </w:r>
    </w:p>
    <w:p>
      <w:pPr>
        <w:ind w:firstLine="708"/>
        <w:jc w:val="both"/>
        <w:rPr>
          <w:sz w:val="32"/>
          <w:szCs w:val="32"/>
        </w:rPr>
      </w:pPr>
      <w:r>
        <w:rPr>
          <w:sz w:val="28"/>
          <w:szCs w:val="32"/>
          <w:lang w:eastAsia="en-US"/>
        </w:rPr>
        <w:t xml:space="preserve">В соответствии с пунктом 13 статьи 39.13 Земельного кодекса Российской Федерации по результатам электронного аукциона договор </w:t>
      </w:r>
      <w:r>
        <w:rPr>
          <w:sz w:val="28"/>
          <w:szCs w:val="28"/>
          <w:lang w:eastAsia="en-US"/>
        </w:rPr>
        <w:t xml:space="preserve">аренды </w:t>
      </w:r>
      <w:r>
        <w:rPr>
          <w:sz w:val="28"/>
          <w:szCs w:val="32"/>
          <w:lang w:eastAsia="en-US"/>
        </w:rPr>
        <w:t xml:space="preserve">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8"/>
          <w:szCs w:val="32"/>
          <w:lang w:eastAsia="en-US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0"/>
        <w:ind w:left="0" w:firstLine="0"/>
        <w:jc w:val="both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80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7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А.В.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</w:rPr>
      </w:r>
    </w:p>
    <w:p>
      <w:pPr>
        <w:pStyle w:val="67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</w:t>
      </w:r>
      <w:r>
        <w:rPr>
          <w:sz w:val="28"/>
          <w:szCs w:val="28"/>
        </w:rPr>
        <w:t xml:space="preserve">Е.П. Шафранова </w:t>
      </w:r>
      <w:r>
        <w:rPr>
          <w:sz w:val="28"/>
          <w:szCs w:val="28"/>
        </w:rPr>
      </w:r>
    </w:p>
    <w:p>
      <w:pPr>
        <w:pStyle w:val="672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</w:t>
      </w:r>
      <w:r>
        <w:rPr>
          <w:sz w:val="28"/>
          <w:szCs w:val="28"/>
        </w:rPr>
        <w:t xml:space="preserve">Н.Н. Борцова  </w:t>
      </w:r>
      <w:r>
        <w:rPr>
          <w:sz w:val="28"/>
          <w:szCs w:val="28"/>
        </w:rPr>
      </w:r>
    </w:p>
    <w:p>
      <w:pPr>
        <w:pStyle w:val="672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firstLine="7655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А.О. Гребнева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655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655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Д.С. Дмитриева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655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655"/>
        <w:spacing w:before="120" w:after="12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С.В. Панькова</w:t>
      </w:r>
      <w:r>
        <w:rPr>
          <w:sz w:val="28"/>
          <w:szCs w:val="28"/>
          <w:highlight w:val="none"/>
        </w:rPr>
      </w:r>
    </w:p>
    <w:p>
      <w:pPr>
        <w:pStyle w:val="672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left="7938" w:hanging="283"/>
        <w:rPr>
          <w:sz w:val="28"/>
          <w:szCs w:val="28"/>
        </w:rPr>
      </w:pPr>
      <w:r>
        <w:rPr>
          <w:sz w:val="28"/>
          <w:szCs w:val="28"/>
        </w:rPr>
        <w:t xml:space="preserve">Ю.И. Четина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left="7938" w:hanging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2"/>
        <w:ind w:left="7938" w:hanging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426" w:right="567" w:bottom="0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6030504020204"/>
  </w:font>
  <w:font w:name="Verdana">
    <w:panose1 w:val="020B0606030504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  <w:rPr>
        <w:rStyle w:val="685"/>
      </w:rPr>
      <w:framePr w:wrap="around" w:vAnchor="text" w:hAnchor="margin" w:xAlign="right" w:y="1"/>
    </w:pPr>
    <w:r>
      <w:rPr>
        <w:rStyle w:val="685"/>
      </w:rPr>
      <w:fldChar w:fldCharType="begin"/>
    </w:r>
    <w:r>
      <w:rPr>
        <w:rStyle w:val="685"/>
      </w:rPr>
      <w:instrText xml:space="preserve">PAGE  </w:instrText>
    </w:r>
    <w:r>
      <w:rPr>
        <w:rStyle w:val="685"/>
      </w:rPr>
      <w:fldChar w:fldCharType="separate"/>
    </w:r>
    <w:r>
      <w:rPr>
        <w:rStyle w:val="685"/>
      </w:rPr>
      <w:t xml:space="preserve">1</w:t>
    </w:r>
    <w:r>
      <w:rPr>
        <w:rStyle w:val="685"/>
      </w:rPr>
      <w:fldChar w:fldCharType="end"/>
    </w:r>
    <w:r>
      <w:rPr>
        <w:rStyle w:val="685"/>
      </w:rPr>
    </w:r>
    <w:r>
      <w:rPr>
        <w:rStyle w:val="685"/>
      </w:rPr>
    </w:r>
  </w:p>
  <w:p>
    <w:pPr>
      <w:pStyle w:val="684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  <w:rPr>
        <w:rStyle w:val="685"/>
      </w:rPr>
      <w:framePr w:wrap="around" w:vAnchor="text" w:hAnchor="margin" w:xAlign="right" w:y="1"/>
    </w:pPr>
    <w:r>
      <w:rPr>
        <w:rStyle w:val="685"/>
      </w:rPr>
      <w:fldChar w:fldCharType="begin"/>
    </w:r>
    <w:r>
      <w:rPr>
        <w:rStyle w:val="685"/>
      </w:rPr>
      <w:instrText xml:space="preserve">PAGE  </w:instrText>
    </w:r>
    <w:r>
      <w:rPr>
        <w:rStyle w:val="685"/>
      </w:rPr>
      <w:fldChar w:fldCharType="end"/>
    </w:r>
    <w:r>
      <w:rPr>
        <w:rStyle w:val="685"/>
      </w:rPr>
    </w:r>
    <w:r>
      <w:rPr>
        <w:rStyle w:val="685"/>
      </w:rPr>
    </w:r>
  </w:p>
  <w:p>
    <w:pPr>
      <w:pStyle w:val="684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  <w:tabs>
          <w:tab w:val="num" w:pos="9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  <w:tabs>
          <w:tab w:val="num" w:pos="16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  <w:tabs>
          <w:tab w:val="num" w:pos="24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  <w:tabs>
          <w:tab w:val="num" w:pos="31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  <w:tabs>
          <w:tab w:val="num" w:pos="38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  <w:tabs>
          <w:tab w:val="num" w:pos="45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  <w:tabs>
          <w:tab w:val="num" w:pos="52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  <w:tabs>
          <w:tab w:val="num" w:pos="60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  <w:tabs>
          <w:tab w:val="num" w:pos="6720" w:leader="none"/>
        </w:tabs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2"/>
    <w:next w:val="67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2"/>
    <w:next w:val="67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2"/>
    <w:next w:val="67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2"/>
    <w:next w:val="67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2"/>
    <w:next w:val="67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2"/>
    <w:next w:val="67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2"/>
    <w:next w:val="67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2"/>
    <w:next w:val="67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2"/>
    <w:next w:val="67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2"/>
    <w:next w:val="67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2"/>
    <w:next w:val="67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2"/>
    <w:next w:val="67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2"/>
    <w:next w:val="67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2"/>
    <w:next w:val="67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2"/>
    <w:next w:val="67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2"/>
    <w:next w:val="67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2"/>
    <w:next w:val="67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2"/>
    <w:next w:val="67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2"/>
    <w:next w:val="67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2"/>
    <w:next w:val="67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2"/>
    <w:next w:val="67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2"/>
    <w:next w:val="67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2"/>
    <w:next w:val="672"/>
    <w:uiPriority w:val="99"/>
    <w:unhideWhenUsed/>
    <w:pPr>
      <w:spacing w:after="0" w:afterAutospacing="0"/>
    </w:pPr>
  </w:style>
  <w:style w:type="paragraph" w:styleId="672" w:default="1">
    <w:name w:val="Normal"/>
    <w:next w:val="672"/>
    <w:link w:val="672"/>
    <w:qFormat/>
    <w:rPr>
      <w:sz w:val="24"/>
      <w:szCs w:val="24"/>
      <w:lang w:val="ru-RU" w:eastAsia="ru-RU" w:bidi="ar-SA"/>
    </w:rPr>
  </w:style>
  <w:style w:type="character" w:styleId="673">
    <w:name w:val="Основной шрифт абзаца"/>
    <w:next w:val="673"/>
    <w:link w:val="672"/>
    <w:semiHidden/>
  </w:style>
  <w:style w:type="table" w:styleId="674">
    <w:name w:val="Обычная таблица"/>
    <w:next w:val="674"/>
    <w:link w:val="672"/>
    <w:semiHidden/>
    <w:tblPr/>
  </w:style>
  <w:style w:type="numbering" w:styleId="675">
    <w:name w:val="Нет списка"/>
    <w:next w:val="675"/>
    <w:link w:val="672"/>
    <w:semiHidden/>
  </w:style>
  <w:style w:type="table" w:styleId="676">
    <w:name w:val="Сетка таблицы"/>
    <w:basedOn w:val="674"/>
    <w:next w:val="676"/>
    <w:link w:val="672"/>
    <w:tblPr/>
  </w:style>
  <w:style w:type="paragraph" w:styleId="677">
    <w:name w:val="Основной текст с отступом"/>
    <w:basedOn w:val="672"/>
    <w:next w:val="677"/>
    <w:link w:val="685"/>
    <w:pPr>
      <w:ind w:left="283"/>
      <w:spacing w:after="120"/>
    </w:pPr>
    <w:rPr>
      <w:lang w:val="en-US" w:eastAsia="en-US"/>
    </w:rPr>
  </w:style>
  <w:style w:type="paragraph" w:styleId="678">
    <w:name w:val="Текст"/>
    <w:basedOn w:val="672"/>
    <w:next w:val="678"/>
    <w:link w:val="682"/>
    <w:rPr>
      <w:rFonts w:ascii="Courier New" w:hAnsi="Courier New"/>
      <w:sz w:val="20"/>
      <w:szCs w:val="20"/>
      <w:lang w:val="en-US" w:eastAsia="en-US"/>
    </w:rPr>
  </w:style>
  <w:style w:type="paragraph" w:styleId="679">
    <w:name w:val="Знак Знак Знак Знак Знак Знак Знак Знак Знак Знак Знак Знак"/>
    <w:basedOn w:val="672"/>
    <w:next w:val="679"/>
    <w:link w:val="672"/>
    <w:rPr>
      <w:rFonts w:ascii="Verdana" w:hAnsi="Verdana" w:cs="Verdana"/>
      <w:sz w:val="20"/>
      <w:szCs w:val="20"/>
      <w:lang w:val="en-US" w:eastAsia="en-US"/>
    </w:rPr>
  </w:style>
  <w:style w:type="paragraph" w:styleId="680">
    <w:name w:val="Основной текст с отступом 3"/>
    <w:basedOn w:val="672"/>
    <w:next w:val="680"/>
    <w:link w:val="681"/>
    <w:pPr>
      <w:ind w:left="283"/>
      <w:spacing w:after="120"/>
    </w:pPr>
    <w:rPr>
      <w:sz w:val="16"/>
      <w:szCs w:val="16"/>
      <w:lang w:val="en-US" w:eastAsia="en-US"/>
    </w:rPr>
  </w:style>
  <w:style w:type="character" w:styleId="681">
    <w:name w:val="Основной текст с отступом 3 Знак"/>
    <w:next w:val="681"/>
    <w:link w:val="680"/>
    <w:rPr>
      <w:sz w:val="16"/>
      <w:szCs w:val="16"/>
    </w:rPr>
  </w:style>
  <w:style w:type="character" w:styleId="682">
    <w:name w:val="Текст Знак"/>
    <w:next w:val="682"/>
    <w:link w:val="678"/>
    <w:rPr>
      <w:rFonts w:ascii="Courier New" w:hAnsi="Courier New"/>
    </w:rPr>
  </w:style>
  <w:style w:type="paragraph" w:styleId="683">
    <w:name w:val="Текст выноски"/>
    <w:basedOn w:val="672"/>
    <w:next w:val="683"/>
    <w:link w:val="684"/>
    <w:rPr>
      <w:rFonts w:ascii="Tahoma" w:hAnsi="Tahoma"/>
      <w:sz w:val="16"/>
      <w:szCs w:val="16"/>
      <w:lang w:val="en-US" w:eastAsia="en-US"/>
    </w:rPr>
  </w:style>
  <w:style w:type="character" w:styleId="684">
    <w:name w:val="Текст выноски Знак"/>
    <w:next w:val="684"/>
    <w:link w:val="683"/>
    <w:rPr>
      <w:rFonts w:ascii="Tahoma" w:hAnsi="Tahoma" w:cs="Tahoma"/>
      <w:sz w:val="16"/>
      <w:szCs w:val="16"/>
    </w:rPr>
  </w:style>
  <w:style w:type="character" w:styleId="685">
    <w:name w:val="Основной текст с отступом Знак"/>
    <w:next w:val="685"/>
    <w:link w:val="677"/>
    <w:rPr>
      <w:sz w:val="24"/>
      <w:szCs w:val="24"/>
    </w:rPr>
  </w:style>
  <w:style w:type="paragraph" w:styleId="686">
    <w:name w:val="Верхний колонтитул"/>
    <w:basedOn w:val="672"/>
    <w:next w:val="686"/>
    <w:link w:val="687"/>
    <w:pPr>
      <w:tabs>
        <w:tab w:val="center" w:pos="4677" w:leader="none"/>
        <w:tab w:val="right" w:pos="9355" w:leader="none"/>
      </w:tabs>
    </w:pPr>
  </w:style>
  <w:style w:type="character" w:styleId="687">
    <w:name w:val="Верхний колонтитул Знак"/>
    <w:next w:val="687"/>
    <w:link w:val="686"/>
    <w:rPr>
      <w:sz w:val="24"/>
      <w:szCs w:val="24"/>
    </w:rPr>
  </w:style>
  <w:style w:type="paragraph" w:styleId="688">
    <w:name w:val="Нижний колонтитул"/>
    <w:basedOn w:val="672"/>
    <w:next w:val="688"/>
    <w:link w:val="689"/>
    <w:pPr>
      <w:tabs>
        <w:tab w:val="center" w:pos="4677" w:leader="none"/>
        <w:tab w:val="right" w:pos="9355" w:leader="none"/>
      </w:tabs>
    </w:pPr>
  </w:style>
  <w:style w:type="character" w:styleId="689">
    <w:name w:val="Нижний колонтитул Знак"/>
    <w:next w:val="689"/>
    <w:link w:val="688"/>
    <w:rPr>
      <w:sz w:val="24"/>
      <w:szCs w:val="24"/>
    </w:rPr>
  </w:style>
  <w:style w:type="paragraph" w:styleId="690">
    <w:name w:val="Текст сноски"/>
    <w:basedOn w:val="672"/>
    <w:next w:val="690"/>
    <w:link w:val="691"/>
    <w:rPr>
      <w:sz w:val="20"/>
      <w:szCs w:val="20"/>
    </w:rPr>
  </w:style>
  <w:style w:type="character" w:styleId="691">
    <w:name w:val="Текст сноски Знак"/>
    <w:basedOn w:val="673"/>
    <w:next w:val="691"/>
    <w:link w:val="690"/>
  </w:style>
  <w:style w:type="character" w:styleId="692">
    <w:name w:val="Знак сноски"/>
    <w:next w:val="692"/>
    <w:link w:val="672"/>
    <w:rPr>
      <w:vertAlign w:val="superscript"/>
    </w:rPr>
  </w:style>
  <w:style w:type="character" w:styleId="1705" w:default="1">
    <w:name w:val="Default Paragraph Font"/>
    <w:uiPriority w:val="1"/>
    <w:semiHidden/>
    <w:unhideWhenUsed/>
  </w:style>
  <w:style w:type="numbering" w:styleId="1706" w:default="1">
    <w:name w:val="No List"/>
    <w:uiPriority w:val="99"/>
    <w:semiHidden/>
    <w:unhideWhenUsed/>
  </w:style>
  <w:style w:type="table" w:styleId="17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creator>bna</dc:creator>
  <cp:revision>1043</cp:revision>
  <dcterms:created xsi:type="dcterms:W3CDTF">2015-07-02T10:18:00Z</dcterms:created>
  <dcterms:modified xsi:type="dcterms:W3CDTF">2024-08-21T05:20:20Z</dcterms:modified>
  <cp:version>1048576</cp:version>
</cp:coreProperties>
</file>