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88"/>
        <w:ind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 xml:space="preserve">электронного </w:t>
      </w:r>
      <w:r>
        <w:rPr>
          <w:b/>
          <w:sz w:val="28"/>
          <w:szCs w:val="28"/>
        </w:rPr>
        <w:t xml:space="preserve">аукциона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Сибирская, д.14, каб.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22.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20"/>
        <w:jc w:val="both"/>
        <w:tabs>
          <w:tab w:val="left" w:pos="28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муниципальной собственности города Перми, и участков, собственность на которые не разграничена, </w:t>
      </w:r>
      <w:r>
        <w:rPr>
          <w:sz w:val="28"/>
          <w:szCs w:val="28"/>
        </w:rPr>
        <w:t xml:space="preserve">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</w:t>
      </w:r>
      <w:r>
        <w:rPr>
          <w:sz w:val="28"/>
          <w:szCs w:val="28"/>
        </w:rPr>
        <w:t xml:space="preserve">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1089</w:t>
      </w:r>
      <w:r>
        <w:rPr>
          <w:sz w:val="28"/>
          <w:szCs w:val="28"/>
        </w:rPr>
        <w:t xml:space="preserve"> (с последующими изменениями), в</w:t>
      </w:r>
      <w:r>
        <w:rPr>
          <w:sz w:val="28"/>
          <w:szCs w:val="28"/>
        </w:rPr>
        <w:t xml:space="preserve"> составе: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8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4"/>
        <w:ind w:left="2977" w:hanging="2977"/>
        <w:spacing w:after="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Соснин А.В., и.о. начальника департамента имущественных отношений администрации города Перми; 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4"/>
        <w:ind w:left="2976" w:right="0" w:hanging="297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</w:t>
      </w:r>
      <w:r>
        <w:rPr>
          <w:sz w:val="28"/>
          <w:szCs w:val="28"/>
          <w:lang w:eastAsia="en-US"/>
        </w:rPr>
        <w:t xml:space="preserve">Шафранова Е.П., заместител</w:t>
      </w:r>
      <w:r>
        <w:rPr>
          <w:sz w:val="28"/>
          <w:szCs w:val="28"/>
          <w:lang w:eastAsia="en-US"/>
        </w:rPr>
        <w:t xml:space="preserve">ь начальника департамента земельных отношений администрации 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4"/>
        <w:ind w:left="2517" w:hanging="251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4"/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Б</w:t>
      </w:r>
      <w:r>
        <w:rPr>
          <w:sz w:val="28"/>
          <w:szCs w:val="28"/>
        </w:rPr>
        <w:t xml:space="preserve">орцова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., начальник отдела сопровождения договоров юридического управления департамента земельных отношений администрации города Перми;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126" w:right="0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Гребнева А.О.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начальник сектора</w:t>
      </w:r>
      <w:r>
        <w:rPr>
          <w:sz w:val="28"/>
          <w:szCs w:val="28"/>
        </w:rPr>
        <w:t xml:space="preserve"> градостроительства, земельных</w:t>
        <w:br/>
        <w:t xml:space="preserve">и имущественных отношений администрации </w:t>
      </w:r>
      <w:r>
        <w:rPr>
          <w:sz w:val="28"/>
          <w:szCs w:val="28"/>
        </w:rPr>
        <w:t xml:space="preserve">Кировского</w:t>
      </w:r>
      <w:r>
        <w:rPr>
          <w:sz w:val="28"/>
          <w:szCs w:val="28"/>
        </w:rPr>
        <w:t xml:space="preserve"> района</w:t>
        <w:br/>
        <w:t xml:space="preserve">города Перми;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ind w:left="21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Дмитриева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., начальник отдела градостроительства, земельных</w:t>
        <w:br/>
        <w:t xml:space="preserve">и имущественных отношений администрации </w:t>
      </w:r>
      <w:r>
        <w:rPr>
          <w:sz w:val="28"/>
          <w:szCs w:val="28"/>
        </w:rPr>
        <w:t xml:space="preserve">Дзержинского</w:t>
      </w:r>
      <w:r>
        <w:rPr>
          <w:sz w:val="28"/>
          <w:szCs w:val="28"/>
        </w:rPr>
        <w:t xml:space="preserve">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126" w:right="0" w:firstLine="0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Панькова С.В., начальник отдела градостроительства, земельных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1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администрации Мотовилихинского района </w:t>
      </w:r>
      <w:r>
        <w:rPr>
          <w:sz w:val="28"/>
          <w:szCs w:val="28"/>
        </w:rPr>
        <w:t xml:space="preserve">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1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1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управления по распоряжению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1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департамента имущественных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21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отнош</w:t>
      </w:r>
      <w:r>
        <w:rPr>
          <w:sz w:val="28"/>
          <w:szCs w:val="28"/>
        </w:rPr>
        <w:t xml:space="preserve">ений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1843"/>
        <w:spacing w:after="12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28"/>
          <w:szCs w:val="28"/>
        </w:rPr>
      </w:pPr>
      <w:r>
        <w:rPr>
          <w:b/>
          <w:sz w:val="28"/>
          <w:szCs w:val="28"/>
        </w:rPr>
        <w:t xml:space="preserve">Дата электронного аукциона: </w:t>
      </w:r>
      <w:r>
        <w:rPr>
          <w:sz w:val="28"/>
          <w:szCs w:val="28"/>
        </w:rPr>
        <w:t xml:space="preserve">22.0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1.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заключения договора аренды земельного участка</w:t>
      </w:r>
      <w:r>
        <w:rPr>
          <w:sz w:val="28"/>
          <w:szCs w:val="28"/>
        </w:rPr>
        <w:t xml:space="preserve"> с кадастровым номером 59:01:1717028:356 площадью 6000 кв. м., расположенного по адресу: Российская Федерация, край Пермский, г.о. Пермский, г. Пермь, </w:t>
      </w:r>
      <w:r>
        <w:rPr>
          <w:sz w:val="28"/>
          <w:szCs w:val="28"/>
        </w:rPr>
        <w:t xml:space="preserve">ул. Щигровская,           зу 9, для строительства объекта капитального строительства согласно виду разрешенного использования земельного участка. Разрешенное использование земельного участка – легкая промышленность, склады</w:t>
      </w:r>
      <w:r>
        <w:rPr>
          <w:b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электронного аукциона: 09:00 по местному времени (07:00 МСК).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  <w:highlight w:val="none"/>
        </w:rPr>
        <w:t xml:space="preserve">09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16</w:t>
      </w:r>
      <w:r>
        <w:rPr>
          <w:sz w:val="28"/>
          <w:szCs w:val="28"/>
        </w:rPr>
        <w:t xml:space="preserve"> по местному времени (</w:t>
      </w:r>
      <w:r>
        <w:rPr>
          <w:sz w:val="28"/>
          <w:szCs w:val="28"/>
          <w:highlight w:val="none"/>
        </w:rPr>
        <w:t xml:space="preserve">0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16</w:t>
      </w:r>
      <w:r>
        <w:rPr>
          <w:sz w:val="28"/>
          <w:szCs w:val="28"/>
        </w:rPr>
        <w:t xml:space="preserve"> МСК).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аукционе поступили </w:t>
      </w:r>
      <w:r>
        <w:rPr>
          <w:sz w:val="28"/>
          <w:szCs w:val="28"/>
        </w:rPr>
        <w:t xml:space="preserve">2 заяв</w:t>
      </w:r>
      <w:r>
        <w:rPr>
          <w:sz w:val="28"/>
          <w:szCs w:val="28"/>
        </w:rPr>
        <w:t xml:space="preserve">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pPr>
      <w:r>
        <w:rPr>
          <w:sz w:val="28"/>
          <w:szCs w:val="28"/>
          <w:lang w:val="en-US" w:eastAsia="en-US"/>
        </w:rPr>
        <w:t xml:space="preserve">Сведения об участниках аукциона </w:t>
      </w:r>
      <w:r>
        <w:rPr>
          <w:sz w:val="28"/>
          <w:szCs w:val="28"/>
          <w:lang w:eastAsia="en-US"/>
        </w:rPr>
        <w:t xml:space="preserve">–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индивидуальный предприниматель Мудров Иван Юрьевич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индивидуальный предприниматель Кирюхин Семен Сергеевич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pStyle w:val="874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 </w:t>
      </w:r>
      <w:r>
        <w:rPr>
          <w:sz w:val="28"/>
          <w:szCs w:val="28"/>
          <w:lang w:eastAsia="en-US"/>
        </w:rPr>
        <w:t xml:space="preserve">1 152 000,</w:t>
      </w:r>
      <w:r>
        <w:rPr>
          <w:sz w:val="28"/>
          <w:szCs w:val="28"/>
          <w:lang w:eastAsia="en-US"/>
        </w:rPr>
        <w:t xml:space="preserve">00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руб.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74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 цене предмета аукциона,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 Мудров Иван Юрьевич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 Кирюхин Семен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1 186 560,00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74"/>
        <w:jc w:val="both"/>
        <w:spacing w:line="276" w:lineRule="auto"/>
        <w:rPr>
          <w:lang w:val="en-US" w:eastAsia="en-US"/>
        </w:rPr>
      </w:pPr>
      <w:r>
        <w:rPr>
          <w:lang w:val="en-US" w:eastAsia="en-US"/>
        </w:rPr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874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Последнее предложение о цене предмета аукциона – </w:t>
      </w:r>
      <w:r>
        <w:rPr>
          <w:sz w:val="28"/>
          <w:szCs w:val="28"/>
        </w:rPr>
        <w:t xml:space="preserve">1 186 560,00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 w:eastAsia="en-US"/>
        </w:rPr>
        <w:t xml:space="preserve">руб.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74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Предпоследнее предложение о цене предмета аукциона –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отсутствует.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Победитель аукциона </w:t>
      </w:r>
      <w:r>
        <w:rPr>
          <w:sz w:val="28"/>
          <w:szCs w:val="28"/>
          <w:lang w:eastAsia="en-US"/>
        </w:rPr>
        <w:t xml:space="preserve"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индивидуальный предприниматель Кирюхин Семен Сергеевич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614109, Россия, Пермский край, г. Пермь, переулок Омутинский, д. 218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lang w:eastAsia="en-US"/>
        </w:rPr>
        <w:t xml:space="preserve">предмета </w:t>
      </w:r>
      <w:r>
        <w:rPr>
          <w:sz w:val="28"/>
          <w:szCs w:val="28"/>
          <w:lang w:val="en-US" w:eastAsia="en-US"/>
        </w:rPr>
        <w:t xml:space="preserve">аукциона </w:t>
      </w:r>
      <w:r>
        <w:rPr>
          <w:sz w:val="28"/>
          <w:szCs w:val="28"/>
          <w:lang w:eastAsia="en-US"/>
        </w:rPr>
        <w:t xml:space="preserve">–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отсутствует.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b/>
          <w:bCs/>
          <w:sz w:val="28"/>
          <w:szCs w:val="28"/>
          <w:highlight w:val="cyan"/>
        </w:rPr>
      </w:pPr>
      <w:r>
        <w:rPr>
          <w:sz w:val="28"/>
          <w:szCs w:val="28"/>
          <w:lang w:val="en-US" w:eastAsia="en-US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 xml:space="preserve">1 186 560,00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 w:eastAsia="en-US"/>
        </w:rPr>
        <w:t xml:space="preserve">руб.</w:t>
      </w: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</w:p>
    <w:p>
      <w:pPr>
        <w:pStyle w:val="874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заключения договора аренды земельного участка с кадастровым номером 59:01:0000000:91273 площадью 597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кв. м., расположенного по адресу: Российс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кая Федерация, край Пермский, г.о. Пермский, г. Пермь, ул. Белорусская,          зу 1т, для индивидуального жилищного строительства. Разрешенное использование земельного участка – для индивидуального жилищного строительства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 126 100,00 руб.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электронном аукционе подана одна заявка.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32"/>
          <w:szCs w:val="32"/>
        </w:rPr>
      </w:pPr>
      <w:r>
        <w:rPr>
          <w:sz w:val="28"/>
          <w:szCs w:val="28"/>
        </w:rPr>
        <w:t xml:space="preserve">Единственный заявитель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Михай Елена Маскалиевна.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32"/>
          <w:szCs w:val="32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извещении о проведении электронного аукциона.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</w:t>
      </w:r>
      <w:r>
        <w:rPr>
          <w:b/>
          <w:sz w:val="28"/>
          <w:szCs w:val="28"/>
        </w:rPr>
        <w:t xml:space="preserve">№ 2</w:t>
      </w:r>
      <w:r>
        <w:rPr>
          <w:sz w:val="28"/>
          <w:szCs w:val="28"/>
        </w:rPr>
        <w:t xml:space="preserve"> признан несостоявшимся.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0"/>
        <w:jc w:val="both"/>
        <w:rPr>
          <w:sz w:val="32"/>
          <w:szCs w:val="36"/>
          <w:lang w:eastAsia="en-US"/>
        </w:rPr>
      </w:pPr>
      <w:r>
        <w:rPr>
          <w:sz w:val="28"/>
          <w:szCs w:val="32"/>
          <w:lang w:val="en-US" w:eastAsia="en-US"/>
        </w:rPr>
        <w:t xml:space="preserve">В соответствии с пунктом 1</w:t>
      </w:r>
      <w:r>
        <w:rPr>
          <w:sz w:val="28"/>
          <w:szCs w:val="32"/>
          <w:lang w:eastAsia="en-US"/>
        </w:rPr>
        <w:t xml:space="preserve">2</w:t>
      </w:r>
      <w:r>
        <w:rPr>
          <w:sz w:val="28"/>
          <w:szCs w:val="32"/>
          <w:lang w:val="en-US" w:eastAsia="en-US"/>
        </w:rPr>
        <w:t xml:space="preserve"> статьи 39.1</w:t>
      </w:r>
      <w:r>
        <w:rPr>
          <w:sz w:val="28"/>
          <w:szCs w:val="32"/>
          <w:lang w:eastAsia="en-US"/>
        </w:rPr>
        <w:t xml:space="preserve">3</w:t>
      </w:r>
      <w:r>
        <w:rPr>
          <w:sz w:val="28"/>
          <w:szCs w:val="32"/>
          <w:lang w:val="en-US" w:eastAsia="en-US"/>
        </w:rPr>
        <w:t xml:space="preserve"> Земельного кодекса </w:t>
      </w:r>
      <w:r>
        <w:rPr>
          <w:sz w:val="28"/>
          <w:szCs w:val="28"/>
          <w:lang w:val="en-US" w:eastAsia="en-US"/>
        </w:rPr>
        <w:t xml:space="preserve">Российской Федерации уполномоченный орган в течение </w:t>
      </w:r>
      <w:r>
        <w:rPr>
          <w:sz w:val="28"/>
          <w:szCs w:val="28"/>
          <w:lang w:eastAsia="en-US"/>
        </w:rPr>
        <w:t xml:space="preserve">пяти</w:t>
      </w:r>
      <w:r>
        <w:rPr>
          <w:sz w:val="28"/>
          <w:szCs w:val="28"/>
          <w:lang w:val="en-US" w:eastAsia="en-US"/>
        </w:rPr>
        <w:t xml:space="preserve"> дней со дня </w:t>
      </w:r>
      <w:r>
        <w:rPr>
          <w:sz w:val="28"/>
          <w:szCs w:val="28"/>
          <w:lang w:eastAsia="en-US"/>
        </w:rPr>
        <w:t xml:space="preserve">истечения срока, предусмотренного п. 11 ст. 39.13 </w:t>
      </w:r>
      <w:r>
        <w:rPr>
          <w:sz w:val="28"/>
          <w:szCs w:val="28"/>
          <w:lang w:eastAsia="en-US"/>
        </w:rPr>
        <w:t xml:space="preserve">Земельного кодекса</w:t>
      </w:r>
      <w:r>
        <w:rPr>
          <w:sz w:val="28"/>
          <w:szCs w:val="28"/>
          <w:lang w:val="en-US" w:eastAsia="en-US"/>
        </w:rPr>
        <w:t xml:space="preserve"> Российской Федерации обязан направить заявителю</w:t>
      </w:r>
      <w:r>
        <w:rPr>
          <w:sz w:val="28"/>
          <w:szCs w:val="28"/>
          <w:lang w:eastAsia="en-US"/>
        </w:rPr>
        <w:t xml:space="preserve">, признанному единственным участником аукциона,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подписанный 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договора аренды земельного участка. При этом размер ежегодной арендной платы по договору аренды земельного участка определяется       в размере, равном начальной цене предмета аукциона, и составляет </w:t>
      </w:r>
      <w:r>
        <w:rPr>
          <w:b/>
          <w:bCs/>
          <w:sz w:val="28"/>
          <w:szCs w:val="28"/>
          <w:lang w:eastAsia="en-US"/>
        </w:rPr>
        <w:t xml:space="preserve">126 100,00 руб.</w:t>
      </w:r>
      <w:r>
        <w:rPr>
          <w:sz w:val="32"/>
          <w:szCs w:val="36"/>
          <w:lang w:eastAsia="en-US"/>
        </w:rPr>
      </w:r>
      <w:r>
        <w:rPr>
          <w:sz w:val="32"/>
          <w:szCs w:val="36"/>
          <w:lang w:eastAsia="en-US"/>
        </w:rPr>
      </w:r>
    </w:p>
    <w:p>
      <w:pPr>
        <w:pStyle w:val="8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</w:p>
    <w:p>
      <w:pPr>
        <w:jc w:val="both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</w:t>
      </w:r>
      <w:r>
        <w:rPr>
          <w:sz w:val="28"/>
          <w:szCs w:val="28"/>
        </w:rPr>
        <w:t xml:space="preserve">Е.П. Шафранова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Н.Н. Борцова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А.О. Гребнева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Д.С. Дмитриева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С.В. Панькова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7938" w:hanging="283"/>
        <w:rPr>
          <w:sz w:val="28"/>
          <w:szCs w:val="28"/>
        </w:rPr>
      </w:pPr>
      <w:r>
        <w:rPr>
          <w:sz w:val="28"/>
          <w:szCs w:val="28"/>
        </w:rPr>
        <w:t xml:space="preserve">Ю.И. Четина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357" w:right="567" w:bottom="284" w:left="1134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6030504020204"/>
  </w:font>
  <w:font w:name="Verdan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91"/>
      </w:rPr>
      <w:framePr w:wrap="around" w:vAnchor="text" w:hAnchor="margin" w:xAlign="right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separate"/>
    </w:r>
    <w:r>
      <w:rPr>
        <w:rStyle w:val="891"/>
      </w:rPr>
      <w:t xml:space="preserve">6</w: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83"/>
      <w:ind w:right="36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91"/>
      </w:rPr>
      <w:framePr w:wrap="around" w:vAnchor="text" w:hAnchor="margin" w:xAlign="right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8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sz w:val="24"/>
      <w:szCs w:val="24"/>
      <w:lang w:val="ru-RU" w:eastAsia="ru-RU" w:bidi="ar-SA"/>
    </w:rPr>
  </w:style>
  <w:style w:type="paragraph" w:styleId="875">
    <w:name w:val="Заголовок 1"/>
    <w:basedOn w:val="874"/>
    <w:next w:val="874"/>
    <w:link w:val="874"/>
    <w:qFormat/>
    <w:pPr>
      <w:jc w:val="center"/>
      <w:keepNext/>
      <w:outlineLvl w:val="0"/>
    </w:pPr>
    <w:rPr>
      <w:b/>
      <w:bCs/>
      <w:szCs w:val="20"/>
    </w:rPr>
  </w:style>
  <w:style w:type="paragraph" w:styleId="876">
    <w:name w:val="Заголовок 3"/>
    <w:basedOn w:val="874"/>
    <w:next w:val="874"/>
    <w:link w:val="87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77">
    <w:name w:val="Основной шрифт абзаца"/>
    <w:next w:val="877"/>
    <w:link w:val="874"/>
    <w:semiHidden/>
  </w:style>
  <w:style w:type="table" w:styleId="878">
    <w:name w:val="Обычная таблица"/>
    <w:next w:val="878"/>
    <w:link w:val="874"/>
    <w:semiHidden/>
    <w:tblPr/>
  </w:style>
  <w:style w:type="numbering" w:styleId="879">
    <w:name w:val="Нет списка"/>
    <w:next w:val="879"/>
    <w:link w:val="874"/>
    <w:semiHidden/>
  </w:style>
  <w:style w:type="paragraph" w:styleId="880">
    <w:name w:val="Основной текст с отступом 2"/>
    <w:basedOn w:val="874"/>
    <w:next w:val="880"/>
    <w:link w:val="874"/>
    <w:pPr>
      <w:ind w:left="4962" w:hanging="4395"/>
      <w:jc w:val="both"/>
    </w:pPr>
    <w:rPr>
      <w:szCs w:val="20"/>
    </w:rPr>
  </w:style>
  <w:style w:type="paragraph" w:styleId="881">
    <w:name w:val="Текст"/>
    <w:basedOn w:val="874"/>
    <w:next w:val="881"/>
    <w:link w:val="894"/>
    <w:rPr>
      <w:rFonts w:ascii="Courier New" w:hAnsi="Courier New"/>
      <w:sz w:val="20"/>
      <w:szCs w:val="20"/>
      <w:lang w:val="en-US" w:eastAsia="en-US"/>
    </w:rPr>
  </w:style>
  <w:style w:type="paragraph" w:styleId="882">
    <w:name w:val="Основной текст с отступом 3"/>
    <w:basedOn w:val="874"/>
    <w:next w:val="882"/>
    <w:link w:val="893"/>
    <w:pPr>
      <w:ind w:left="5610"/>
    </w:pPr>
    <w:rPr>
      <w:lang w:val="en-US" w:eastAsia="en-US"/>
    </w:rPr>
  </w:style>
  <w:style w:type="paragraph" w:styleId="883">
    <w:name w:val="Нижний колонтитул"/>
    <w:basedOn w:val="874"/>
    <w:next w:val="883"/>
    <w:link w:val="874"/>
    <w:pPr>
      <w:tabs>
        <w:tab w:val="center" w:pos="4677" w:leader="none"/>
        <w:tab w:val="right" w:pos="9355" w:leader="none"/>
      </w:tabs>
    </w:pPr>
  </w:style>
  <w:style w:type="paragraph" w:styleId="884">
    <w:name w:val="Основной текст с отступом"/>
    <w:basedOn w:val="874"/>
    <w:next w:val="884"/>
    <w:link w:val="895"/>
    <w:pPr>
      <w:ind w:left="283"/>
      <w:spacing w:after="120"/>
    </w:pPr>
    <w:rPr>
      <w:lang w:val="en-US" w:eastAsia="en-US"/>
    </w:rPr>
  </w:style>
  <w:style w:type="paragraph" w:styleId="885">
    <w:name w:val="Основной текст"/>
    <w:basedOn w:val="874"/>
    <w:next w:val="885"/>
    <w:link w:val="874"/>
    <w:pPr>
      <w:jc w:val="right"/>
    </w:pPr>
    <w:rPr>
      <w:sz w:val="28"/>
    </w:rPr>
  </w:style>
  <w:style w:type="paragraph" w:styleId="886">
    <w:name w:val="Основной текст 2"/>
    <w:basedOn w:val="874"/>
    <w:next w:val="886"/>
    <w:link w:val="896"/>
    <w:pPr>
      <w:spacing w:after="120" w:line="480" w:lineRule="auto"/>
    </w:pPr>
    <w:rPr>
      <w:lang w:val="en-US" w:eastAsia="en-US"/>
    </w:rPr>
  </w:style>
  <w:style w:type="paragraph" w:styleId="887">
    <w:name w:val="Основной текст 3"/>
    <w:basedOn w:val="874"/>
    <w:next w:val="887"/>
    <w:link w:val="874"/>
    <w:pPr>
      <w:spacing w:after="120"/>
    </w:pPr>
    <w:rPr>
      <w:sz w:val="16"/>
      <w:szCs w:val="16"/>
    </w:rPr>
  </w:style>
  <w:style w:type="paragraph" w:styleId="888">
    <w:name w:val="Заголовок,Название"/>
    <w:basedOn w:val="874"/>
    <w:next w:val="888"/>
    <w:link w:val="874"/>
    <w:qFormat/>
    <w:pPr>
      <w:ind w:firstLine="567"/>
      <w:jc w:val="center"/>
    </w:pPr>
    <w:rPr>
      <w:b/>
      <w:szCs w:val="20"/>
    </w:rPr>
  </w:style>
  <w:style w:type="paragraph" w:styleId="889">
    <w:name w:val="ConsPlusNonformat"/>
    <w:next w:val="889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0">
    <w:name w:val="Сетка таблицы"/>
    <w:basedOn w:val="878"/>
    <w:next w:val="890"/>
    <w:link w:val="874"/>
    <w:tblPr/>
  </w:style>
  <w:style w:type="character" w:styleId="891">
    <w:name w:val="Номер страницы"/>
    <w:basedOn w:val="877"/>
    <w:next w:val="891"/>
    <w:link w:val="874"/>
  </w:style>
  <w:style w:type="paragraph" w:styleId="892">
    <w:name w:val="Знак Знак Знак Знак Знак Знак Знак Знак Знак Знак Знак Знак"/>
    <w:basedOn w:val="874"/>
    <w:next w:val="892"/>
    <w:link w:val="874"/>
    <w:rPr>
      <w:rFonts w:ascii="Verdana" w:hAnsi="Verdana" w:cs="Verdana"/>
      <w:sz w:val="20"/>
      <w:szCs w:val="20"/>
      <w:lang w:val="en-US" w:eastAsia="en-US"/>
    </w:rPr>
  </w:style>
  <w:style w:type="character" w:styleId="893">
    <w:name w:val="Основной текст с отступом 3 Знак"/>
    <w:next w:val="893"/>
    <w:link w:val="882"/>
    <w:rPr>
      <w:sz w:val="24"/>
      <w:szCs w:val="24"/>
    </w:rPr>
  </w:style>
  <w:style w:type="character" w:styleId="894">
    <w:name w:val="Текст Знак"/>
    <w:next w:val="894"/>
    <w:link w:val="881"/>
    <w:rPr>
      <w:rFonts w:ascii="Courier New" w:hAnsi="Courier New"/>
    </w:rPr>
  </w:style>
  <w:style w:type="character" w:styleId="895">
    <w:name w:val="Основной текст с отступом Знак"/>
    <w:next w:val="895"/>
    <w:link w:val="884"/>
    <w:rPr>
      <w:sz w:val="24"/>
      <w:szCs w:val="24"/>
    </w:rPr>
  </w:style>
  <w:style w:type="character" w:styleId="896">
    <w:name w:val="Основной текст 2 Знак"/>
    <w:next w:val="896"/>
    <w:link w:val="886"/>
    <w:rPr>
      <w:sz w:val="24"/>
      <w:szCs w:val="24"/>
    </w:rPr>
  </w:style>
  <w:style w:type="paragraph" w:styleId="897">
    <w:name w:val="Текст выноски"/>
    <w:basedOn w:val="874"/>
    <w:next w:val="897"/>
    <w:link w:val="898"/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rPr>
      <w:rFonts w:ascii="Tahoma" w:hAnsi="Tahoma" w:cs="Tahoma"/>
      <w:sz w:val="16"/>
      <w:szCs w:val="16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revision>427</cp:revision>
  <dcterms:created xsi:type="dcterms:W3CDTF">2020-12-09T05:55:00Z</dcterms:created>
  <dcterms:modified xsi:type="dcterms:W3CDTF">2024-08-22T04:44:47Z</dcterms:modified>
  <cp:version>1048576</cp:version>
</cp:coreProperties>
</file>