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2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12"/>
        <w:numPr>
          <w:ilvl w:val="0"/>
          <w:numId w:val="0"/>
        </w:numPr>
        <w:ind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23.08.2024 № 059-19-01-11-86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b/>
          <w:color w:val="2c2c2d"/>
          <w:sz w:val="21"/>
          <w:highlight w:val="none"/>
        </w:rPr>
      </w:r>
      <w:r/>
      <w:r>
        <w:rPr>
          <w:sz w:val="28"/>
          <w:szCs w:val="28"/>
        </w:rPr>
      </w:r>
    </w:p>
    <w:p>
      <w:pPr>
        <w:pStyle w:val="812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26.09.2024 электронных аукционов по продаже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2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</w:t>
      </w:r>
      <w:r>
        <w:rPr>
          <w:shd w:val="clear" w:color="auto" w:fill="ffffff"/>
        </w:rPr>
        <w:t xml:space="preserve">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</w:t>
      </w:r>
      <w:r>
        <w:rPr>
          <w:shd w:val="clear" w:color="auto" w:fill="ffffff"/>
        </w:rPr>
        <w:t xml:space="preserve">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</w:t>
      </w:r>
      <w:r>
        <w:rPr>
          <w:shd w:val="clear" w:color="auto" w:fill="ffffff"/>
        </w:rPr>
        <w:t xml:space="preserve">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и участков, собственность на которые не разграничена» (далее – комиссия),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bCs/>
          <w:lang w:val="en-US"/>
        </w:rPr>
        <w:t xml:space="preserve">dzo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департ</w:t>
      </w:r>
      <w:r>
        <w:rPr>
          <w:bCs/>
        </w:rPr>
        <w:t xml:space="preserve">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 </w:t>
      </w:r>
      <w:r>
        <w:rPr>
          <w:bCs/>
          <w:lang w:val="en-US"/>
        </w:rPr>
        <w:t xml:space="preserve">dio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r>
        <w:rPr>
          <w:sz w:val="24"/>
          <w:szCs w:val="24"/>
        </w:rPr>
        <w:t xml:space="preserve">23.08.2024 № 059-19-01-11-86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939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89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gov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89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895"/>
            <w:sz w:val="24"/>
            <w:szCs w:val="24"/>
          </w:rPr>
          <w:t xml:space="preserve">http</w:t>
        </w:r>
        <w:r>
          <w:rPr>
            <w:rStyle w:val="895"/>
            <w:sz w:val="24"/>
            <w:szCs w:val="24"/>
            <w:lang w:val="ru-RU"/>
          </w:rPr>
          <w:t xml:space="preserve">://</w:t>
        </w:r>
        <w:r>
          <w:rPr>
            <w:rStyle w:val="895"/>
            <w:sz w:val="24"/>
            <w:szCs w:val="24"/>
          </w:rPr>
          <w:t xml:space="preserve">utp</w:t>
        </w:r>
        <w:r>
          <w:rPr>
            <w:rStyle w:val="895"/>
            <w:sz w:val="24"/>
            <w:szCs w:val="24"/>
            <w:lang w:val="ru-RU"/>
          </w:rPr>
          <w:t xml:space="preserve">.</w:t>
        </w:r>
        <w:r>
          <w:rPr>
            <w:rStyle w:val="895"/>
            <w:sz w:val="24"/>
            <w:szCs w:val="24"/>
          </w:rPr>
          <w:t xml:space="preserve">sberbank</w:t>
        </w:r>
        <w:r>
          <w:rPr>
            <w:rStyle w:val="895"/>
            <w:sz w:val="24"/>
            <w:szCs w:val="24"/>
            <w:lang w:val="ru-RU"/>
          </w:rPr>
          <w:t xml:space="preserve">-</w:t>
        </w:r>
        <w:r>
          <w:rPr>
            <w:rStyle w:val="895"/>
            <w:sz w:val="24"/>
            <w:szCs w:val="24"/>
          </w:rPr>
          <w:t xml:space="preserve">ast</w:t>
        </w:r>
        <w:r>
          <w:rPr>
            <w:rStyle w:val="895"/>
            <w:sz w:val="24"/>
            <w:szCs w:val="24"/>
            <w:lang w:val="ru-RU"/>
          </w:rPr>
          <w:t xml:space="preserve">.</w:t>
        </w:r>
        <w:r>
          <w:rPr>
            <w:rStyle w:val="895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895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895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895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895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 xml:space="preserve">департамент земельных отношений администрации города Перми, 614015, г. Пермь, ул.Сибирская,15, телефон 212-61-90 (отдел договоров).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12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8"/>
        <w:gridCol w:w="3269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Наименование органа местного самоуправления, </w:t>
            </w:r>
            <w:r>
              <w:rPr>
                <w:sz w:val="20"/>
              </w:rPr>
              <w:t xml:space="preserve">принявшего решение о проведении аукциона, </w:t>
            </w:r>
            <w:r>
              <w:rPr>
                <w:sz w:val="20"/>
              </w:rPr>
              <w:t xml:space="preserve">реквизиты указанного решения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</w:t>
            </w:r>
            <w:r>
              <w:rPr>
                <w:sz w:val="20"/>
                <w:szCs w:val="20"/>
              </w:rPr>
              <w:t xml:space="preserve">страция города Перми, распоряжение начальника департамента земельных отношений администрации города Перми от 17 июня 2024 г.                       № 21-01-03-5591 «О проведении аукциона по продаже земельного участка в Орджоникидзевском районе города Перми»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Предмет аукциона по продаже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Федерация, край Пермский, г.о. Пермский, г. Пермь,              ул. </w:t>
            </w:r>
            <w:r>
              <w:rPr>
                <w:sz w:val="20"/>
              </w:rPr>
              <w:t xml:space="preserve">Новогодняя, зу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площадь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590 кв. 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59:01:3812825:163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права на земельный участок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разрешенное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для индивидуального жилищного строительства (2.1)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ограничение прав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0"/>
                <w:szCs w:val="20"/>
              </w:rPr>
              <w:t xml:space="preserve">14.08.2024г. № КУВИ-001/2024-206647934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19.01.2024 № РФ-59-2-03-0-00-2024-0076-0 (далее – ГПЗУ).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Согласно сведениям, содержащимся в ЕГРН в границах Участка расположен объект капитального строит</w:t>
            </w:r>
            <w:r>
              <w:rPr>
                <w:sz w:val="20"/>
                <w:szCs w:val="20"/>
              </w:rPr>
              <w:t xml:space="preserve">ельства с кадастровым номером 59:01:0000000:77564 – сооружение: электросетевой комплекс «Подстанция 110/6 кВ «Северная» с линиями электропередачи, трансформаторными подстанциями и распределительными пунктами», находящееся в собственности ОАО «МРСК Урала».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Согласно пункту 8 статьи 39.11 Земельного кодекса Российской Федерации (далее – Кодекс) земельный участок, нахо</w:t>
            </w:r>
            <w:r>
              <w:rPr>
                <w:sz w:val="20"/>
                <w:szCs w:val="20"/>
              </w:rPr>
              <w:t xml:space="preserve">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sz w:val="20"/>
                <w:szCs w:val="20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сервитута,публичного сервитута, или объекты, размещенные в соответствии со  статьей 39.36 Кодекса.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Учитывая, что указанные линейные объекты могут размещаться на основании сервитута, публичног</w:t>
            </w:r>
            <w:r>
              <w:rPr>
                <w:sz w:val="20"/>
                <w:szCs w:val="20"/>
              </w:rPr>
              <w:t xml:space="preserve">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 По данным геодезической съемки в границах Участка расположен забор, теплица.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Согласно пись</w:t>
            </w:r>
            <w:r>
              <w:rPr>
                <w:sz w:val="20"/>
                <w:szCs w:val="20"/>
              </w:rPr>
              <w:t xml:space="preserve">му администрации Орджоникидзевского района города Перми от 09.01.2024 № 059-37-01-32/3-10, акту обследования от 25.12.2023 № 316 состояние рельефа Участка – уклон. Доступ (подход/подъезд) не ограничен. На Участке установлена часть деревянного ограждения.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Близлежащие пожарные гидранты расположены по адресам: ул. 1-я Логовая, 1е, ул. Пархоменко, 8, ул. Пархоменко, 21, Еловский пер., 24, близлеж</w:t>
            </w:r>
            <w:r>
              <w:rPr>
                <w:sz w:val="20"/>
                <w:szCs w:val="20"/>
              </w:rPr>
              <w:t xml:space="preserve">ащий пожарный водоем – по ул. Новогодняя, 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 Учитывая, что в границах Участка расположено некапитальное самовольное строение, бремя содержания на данный объект несет победитель аукциона с момента государственной регистрации права собственности на Участок.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Согласн</w:t>
            </w:r>
            <w:r>
              <w:rPr>
                <w:sz w:val="20"/>
                <w:szCs w:val="20"/>
              </w:rPr>
              <w:t xml:space="preserve">о сведениям, содержащимся в ГПЗУ, ЕГРН и справке по градостроительным условиям от 15.08.2024 603189, Участок расположен в границах зон с особыми условиями использования территории: полностью в Приаэродромной территории аэродрома аэропорта Большое Савино, р</w:t>
            </w:r>
            <w:r>
              <w:rPr>
                <w:sz w:val="20"/>
                <w:szCs w:val="20"/>
              </w:rPr>
              <w:t xml:space="preserve">еестровый номер границы 59:32-6.553. 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«Запрещается размещать в полосах воздушных подходов на удалении до 30 км, а вне полос воздушных подходов – до 15 км от</w:t>
            </w:r>
            <w:r>
              <w:rPr>
                <w:sz w:val="20"/>
                <w:szCs w:val="20"/>
              </w:rPr>
              <w:t xml:space="preserve">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частично в охранной зоне ВЛ 0,4 кВ от ТП4383, от ТП4384, от ТП4385, от ТП4386, </w:t>
            </w:r>
            <w:r>
              <w:rPr>
                <w:sz w:val="20"/>
                <w:szCs w:val="20"/>
              </w:rPr>
              <w:t xml:space="preserve">КЛ 0,4 кВ от ТП4383, от ТП4385, от ТП4386 (электросетевой комплекс «Подстанция 110/6кВ «Северная» с линиями электропередачи, трансформаторными подстанциями и распределительными пунктами) (площадь пересечения 76 кв. м, реестровый номер границы 59.01.2.179).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При проектировании и строительстве необх</w:t>
            </w:r>
            <w:r>
              <w:rPr>
                <w:sz w:val="20"/>
                <w:szCs w:val="20"/>
              </w:rPr>
              <w:t xml:space="preserve">одимо учитывать требования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Согласно </w:t>
            </w:r>
            <w:r>
              <w:rPr>
                <w:sz w:val="20"/>
                <w:szCs w:val="20"/>
                <w:highlight w:val="none"/>
              </w:rPr>
              <w:t xml:space="preserve">письму </w:t>
            </w:r>
            <w:r>
              <w:rPr>
                <w:sz w:val="20"/>
                <w:szCs w:val="20"/>
                <w:highlight w:val="none"/>
              </w:rPr>
              <w:t xml:space="preserve">департамента </w:t>
            </w:r>
            <w:r>
              <w:rPr>
                <w:sz w:val="20"/>
                <w:szCs w:val="20"/>
                <w:highlight w:val="none"/>
              </w:rPr>
              <w:t xml:space="preserve">жилищно-</w:t>
            </w:r>
            <w:r>
              <w:rPr>
                <w:sz w:val="20"/>
                <w:szCs w:val="20"/>
                <w:highlight w:val="none"/>
              </w:rPr>
              <w:t xml:space="preserve">коммунального хозяйства администрации города </w:t>
            </w:r>
            <w:r>
              <w:rPr>
                <w:sz w:val="20"/>
                <w:szCs w:val="20"/>
                <w:highlight w:val="none"/>
              </w:rPr>
              <w:t xml:space="preserve">Перми </w:t>
            </w:r>
            <w:r>
              <w:rPr>
                <w:sz w:val="20"/>
                <w:szCs w:val="20"/>
                <w:highlight w:val="none"/>
              </w:rPr>
              <w:t xml:space="preserve">от </w:t>
            </w:r>
            <w:r>
              <w:rPr>
                <w:sz w:val="20"/>
                <w:szCs w:val="20"/>
                <w:highlight w:val="none"/>
              </w:rPr>
              <w:t xml:space="preserve">22.12.2023 </w:t>
            </w:r>
            <w:r>
              <w:rPr>
                <w:sz w:val="20"/>
                <w:szCs w:val="20"/>
                <w:highlight w:val="none"/>
              </w:rPr>
              <w:t xml:space="preserve">No </w:t>
            </w:r>
            <w:r>
              <w:rPr>
                <w:sz w:val="20"/>
                <w:szCs w:val="20"/>
                <w:highlight w:val="none"/>
              </w:rPr>
              <w:t xml:space="preserve">059-04-17/3-1271-ри </w:t>
            </w:r>
            <w:r>
              <w:rPr>
                <w:sz w:val="20"/>
                <w:szCs w:val="20"/>
                <w:highlight w:val="none"/>
              </w:rPr>
              <w:t xml:space="preserve">на территории, где расположен Участок, схемами </w:t>
            </w:r>
            <w:r>
              <w:rPr>
                <w:sz w:val="20"/>
                <w:szCs w:val="20"/>
                <w:highlight w:val="none"/>
              </w:rPr>
              <w:t xml:space="preserve">водоснабжения </w:t>
            </w:r>
            <w:r>
              <w:rPr>
                <w:sz w:val="20"/>
                <w:szCs w:val="20"/>
                <w:highlight w:val="none"/>
              </w:rPr>
              <w:t xml:space="preserve">и </w:t>
            </w:r>
            <w:r>
              <w:rPr>
                <w:sz w:val="20"/>
                <w:szCs w:val="20"/>
                <w:highlight w:val="none"/>
              </w:rPr>
              <w:t xml:space="preserve">водоотведения </w:t>
            </w:r>
            <w:r>
              <w:rPr>
                <w:sz w:val="20"/>
                <w:szCs w:val="20"/>
                <w:highlight w:val="none"/>
              </w:rPr>
              <w:t xml:space="preserve">города </w:t>
            </w:r>
            <w:r>
              <w:rPr>
                <w:sz w:val="20"/>
                <w:szCs w:val="20"/>
                <w:highlight w:val="none"/>
              </w:rPr>
              <w:t xml:space="preserve">Перми, </w:t>
            </w:r>
            <w:r>
              <w:rPr>
                <w:sz w:val="20"/>
                <w:szCs w:val="20"/>
                <w:highlight w:val="none"/>
              </w:rPr>
              <w:t xml:space="preserve">утвержденными постановлением администрации города </w:t>
            </w:r>
            <w:r>
              <w:rPr>
                <w:sz w:val="20"/>
                <w:szCs w:val="20"/>
                <w:highlight w:val="none"/>
              </w:rPr>
              <w:t xml:space="preserve">Перми от 28.12.2018 No 1085, определена потребность </w:t>
            </w:r>
            <w:r>
              <w:rPr>
                <w:sz w:val="20"/>
                <w:szCs w:val="20"/>
                <w:highlight w:val="none"/>
              </w:rPr>
              <w:t xml:space="preserve">в строительстве сетей водоснабжения и водоотведения </w:t>
            </w:r>
            <w:r>
              <w:rPr>
                <w:sz w:val="20"/>
                <w:szCs w:val="20"/>
                <w:highlight w:val="none"/>
              </w:rPr>
              <w:t xml:space="preserve">в мкр. Чапаевский, реализация предусмотрена с 2024 года </w:t>
            </w:r>
            <w:r>
              <w:rPr>
                <w:sz w:val="20"/>
                <w:szCs w:val="20"/>
                <w:highlight w:val="none"/>
              </w:rPr>
              <w:t xml:space="preserve">мероприятия не обеспечены финансированием).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Согласно письму управления по экологии </w:t>
            </w:r>
            <w:r>
              <w:rPr>
                <w:sz w:val="20"/>
                <w:szCs w:val="20"/>
                <w:highlight w:val="none"/>
              </w:rPr>
              <w:t xml:space="preserve">и природопользованию администрации города Перми </w:t>
            </w:r>
            <w:r>
              <w:rPr>
                <w:sz w:val="20"/>
                <w:szCs w:val="20"/>
                <w:highlight w:val="none"/>
              </w:rPr>
              <w:t xml:space="preserve">от 17.01.2024 № 059-33-01-10/3-27 на Участке </w:t>
            </w:r>
            <w:r>
              <w:rPr>
                <w:sz w:val="20"/>
                <w:szCs w:val="20"/>
                <w:highlight w:val="none"/>
              </w:rPr>
              <w:t xml:space="preserve">произрастает 6 деревьев породы – клен 4 шт., береза 2 шт.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Победителю </w:t>
            </w:r>
            <w:r>
              <w:rPr>
                <w:sz w:val="20"/>
                <w:szCs w:val="20"/>
                <w:highlight w:val="none"/>
              </w:rPr>
              <w:t xml:space="preserve">аукциона </w:t>
            </w:r>
            <w:r>
              <w:rPr>
                <w:sz w:val="20"/>
                <w:szCs w:val="20"/>
                <w:highlight w:val="none"/>
              </w:rPr>
              <w:t xml:space="preserve">необходимо </w:t>
            </w:r>
            <w:r>
              <w:rPr>
                <w:sz w:val="20"/>
                <w:szCs w:val="20"/>
                <w:highlight w:val="none"/>
              </w:rPr>
              <w:t xml:space="preserve">соблюдать </w:t>
            </w:r>
            <w:r>
              <w:rPr>
                <w:sz w:val="20"/>
                <w:szCs w:val="20"/>
                <w:highlight w:val="none"/>
              </w:rPr>
              <w:t xml:space="preserve">следующие условия строительства, а также проектом </w:t>
            </w:r>
            <w:r>
              <w:rPr>
                <w:sz w:val="20"/>
                <w:szCs w:val="20"/>
                <w:highlight w:val="none"/>
              </w:rPr>
              <w:t xml:space="preserve">предусмотреть: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1. Нанесение </w:t>
            </w:r>
            <w:r>
              <w:rPr>
                <w:sz w:val="20"/>
                <w:szCs w:val="20"/>
                <w:highlight w:val="none"/>
              </w:rPr>
              <w:t xml:space="preserve">существующих </w:t>
            </w:r>
            <w:r>
              <w:rPr>
                <w:sz w:val="20"/>
                <w:szCs w:val="20"/>
                <w:highlight w:val="none"/>
              </w:rPr>
              <w:t xml:space="preserve">деревьев </w:t>
            </w:r>
            <w:r>
              <w:rPr>
                <w:sz w:val="20"/>
                <w:szCs w:val="20"/>
                <w:highlight w:val="none"/>
              </w:rPr>
              <w:t xml:space="preserve">на стройгенплане;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2. Снос деревьев, попадающих в пятно застройки, </w:t>
            </w:r>
            <w:r>
              <w:rPr>
                <w:sz w:val="20"/>
                <w:szCs w:val="20"/>
                <w:highlight w:val="none"/>
              </w:rPr>
              <w:t xml:space="preserve">вести </w:t>
            </w:r>
            <w:r>
              <w:rPr>
                <w:sz w:val="20"/>
                <w:szCs w:val="20"/>
                <w:highlight w:val="none"/>
              </w:rPr>
              <w:t xml:space="preserve">на </w:t>
            </w:r>
            <w:r>
              <w:rPr>
                <w:sz w:val="20"/>
                <w:szCs w:val="20"/>
                <w:highlight w:val="none"/>
              </w:rPr>
              <w:t xml:space="preserve">основании </w:t>
            </w:r>
            <w:r>
              <w:rPr>
                <w:sz w:val="20"/>
                <w:szCs w:val="20"/>
                <w:highlight w:val="none"/>
              </w:rPr>
              <w:t xml:space="preserve">акта </w:t>
            </w:r>
            <w:r>
              <w:rPr>
                <w:sz w:val="20"/>
                <w:szCs w:val="20"/>
                <w:highlight w:val="none"/>
              </w:rPr>
              <w:t xml:space="preserve">комиссионного </w:t>
            </w:r>
            <w:r>
              <w:rPr>
                <w:sz w:val="20"/>
                <w:szCs w:val="20"/>
                <w:highlight w:val="none"/>
              </w:rPr>
              <w:t xml:space="preserve">обследования </w:t>
            </w:r>
            <w:r>
              <w:rPr>
                <w:sz w:val="20"/>
                <w:szCs w:val="20"/>
                <w:highlight w:val="none"/>
              </w:rPr>
              <w:t xml:space="preserve">земельных </w:t>
            </w:r>
            <w:r>
              <w:rPr>
                <w:sz w:val="20"/>
                <w:szCs w:val="20"/>
                <w:highlight w:val="none"/>
              </w:rPr>
              <w:t xml:space="preserve">насаждений </w:t>
            </w:r>
            <w:r>
              <w:rPr>
                <w:sz w:val="20"/>
                <w:szCs w:val="20"/>
                <w:highlight w:val="none"/>
              </w:rPr>
              <w:t xml:space="preserve">в соответствии решением Пермской городской </w:t>
            </w:r>
            <w:r>
              <w:rPr>
                <w:sz w:val="20"/>
                <w:szCs w:val="20"/>
                <w:highlight w:val="none"/>
              </w:rPr>
              <w:t xml:space="preserve">Думы от 15.12.2020 № 277. Указанный акт должен </w:t>
            </w:r>
            <w:r>
              <w:rPr>
                <w:sz w:val="20"/>
                <w:szCs w:val="20"/>
                <w:highlight w:val="none"/>
              </w:rPr>
              <w:t xml:space="preserve">быть </w:t>
            </w:r>
            <w:r>
              <w:rPr>
                <w:sz w:val="20"/>
                <w:szCs w:val="20"/>
                <w:highlight w:val="none"/>
              </w:rPr>
              <w:t xml:space="preserve">составлен </w:t>
            </w:r>
            <w:r>
              <w:rPr>
                <w:sz w:val="20"/>
                <w:szCs w:val="20"/>
                <w:highlight w:val="none"/>
              </w:rPr>
              <w:t xml:space="preserve">на </w:t>
            </w:r>
            <w:r>
              <w:rPr>
                <w:sz w:val="20"/>
                <w:szCs w:val="20"/>
                <w:highlight w:val="none"/>
              </w:rPr>
              <w:t xml:space="preserve">основании </w:t>
            </w:r>
            <w:r>
              <w:rPr>
                <w:sz w:val="20"/>
                <w:szCs w:val="20"/>
                <w:highlight w:val="none"/>
              </w:rPr>
              <w:t xml:space="preserve">проектной </w:t>
            </w:r>
            <w:r>
              <w:rPr>
                <w:sz w:val="20"/>
                <w:szCs w:val="20"/>
                <w:highlight w:val="none"/>
              </w:rPr>
              <w:t xml:space="preserve">документации. Остальные деревья сохранить;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3. Восстановление </w:t>
            </w:r>
            <w:r>
              <w:rPr>
                <w:sz w:val="20"/>
                <w:szCs w:val="20"/>
                <w:highlight w:val="none"/>
              </w:rPr>
              <w:t xml:space="preserve">зеленых </w:t>
            </w:r>
            <w:r>
              <w:rPr>
                <w:sz w:val="20"/>
                <w:szCs w:val="20"/>
                <w:highlight w:val="none"/>
              </w:rPr>
              <w:t xml:space="preserve">насаждений </w:t>
            </w:r>
            <w:r>
              <w:rPr>
                <w:sz w:val="20"/>
                <w:szCs w:val="20"/>
                <w:highlight w:val="none"/>
              </w:rPr>
              <w:t xml:space="preserve">вести </w:t>
            </w:r>
            <w:r>
              <w:rPr>
                <w:sz w:val="20"/>
                <w:szCs w:val="20"/>
                <w:highlight w:val="none"/>
              </w:rPr>
              <w:t xml:space="preserve">в соответствии с решением Пермской городской </w:t>
            </w:r>
            <w:r>
              <w:rPr>
                <w:sz w:val="20"/>
                <w:szCs w:val="20"/>
                <w:highlight w:val="none"/>
              </w:rPr>
              <w:t xml:space="preserve">Думы от 15.12.2020 № 277;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4. Сбор и отвод ливневых вод с использованием </w:t>
            </w:r>
            <w:r>
              <w:rPr>
                <w:sz w:val="20"/>
                <w:szCs w:val="20"/>
                <w:highlight w:val="none"/>
              </w:rPr>
              <w:t xml:space="preserve">вариантов решений в зависимости от: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наличия централизованной системы ливневой </w:t>
            </w:r>
            <w:r>
              <w:rPr>
                <w:sz w:val="20"/>
                <w:szCs w:val="20"/>
                <w:highlight w:val="none"/>
              </w:rPr>
              <w:t xml:space="preserve">канализации;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площади водосбора с учетом транзитных вод </w:t>
            </w:r>
            <w:r>
              <w:rPr>
                <w:sz w:val="20"/>
                <w:szCs w:val="20"/>
                <w:highlight w:val="none"/>
              </w:rPr>
              <w:t xml:space="preserve">с прилегающей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угла наклона рельефа, включающий прилегающие </w:t>
            </w:r>
            <w:r>
              <w:rPr>
                <w:sz w:val="20"/>
                <w:szCs w:val="20"/>
                <w:highlight w:val="none"/>
              </w:rPr>
              <w:t xml:space="preserve">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применения иных решений равномерного отвода </w:t>
            </w:r>
            <w:r>
              <w:rPr>
                <w:sz w:val="20"/>
                <w:szCs w:val="20"/>
                <w:highlight w:val="none"/>
              </w:rPr>
              <w:t xml:space="preserve">поверхностного стока с запрашиваемой территории </w:t>
            </w:r>
            <w:r>
              <w:rPr>
                <w:sz w:val="20"/>
                <w:szCs w:val="20"/>
                <w:highlight w:val="none"/>
              </w:rPr>
              <w:t xml:space="preserve">на прилегающей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5. Определение видов образующих отходов и мест </w:t>
            </w:r>
            <w:r>
              <w:rPr>
                <w:sz w:val="20"/>
                <w:szCs w:val="20"/>
                <w:highlight w:val="none"/>
              </w:rPr>
              <w:t xml:space="preserve">их размещения на период эксплуатации;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6. Конкретные мероприятия по охране окружающей </w:t>
            </w:r>
            <w:r>
              <w:rPr>
                <w:sz w:val="20"/>
                <w:szCs w:val="20"/>
                <w:highlight w:val="none"/>
              </w:rPr>
              <w:t xml:space="preserve">среды на период строительства, включая: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установку временного защитного ограждения </w:t>
            </w:r>
            <w:r>
              <w:rPr>
                <w:sz w:val="20"/>
                <w:szCs w:val="20"/>
                <w:highlight w:val="none"/>
              </w:rPr>
              <w:t xml:space="preserve">строительной площадки;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ограждение существующих зеленых насаждений, </w:t>
            </w:r>
            <w:r>
              <w:rPr>
                <w:sz w:val="20"/>
                <w:szCs w:val="20"/>
                <w:highlight w:val="none"/>
              </w:rPr>
              <w:t xml:space="preserve">не попадающих под пятно застройки;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прокладку </w:t>
            </w:r>
            <w:r>
              <w:rPr>
                <w:sz w:val="20"/>
                <w:szCs w:val="20"/>
                <w:highlight w:val="none"/>
              </w:rPr>
              <w:t xml:space="preserve">коммуникаций </w:t>
            </w:r>
            <w:r>
              <w:rPr>
                <w:sz w:val="20"/>
                <w:szCs w:val="20"/>
                <w:highlight w:val="none"/>
              </w:rPr>
              <w:t xml:space="preserve">осуществлять </w:t>
            </w:r>
            <w:r>
              <w:rPr>
                <w:sz w:val="20"/>
                <w:szCs w:val="20"/>
                <w:highlight w:val="none"/>
              </w:rPr>
              <w:t xml:space="preserve">на расстоянии не менее 2 м. от ствола дерева, чтобы </w:t>
            </w:r>
            <w:r>
              <w:rPr>
                <w:sz w:val="20"/>
                <w:szCs w:val="20"/>
                <w:highlight w:val="none"/>
              </w:rPr>
              <w:t xml:space="preserve">не повредить корневую систему;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не </w:t>
            </w:r>
            <w:r>
              <w:rPr>
                <w:sz w:val="20"/>
                <w:szCs w:val="20"/>
                <w:highlight w:val="none"/>
              </w:rPr>
              <w:t xml:space="preserve">использовать </w:t>
            </w:r>
            <w:r>
              <w:rPr>
                <w:sz w:val="20"/>
                <w:szCs w:val="20"/>
                <w:highlight w:val="none"/>
              </w:rPr>
              <w:t xml:space="preserve">приствольные </w:t>
            </w:r>
            <w:r>
              <w:rPr>
                <w:sz w:val="20"/>
                <w:szCs w:val="20"/>
                <w:highlight w:val="none"/>
              </w:rPr>
              <w:t xml:space="preserve">круги </w:t>
            </w:r>
            <w:r>
              <w:rPr>
                <w:sz w:val="20"/>
                <w:szCs w:val="20"/>
                <w:highlight w:val="none"/>
              </w:rPr>
              <w:t xml:space="preserve">существующих </w:t>
            </w:r>
            <w:r>
              <w:rPr>
                <w:sz w:val="20"/>
                <w:szCs w:val="20"/>
                <w:highlight w:val="none"/>
              </w:rPr>
              <w:t xml:space="preserve">деревьев </w:t>
            </w:r>
            <w:r>
              <w:rPr>
                <w:sz w:val="20"/>
                <w:szCs w:val="20"/>
                <w:highlight w:val="none"/>
              </w:rPr>
              <w:t xml:space="preserve">(диаметром </w:t>
            </w:r>
            <w:r>
              <w:rPr>
                <w:sz w:val="20"/>
                <w:szCs w:val="20"/>
                <w:highlight w:val="none"/>
              </w:rPr>
              <w:t xml:space="preserve">1м) </w:t>
            </w:r>
            <w:r>
              <w:rPr>
                <w:sz w:val="20"/>
                <w:szCs w:val="20"/>
                <w:highlight w:val="none"/>
              </w:rPr>
              <w:t xml:space="preserve">под складирование материалов и установки временных </w:t>
            </w:r>
            <w:r>
              <w:rPr>
                <w:sz w:val="20"/>
                <w:szCs w:val="20"/>
                <w:highlight w:val="none"/>
              </w:rPr>
              <w:t xml:space="preserve">сооружений;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определение видов и объемов образующихся </w:t>
            </w:r>
            <w:r>
              <w:rPr>
                <w:sz w:val="20"/>
                <w:szCs w:val="20"/>
                <w:highlight w:val="none"/>
              </w:rPr>
              <w:t xml:space="preserve">отходов и мест их размещения;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систематический вывоз отходов;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недопущение загрязнения атмосферы, почвы </w:t>
            </w:r>
            <w:r>
              <w:rPr>
                <w:sz w:val="20"/>
                <w:szCs w:val="20"/>
                <w:highlight w:val="none"/>
              </w:rPr>
              <w:t xml:space="preserve">и подземных вод;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предотвращение выноса грязи автотранспортом, </w:t>
            </w:r>
            <w:r>
              <w:rPr>
                <w:sz w:val="20"/>
                <w:szCs w:val="20"/>
                <w:highlight w:val="none"/>
              </w:rPr>
              <w:t xml:space="preserve">выезжающим со строительной площадки.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Департамент </w:t>
            </w:r>
            <w:r>
              <w:rPr>
                <w:sz w:val="20"/>
                <w:szCs w:val="20"/>
                <w:highlight w:val="none"/>
              </w:rPr>
              <w:t xml:space="preserve">дорог </w:t>
            </w:r>
            <w:r>
              <w:rPr>
                <w:sz w:val="20"/>
                <w:szCs w:val="20"/>
                <w:highlight w:val="none"/>
              </w:rPr>
              <w:t xml:space="preserve">и </w:t>
            </w:r>
            <w:r>
              <w:rPr>
                <w:sz w:val="20"/>
                <w:szCs w:val="20"/>
                <w:highlight w:val="none"/>
              </w:rPr>
              <w:t xml:space="preserve">благоустройства </w:t>
            </w:r>
            <w:r>
              <w:rPr>
                <w:sz w:val="20"/>
                <w:szCs w:val="20"/>
                <w:highlight w:val="none"/>
              </w:rPr>
              <w:t xml:space="preserve">администрации города Перми письмом от 16.01.2024 </w:t>
            </w:r>
            <w:r>
              <w:rPr>
                <w:sz w:val="20"/>
                <w:szCs w:val="20"/>
                <w:highlight w:val="none"/>
              </w:rPr>
              <w:t xml:space="preserve">№ </w:t>
            </w:r>
            <w:r>
              <w:rPr>
                <w:sz w:val="20"/>
                <w:szCs w:val="20"/>
                <w:highlight w:val="none"/>
              </w:rPr>
              <w:t xml:space="preserve">059-24-01-36/3-82 </w:t>
            </w:r>
            <w:r>
              <w:rPr>
                <w:sz w:val="20"/>
                <w:szCs w:val="20"/>
                <w:highlight w:val="none"/>
              </w:rPr>
              <w:t xml:space="preserve">сообщает </w:t>
            </w:r>
            <w:r>
              <w:rPr>
                <w:sz w:val="20"/>
                <w:szCs w:val="20"/>
                <w:highlight w:val="none"/>
              </w:rPr>
              <w:t xml:space="preserve">о </w:t>
            </w:r>
            <w:r>
              <w:rPr>
                <w:sz w:val="20"/>
                <w:szCs w:val="20"/>
                <w:highlight w:val="none"/>
              </w:rPr>
              <w:t xml:space="preserve">возможности </w:t>
            </w:r>
            <w:r>
              <w:rPr>
                <w:sz w:val="20"/>
                <w:szCs w:val="20"/>
                <w:highlight w:val="none"/>
              </w:rPr>
              <w:t xml:space="preserve">присоединения Участка к автомобильной дороге </w:t>
            </w:r>
            <w:r>
              <w:rPr>
                <w:sz w:val="20"/>
                <w:szCs w:val="20"/>
                <w:highlight w:val="none"/>
              </w:rPr>
              <w:t xml:space="preserve">по ул. Кизеловской. Данная дорога входит в Перечень </w:t>
            </w:r>
            <w:r>
              <w:rPr>
                <w:sz w:val="20"/>
                <w:szCs w:val="20"/>
                <w:highlight w:val="none"/>
              </w:rPr>
              <w:t xml:space="preserve">дорог </w:t>
            </w:r>
            <w:r>
              <w:rPr>
                <w:sz w:val="20"/>
                <w:szCs w:val="20"/>
                <w:highlight w:val="none"/>
              </w:rPr>
              <w:t xml:space="preserve">общего </w:t>
            </w:r>
            <w:r>
              <w:rPr>
                <w:sz w:val="20"/>
                <w:szCs w:val="20"/>
                <w:highlight w:val="none"/>
              </w:rPr>
              <w:t xml:space="preserve">пользования </w:t>
            </w:r>
            <w:r>
              <w:rPr>
                <w:sz w:val="20"/>
                <w:szCs w:val="20"/>
                <w:highlight w:val="none"/>
              </w:rPr>
              <w:t xml:space="preserve">местного </w:t>
            </w:r>
            <w:r>
              <w:rPr>
                <w:sz w:val="20"/>
                <w:szCs w:val="20"/>
                <w:highlight w:val="none"/>
              </w:rPr>
              <w:t xml:space="preserve">значения, </w:t>
            </w:r>
            <w:r>
              <w:rPr>
                <w:sz w:val="20"/>
                <w:szCs w:val="20"/>
                <w:highlight w:val="none"/>
              </w:rPr>
              <w:t xml:space="preserve">утвержденного постановлением администрации города </w:t>
            </w:r>
            <w:r>
              <w:rPr>
                <w:sz w:val="20"/>
                <w:szCs w:val="20"/>
                <w:highlight w:val="none"/>
              </w:rPr>
              <w:t xml:space="preserve">Перми от 02.06.2009 № 298.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В соответствии с бюджетом города Перми на 2024 год </w:t>
            </w:r>
            <w:r>
              <w:rPr>
                <w:sz w:val="20"/>
                <w:szCs w:val="20"/>
                <w:highlight w:val="none"/>
              </w:rPr>
              <w:t xml:space="preserve">и плановый период 2025-2026 годов мероприятий </w:t>
            </w:r>
            <w:r>
              <w:rPr>
                <w:sz w:val="20"/>
                <w:szCs w:val="20"/>
                <w:highlight w:val="none"/>
              </w:rPr>
              <w:t xml:space="preserve">по строительству, реконструкции, капитальному ремонту </w:t>
            </w:r>
            <w:r>
              <w:rPr>
                <w:sz w:val="20"/>
                <w:szCs w:val="20"/>
                <w:highlight w:val="none"/>
              </w:rPr>
              <w:t xml:space="preserve">улично-дорожной </w:t>
            </w:r>
            <w:r>
              <w:rPr>
                <w:sz w:val="20"/>
                <w:szCs w:val="20"/>
                <w:highlight w:val="none"/>
              </w:rPr>
              <w:t xml:space="preserve">сети </w:t>
            </w:r>
            <w:r>
              <w:rPr>
                <w:sz w:val="20"/>
                <w:szCs w:val="20"/>
                <w:highlight w:val="none"/>
              </w:rPr>
              <w:t xml:space="preserve">на </w:t>
            </w:r>
            <w:r>
              <w:rPr>
                <w:sz w:val="20"/>
                <w:szCs w:val="20"/>
                <w:highlight w:val="none"/>
              </w:rPr>
              <w:t xml:space="preserve">данной </w:t>
            </w:r>
            <w:r>
              <w:rPr>
                <w:sz w:val="20"/>
                <w:szCs w:val="20"/>
                <w:highlight w:val="none"/>
              </w:rPr>
              <w:t xml:space="preserve">территории </w:t>
            </w:r>
            <w:r>
              <w:rPr>
                <w:sz w:val="20"/>
                <w:szCs w:val="20"/>
                <w:highlight w:val="none"/>
              </w:rPr>
              <w:t xml:space="preserve"> не запланировано.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Кроме того в целях присоединения Участка к улично-</w:t>
            </w:r>
            <w:r>
              <w:rPr>
                <w:sz w:val="20"/>
                <w:szCs w:val="20"/>
                <w:highlight w:val="none"/>
              </w:rPr>
              <w:t xml:space="preserve">дорожной сети города Перми необходимо: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разработать и согласовать на рабочей группе </w:t>
            </w:r>
            <w:r>
              <w:rPr>
                <w:sz w:val="20"/>
                <w:szCs w:val="20"/>
                <w:highlight w:val="none"/>
              </w:rPr>
              <w:t xml:space="preserve">по организации и безопасности дорожного движения </w:t>
            </w:r>
            <w:r>
              <w:rPr>
                <w:sz w:val="20"/>
                <w:szCs w:val="20"/>
                <w:highlight w:val="none"/>
              </w:rPr>
              <w:t xml:space="preserve">(ул. Пермская, 2а, 212-47-51) проект организации </w:t>
            </w:r>
            <w:r>
              <w:rPr>
                <w:sz w:val="20"/>
                <w:szCs w:val="20"/>
                <w:highlight w:val="none"/>
              </w:rPr>
              <w:t xml:space="preserve">дорожного движения;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получить согласие владельца автомобильной дороги </w:t>
            </w:r>
            <w:r>
              <w:rPr>
                <w:sz w:val="20"/>
                <w:szCs w:val="20"/>
                <w:highlight w:val="none"/>
              </w:rPr>
              <w:t xml:space="preserve">порядок выдачи согласия владельца автомобильной </w:t>
            </w:r>
            <w:r>
              <w:rPr>
                <w:sz w:val="20"/>
                <w:szCs w:val="20"/>
                <w:highlight w:val="none"/>
              </w:rPr>
              <w:t xml:space="preserve">дороги общего пользования местного значения в целях </w:t>
            </w:r>
            <w:r>
              <w:rPr>
                <w:sz w:val="20"/>
                <w:szCs w:val="20"/>
                <w:highlight w:val="none"/>
              </w:rPr>
              <w:t xml:space="preserve">строительства, реконструкции, капитального ремонта, </w:t>
            </w:r>
            <w:r>
              <w:rPr>
                <w:sz w:val="20"/>
                <w:szCs w:val="20"/>
                <w:highlight w:val="none"/>
              </w:rPr>
              <w:t xml:space="preserve">ремонта </w:t>
            </w:r>
            <w:r>
              <w:rPr>
                <w:sz w:val="20"/>
                <w:szCs w:val="20"/>
                <w:highlight w:val="none"/>
              </w:rPr>
              <w:t xml:space="preserve">являющихся </w:t>
            </w:r>
            <w:r>
              <w:rPr>
                <w:sz w:val="20"/>
                <w:szCs w:val="20"/>
                <w:highlight w:val="none"/>
              </w:rPr>
              <w:t xml:space="preserve">сооружениями </w:t>
            </w:r>
            <w:r>
              <w:rPr>
                <w:sz w:val="20"/>
                <w:szCs w:val="20"/>
                <w:highlight w:val="none"/>
              </w:rPr>
              <w:t xml:space="preserve">пересечения </w:t>
            </w:r>
            <w:r>
              <w:rPr>
                <w:sz w:val="20"/>
                <w:szCs w:val="20"/>
                <w:highlight w:val="none"/>
              </w:rPr>
              <w:t xml:space="preserve">автомобильной дороги общего пользования местного </w:t>
            </w:r>
            <w:r>
              <w:rPr>
                <w:sz w:val="20"/>
                <w:szCs w:val="20"/>
                <w:highlight w:val="none"/>
              </w:rPr>
              <w:t xml:space="preserve">значения с другими автомобильными дорогами, </w:t>
            </w:r>
            <w:r>
              <w:rPr>
                <w:sz w:val="20"/>
                <w:szCs w:val="20"/>
                <w:highlight w:val="none"/>
              </w:rPr>
              <w:t xml:space="preserve">примыкания автомобильной дороги общего пользования </w:t>
            </w:r>
            <w:r>
              <w:rPr>
                <w:sz w:val="20"/>
                <w:szCs w:val="20"/>
                <w:highlight w:val="none"/>
              </w:rPr>
              <w:t xml:space="preserve">местного значения к другой автомобильной дороге, </w:t>
            </w:r>
            <w:r>
              <w:rPr>
                <w:sz w:val="20"/>
                <w:szCs w:val="20"/>
                <w:highlight w:val="none"/>
              </w:rPr>
              <w:t xml:space="preserve">а также перечень документов, необходимых для выдачи </w:t>
            </w:r>
            <w:r>
              <w:rPr>
                <w:sz w:val="20"/>
                <w:szCs w:val="20"/>
                <w:highlight w:val="none"/>
              </w:rPr>
              <w:t xml:space="preserve">Согласия, утверждены Постановлением администрации </w:t>
            </w:r>
            <w:r>
              <w:rPr>
                <w:sz w:val="20"/>
                <w:szCs w:val="20"/>
                <w:highlight w:val="none"/>
              </w:rPr>
              <w:t xml:space="preserve">города Перми от 31.01.2022 No 45).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Дополнительно направлена информация о соблюдении </w:t>
            </w:r>
            <w:r>
              <w:rPr>
                <w:sz w:val="20"/>
                <w:szCs w:val="20"/>
                <w:highlight w:val="none"/>
              </w:rPr>
              <w:t xml:space="preserve">при строительстве объекта недвижимости на Участке, </w:t>
            </w:r>
            <w:r>
              <w:rPr>
                <w:sz w:val="20"/>
                <w:szCs w:val="20"/>
                <w:highlight w:val="none"/>
              </w:rPr>
              <w:t xml:space="preserve">предоставленном на аукционе, Правил благоустройства </w:t>
            </w:r>
            <w:r>
              <w:rPr>
                <w:sz w:val="20"/>
                <w:szCs w:val="20"/>
                <w:highlight w:val="none"/>
              </w:rPr>
              <w:t xml:space="preserve">территории города Перми, утвержденных решением </w:t>
            </w:r>
            <w:r>
              <w:rPr>
                <w:sz w:val="20"/>
                <w:szCs w:val="20"/>
                <w:highlight w:val="none"/>
              </w:rPr>
              <w:t xml:space="preserve">Пермской городской Думы от 15.12.2020 No 277: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поверхностный </w:t>
            </w:r>
            <w:r>
              <w:rPr>
                <w:sz w:val="20"/>
                <w:szCs w:val="20"/>
                <w:highlight w:val="none"/>
              </w:rPr>
              <w:t xml:space="preserve">водоотвод </w:t>
            </w:r>
            <w:r>
              <w:rPr>
                <w:sz w:val="20"/>
                <w:szCs w:val="20"/>
                <w:highlight w:val="none"/>
              </w:rPr>
              <w:t xml:space="preserve">решить </w:t>
            </w:r>
            <w:r>
              <w:rPr>
                <w:sz w:val="20"/>
                <w:szCs w:val="20"/>
                <w:highlight w:val="none"/>
              </w:rPr>
              <w:t xml:space="preserve">проектом </w:t>
            </w:r>
            <w:r>
              <w:rPr>
                <w:sz w:val="20"/>
                <w:szCs w:val="20"/>
                <w:highlight w:val="none"/>
              </w:rPr>
              <w:t xml:space="preserve">без подтопления смежных территорий, в соответствии </w:t>
            </w:r>
            <w:r>
              <w:rPr>
                <w:sz w:val="20"/>
                <w:szCs w:val="20"/>
                <w:highlight w:val="none"/>
              </w:rPr>
              <w:t xml:space="preserve">с </w:t>
            </w:r>
            <w:r>
              <w:rPr>
                <w:sz w:val="20"/>
                <w:szCs w:val="20"/>
                <w:highlight w:val="none"/>
              </w:rPr>
              <w:t xml:space="preserve">действующими </w:t>
            </w:r>
            <w:r>
              <w:rPr>
                <w:sz w:val="20"/>
                <w:szCs w:val="20"/>
                <w:highlight w:val="none"/>
              </w:rPr>
              <w:t xml:space="preserve">нормативно-правовыми </w:t>
            </w:r>
            <w:r>
              <w:rPr>
                <w:sz w:val="20"/>
                <w:szCs w:val="20"/>
                <w:highlight w:val="none"/>
              </w:rPr>
              <w:t xml:space="preserve">актами </w:t>
            </w:r>
            <w:r>
              <w:rPr>
                <w:sz w:val="20"/>
                <w:szCs w:val="20"/>
                <w:highlight w:val="none"/>
              </w:rPr>
              <w:t xml:space="preserve">и природоохранным законодательством;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предусмотреть электроосвещение территории объекта;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стоянку временного транспорта разместить в границах </w:t>
            </w:r>
            <w:r>
              <w:rPr>
                <w:sz w:val="20"/>
                <w:szCs w:val="20"/>
                <w:highlight w:val="none"/>
              </w:rPr>
              <w:t xml:space="preserve">отведенного под строительство земельного участка вне </w:t>
            </w:r>
            <w:r>
              <w:rPr>
                <w:sz w:val="20"/>
                <w:szCs w:val="20"/>
                <w:highlight w:val="none"/>
              </w:rPr>
              <w:t xml:space="preserve">территории общего пользования;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предусмотреть устройство подъезда к Участку </w:t>
            </w:r>
            <w:r>
              <w:rPr>
                <w:sz w:val="20"/>
                <w:szCs w:val="20"/>
                <w:highlight w:val="none"/>
              </w:rPr>
              <w:t xml:space="preserve">или ликвидацию разрушений, повреждений дорожного </w:t>
            </w:r>
            <w:r>
              <w:rPr>
                <w:sz w:val="20"/>
                <w:szCs w:val="20"/>
                <w:highlight w:val="none"/>
              </w:rPr>
              <w:t xml:space="preserve">покрытия существующих проездов от границ Участка </w:t>
            </w:r>
            <w:r>
              <w:rPr>
                <w:sz w:val="20"/>
                <w:szCs w:val="20"/>
                <w:highlight w:val="none"/>
              </w:rPr>
              <w:t xml:space="preserve">до существующей улично-дорожной сети, а также </w:t>
            </w:r>
            <w:r>
              <w:rPr>
                <w:sz w:val="20"/>
                <w:szCs w:val="20"/>
                <w:highlight w:val="none"/>
              </w:rPr>
              <w:t xml:space="preserve">наружное освещение подъездов.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В </w:t>
            </w:r>
            <w:r>
              <w:rPr>
                <w:sz w:val="20"/>
                <w:szCs w:val="20"/>
                <w:highlight w:val="none"/>
              </w:rPr>
              <w:t xml:space="preserve">соответствии </w:t>
            </w:r>
            <w:r>
              <w:rPr>
                <w:sz w:val="20"/>
                <w:szCs w:val="20"/>
                <w:highlight w:val="none"/>
              </w:rPr>
              <w:t xml:space="preserve">с </w:t>
            </w:r>
            <w:r>
              <w:rPr>
                <w:sz w:val="20"/>
                <w:szCs w:val="20"/>
                <w:highlight w:val="none"/>
              </w:rPr>
              <w:t xml:space="preserve">письмом </w:t>
            </w:r>
            <w:r>
              <w:rPr>
                <w:sz w:val="20"/>
                <w:szCs w:val="20"/>
                <w:highlight w:val="none"/>
              </w:rPr>
              <w:t xml:space="preserve">департамента </w:t>
            </w:r>
            <w:r>
              <w:rPr>
                <w:sz w:val="20"/>
                <w:szCs w:val="20"/>
                <w:highlight w:val="none"/>
              </w:rPr>
              <w:t xml:space="preserve">общественной безопасности администрации города </w:t>
            </w:r>
            <w:r>
              <w:rPr>
                <w:sz w:val="20"/>
                <w:szCs w:val="20"/>
                <w:highlight w:val="none"/>
              </w:rPr>
              <w:t xml:space="preserve">Перми от 22.12.2023 № 059-10-01-27/3-2090: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строительство пожарного водоема на указанной </w:t>
            </w:r>
            <w:r>
              <w:rPr>
                <w:sz w:val="20"/>
                <w:szCs w:val="20"/>
                <w:highlight w:val="none"/>
              </w:rPr>
              <w:t xml:space="preserve">территории не запланировано; </w:t>
            </w:r>
            <w:r>
              <w:rPr>
                <w:sz w:val="20"/>
                <w:szCs w:val="20"/>
                <w:highlight w:val="none"/>
              </w:rPr>
              <w:t xml:space="preserve">ближайшее </w:t>
            </w:r>
            <w:r>
              <w:rPr>
                <w:sz w:val="20"/>
                <w:szCs w:val="20"/>
                <w:highlight w:val="none"/>
              </w:rPr>
              <w:t xml:space="preserve">подразделение </w:t>
            </w:r>
            <w:r>
              <w:rPr>
                <w:sz w:val="20"/>
                <w:szCs w:val="20"/>
                <w:highlight w:val="none"/>
              </w:rPr>
              <w:t xml:space="preserve">пожарной </w:t>
            </w:r>
            <w:r>
              <w:rPr>
                <w:sz w:val="20"/>
                <w:szCs w:val="20"/>
                <w:highlight w:val="none"/>
              </w:rPr>
              <w:t xml:space="preserve">охраны </w:t>
            </w:r>
            <w:r>
              <w:rPr>
                <w:sz w:val="20"/>
                <w:szCs w:val="20"/>
                <w:highlight w:val="none"/>
              </w:rPr>
              <w:t xml:space="preserve">расположено по адресу: ул. Волховская, 37 (ПСЧ-7 </w:t>
            </w:r>
            <w:r>
              <w:rPr>
                <w:sz w:val="20"/>
                <w:szCs w:val="20"/>
                <w:highlight w:val="none"/>
              </w:rPr>
              <w:t xml:space="preserve">10-ПСО);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объект общественной безопасности, отнесенный </w:t>
            </w:r>
            <w:r>
              <w:rPr>
                <w:sz w:val="20"/>
                <w:szCs w:val="20"/>
                <w:highlight w:val="none"/>
              </w:rPr>
              <w:t xml:space="preserve">к объектам полиции (участковые пункты полиции), </w:t>
            </w:r>
            <w:r>
              <w:rPr>
                <w:sz w:val="20"/>
                <w:szCs w:val="20"/>
                <w:highlight w:val="none"/>
              </w:rPr>
              <w:t xml:space="preserve">отсутствуют.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Ближайший участковый пункт расположен </w:t>
            </w:r>
            <w:r>
              <w:rPr>
                <w:sz w:val="20"/>
                <w:szCs w:val="20"/>
                <w:highlight w:val="none"/>
              </w:rPr>
              <w:t xml:space="preserve">по адресу: город Пермь, переулок Талицкий, д. 8 </w:t>
            </w:r>
            <w:r>
              <w:rPr>
                <w:sz w:val="20"/>
                <w:szCs w:val="20"/>
                <w:highlight w:val="none"/>
              </w:rPr>
              <w:t xml:space="preserve">(микрорайон Кислотные Дачи, Орджоникидзевский </w:t>
            </w:r>
            <w:r>
              <w:rPr>
                <w:sz w:val="20"/>
                <w:szCs w:val="20"/>
                <w:highlight w:val="none"/>
              </w:rPr>
              <w:t xml:space="preserve">район). В настоящее время в указанном микрорайоне </w:t>
            </w:r>
            <w:r>
              <w:rPr>
                <w:sz w:val="20"/>
                <w:szCs w:val="20"/>
                <w:highlight w:val="none"/>
              </w:rPr>
              <w:t xml:space="preserve">строительство (приобретение) участковых пунктов </w:t>
            </w:r>
            <w:r>
              <w:rPr>
                <w:sz w:val="20"/>
                <w:szCs w:val="20"/>
                <w:highlight w:val="none"/>
              </w:rPr>
              <w:t xml:space="preserve">полиции не планируется;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помещения для аварийно-спасательных формирований </w:t>
            </w:r>
            <w:r>
              <w:rPr>
                <w:sz w:val="20"/>
                <w:szCs w:val="20"/>
                <w:highlight w:val="none"/>
              </w:rPr>
              <w:t xml:space="preserve">на указанной территории отсутствуют. В настоящее время </w:t>
            </w:r>
            <w:r>
              <w:rPr>
                <w:sz w:val="20"/>
                <w:szCs w:val="20"/>
                <w:highlight w:val="none"/>
              </w:rPr>
              <w:t xml:space="preserve">потребность в обеспечении служебными помещениями для </w:t>
            </w:r>
            <w:r>
              <w:rPr>
                <w:sz w:val="20"/>
                <w:szCs w:val="20"/>
                <w:highlight w:val="none"/>
              </w:rPr>
              <w:t xml:space="preserve">аварийно-спасательных формирований в указанном </w:t>
            </w:r>
            <w:r>
              <w:rPr>
                <w:sz w:val="20"/>
                <w:szCs w:val="20"/>
                <w:highlight w:val="none"/>
              </w:rPr>
              <w:t xml:space="preserve">микрорайоне отсутствует;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на указанной территории имеется следующий </w:t>
            </w:r>
            <w:r>
              <w:rPr>
                <w:sz w:val="20"/>
                <w:szCs w:val="20"/>
                <w:highlight w:val="none"/>
              </w:rPr>
              <w:t xml:space="preserve">источник противопожарного водоснабжения: (пожарный </w:t>
            </w:r>
            <w:r>
              <w:rPr>
                <w:sz w:val="20"/>
                <w:szCs w:val="20"/>
                <w:highlight w:val="none"/>
              </w:rPr>
              <w:t xml:space="preserve">водоем), расположенный по улице Новогодняя, 11 – </w:t>
            </w:r>
            <w:r>
              <w:rPr>
                <w:sz w:val="20"/>
                <w:szCs w:val="20"/>
                <w:highlight w:val="none"/>
              </w:rPr>
              <w:t xml:space="preserve">в радиусе 200 метров;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в соответствии с информацией, предоставленной </w:t>
            </w:r>
            <w:r>
              <w:rPr>
                <w:sz w:val="20"/>
                <w:szCs w:val="20"/>
                <w:highlight w:val="none"/>
              </w:rPr>
              <w:t xml:space="preserve">Министерством территориальной безопасности Пермского </w:t>
            </w:r>
            <w:r>
              <w:rPr>
                <w:sz w:val="20"/>
                <w:szCs w:val="20"/>
                <w:highlight w:val="none"/>
              </w:rPr>
              <w:t xml:space="preserve">края, Участок попадает в зону возможного химического </w:t>
            </w:r>
            <w:r>
              <w:rPr>
                <w:sz w:val="20"/>
                <w:szCs w:val="20"/>
                <w:highlight w:val="none"/>
              </w:rPr>
              <w:t xml:space="preserve">заражения в особый период;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территория находится в зоне действия региональной </w:t>
            </w:r>
            <w:r>
              <w:rPr>
                <w:sz w:val="20"/>
                <w:szCs w:val="20"/>
                <w:highlight w:val="none"/>
              </w:rPr>
              <w:t xml:space="preserve">автоматизированной </w:t>
            </w:r>
            <w:r>
              <w:rPr>
                <w:sz w:val="20"/>
                <w:szCs w:val="20"/>
                <w:highlight w:val="none"/>
              </w:rPr>
              <w:t xml:space="preserve">системы </w:t>
            </w:r>
            <w:r>
              <w:rPr>
                <w:sz w:val="20"/>
                <w:szCs w:val="20"/>
                <w:highlight w:val="none"/>
              </w:rPr>
              <w:t xml:space="preserve">централизованного </w:t>
            </w:r>
            <w:r>
              <w:rPr>
                <w:sz w:val="20"/>
                <w:szCs w:val="20"/>
                <w:highlight w:val="none"/>
              </w:rPr>
              <w:t xml:space="preserve">оповещения населения города Перми, установленной </w:t>
            </w:r>
            <w:r>
              <w:rPr>
                <w:sz w:val="20"/>
                <w:szCs w:val="20"/>
                <w:highlight w:val="none"/>
              </w:rPr>
              <w:t xml:space="preserve">по ул. 1-й Еловский переулок, д. 22 – 600 метров.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При размещении объектов на вышеуказанной </w:t>
            </w:r>
            <w:r>
              <w:rPr>
                <w:sz w:val="20"/>
                <w:szCs w:val="20"/>
                <w:highlight w:val="none"/>
              </w:rPr>
              <w:t xml:space="preserve">территории необходимо соблюдать нормы и требования </w:t>
            </w:r>
            <w:r>
              <w:rPr>
                <w:sz w:val="20"/>
                <w:szCs w:val="20"/>
                <w:highlight w:val="none"/>
              </w:rPr>
              <w:t xml:space="preserve">действующего законодательства: Федеральных законов </w:t>
            </w:r>
            <w:r>
              <w:rPr>
                <w:sz w:val="20"/>
                <w:szCs w:val="20"/>
                <w:highlight w:val="none"/>
              </w:rPr>
              <w:t xml:space="preserve">от 21.12.1994 № 69-ФЗ «О пожарной безопасности» </w:t>
            </w:r>
            <w:r>
              <w:rPr>
                <w:sz w:val="20"/>
                <w:szCs w:val="20"/>
                <w:highlight w:val="none"/>
              </w:rPr>
              <w:t xml:space="preserve">и от 22.07.2008 № 123-ФЗ «Технический регламент </w:t>
            </w:r>
            <w:r>
              <w:rPr>
                <w:sz w:val="20"/>
                <w:szCs w:val="20"/>
                <w:highlight w:val="none"/>
              </w:rPr>
              <w:t xml:space="preserve">о требованиях пожарной безопасности», Региональных </w:t>
            </w:r>
            <w:r>
              <w:rPr>
                <w:sz w:val="20"/>
                <w:szCs w:val="20"/>
                <w:highlight w:val="none"/>
              </w:rPr>
              <w:t xml:space="preserve">нормативов </w:t>
            </w:r>
            <w:r>
              <w:rPr>
                <w:sz w:val="20"/>
                <w:szCs w:val="20"/>
                <w:highlight w:val="none"/>
              </w:rPr>
              <w:t xml:space="preserve">градостроительного </w:t>
            </w:r>
            <w:r>
              <w:rPr>
                <w:sz w:val="20"/>
                <w:szCs w:val="20"/>
                <w:highlight w:val="none"/>
              </w:rPr>
              <w:t xml:space="preserve">проектирования </w:t>
            </w:r>
            <w:r>
              <w:rPr>
                <w:sz w:val="20"/>
                <w:szCs w:val="20"/>
                <w:highlight w:val="none"/>
              </w:rPr>
              <w:t xml:space="preserve">«Расчетные </w:t>
            </w:r>
            <w:r>
              <w:rPr>
                <w:sz w:val="20"/>
                <w:szCs w:val="20"/>
                <w:highlight w:val="none"/>
              </w:rPr>
              <w:t xml:space="preserve">показатели </w:t>
            </w:r>
            <w:r>
              <w:rPr>
                <w:sz w:val="20"/>
                <w:szCs w:val="20"/>
                <w:highlight w:val="none"/>
              </w:rPr>
              <w:t xml:space="preserve">обеспеченности </w:t>
            </w:r>
            <w:r>
              <w:rPr>
                <w:sz w:val="20"/>
                <w:szCs w:val="20"/>
                <w:highlight w:val="none"/>
              </w:rPr>
              <w:t xml:space="preserve">населения </w:t>
            </w:r>
            <w:r>
              <w:rPr>
                <w:sz w:val="20"/>
                <w:szCs w:val="20"/>
                <w:highlight w:val="none"/>
              </w:rPr>
              <w:t xml:space="preserve">Пермского </w:t>
            </w:r>
            <w:r>
              <w:rPr>
                <w:sz w:val="20"/>
                <w:szCs w:val="20"/>
                <w:highlight w:val="none"/>
              </w:rPr>
              <w:t xml:space="preserve">края </w:t>
            </w:r>
            <w:r>
              <w:rPr>
                <w:sz w:val="20"/>
                <w:szCs w:val="20"/>
                <w:highlight w:val="none"/>
              </w:rPr>
              <w:t xml:space="preserve">объектами </w:t>
            </w:r>
            <w:r>
              <w:rPr>
                <w:sz w:val="20"/>
                <w:szCs w:val="20"/>
                <w:highlight w:val="none"/>
              </w:rPr>
              <w:t xml:space="preserve">пожарной </w:t>
            </w:r>
            <w:r>
              <w:rPr>
                <w:sz w:val="20"/>
                <w:szCs w:val="20"/>
                <w:highlight w:val="none"/>
              </w:rPr>
              <w:t xml:space="preserve">охраны», 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твержденных приказом Министерства по управлению имуществом и градостроительной деятельности Пермского края от 25.02.2021 No 31-02-1-4-248, а также Свода правил 8.13130 «Системы противопожарной защиты. Источники наружного противопожарного водоснабжения. Тре</w:t>
            </w:r>
            <w:r>
              <w:rPr>
                <w:sz w:val="20"/>
                <w:szCs w:val="20"/>
                <w:highlight w:val="none"/>
              </w:rPr>
              <w:t xml:space="preserve">б</w:t>
            </w:r>
            <w:r>
              <w:rPr>
                <w:sz w:val="20"/>
                <w:szCs w:val="20"/>
                <w:highlight w:val="none"/>
              </w:rPr>
              <w:t xml:space="preserve">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 планировочным и конструктивным решениям», утвержденных Приказом МЧС России от 24.04.2013 № 28</w:t>
            </w:r>
            <w:r>
              <w:rPr>
                <w:sz w:val="20"/>
                <w:szCs w:val="20"/>
                <w:highlight w:val="none"/>
              </w:rPr>
              <w:t xml:space="preserve">8 и иной документации, касающейся норм противопожарной безопасности.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Департамент экономики и промышленной политики администрации города Перми письмом от 27.12.2023 № 059-13-01-04-2811 сообщает, что места для установки и эксплуатации рекламных конструкций, 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ключенные в схему размещения рекламных конструкций на территории города Перми, утвержденную решением Пермской городской Думы от 23.08.2016 № 171, и места размещения НТО, включенные в схему размещения НТО на территории города Перми, утвержденную постановле</w:t>
            </w:r>
            <w:r>
              <w:rPr>
                <w:sz w:val="20"/>
                <w:szCs w:val="20"/>
                <w:highlight w:val="none"/>
              </w:rPr>
              <w:t xml:space="preserve">нием администрации города Перми от 02.08.2018 № 521, в границах Участка отсутствуют.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Согласно письму департамента имущественных отношений администрации города Перми от 22.12.2023 </w:t>
            </w:r>
            <w:r>
              <w:rPr>
                <w:sz w:val="20"/>
                <w:szCs w:val="20"/>
                <w:highlight w:val="none"/>
              </w:rPr>
              <w:t xml:space="preserve">№ 059-19-01-35/3-2305 Участок и объекты недвижимого имущества в реестре муниципального имущества города Перми не учитываются.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Государственная инспекция по охране объектов культурного наследия Пермского края письмом от 25.12.2023 № Исх55-01-17.2-646 сообща</w:t>
            </w:r>
            <w:r>
              <w:rPr>
                <w:sz w:val="20"/>
                <w:szCs w:val="20"/>
                <w:highlight w:val="none"/>
              </w:rPr>
              <w:t xml:space="preserve">ет следующее.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В границах Участка отсутствуют: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выявленные объекты культурного наследия</w:t>
            </w:r>
            <w:r>
              <w:rPr>
                <w:sz w:val="20"/>
                <w:szCs w:val="20"/>
                <w:highlight w:val="none"/>
              </w:rPr>
              <w:t xml:space="preserve">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объекты, обладающие признаками объектов культурного наследия;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территории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зоны охраны объектов культурного наследия;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 - защитные зоны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Участок не связан с земельным участком в границах те</w:t>
            </w:r>
            <w:r>
              <w:rPr>
                <w:sz w:val="20"/>
                <w:szCs w:val="20"/>
                <w:highlight w:val="none"/>
              </w:rPr>
              <w:t xml:space="preserve">рритории объекта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Сведения о режимах использования (ограничения/обременения)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 Данные о проведенных историко-культурных исследованиях в границах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Необходимость проведения историко-культурн</w:t>
            </w:r>
            <w:r>
              <w:rPr>
                <w:sz w:val="20"/>
                <w:szCs w:val="20"/>
                <w:highlight w:val="none"/>
              </w:rPr>
              <w:t xml:space="preserve">ой экспертизы в границах Участка отсутствует.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t xml:space="preserve">П</w:t>
            </w:r>
            <w:r>
              <w:rPr>
                <w:sz w:val="20"/>
                <w:szCs w:val="22"/>
              </w:rPr>
              <w:t xml:space="preserve">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Российской Федерации от 20.10.2016 No 725/пр(ред. от 17.05.2023): дом должен включать жилые комнаты– одну или несколько (общую комнату или гостиную,спальню), а также вспомогательные помещения:переднюю, кухню (в том числе кухню-столовую и (или)кухню-нишу), </w:t>
            </w:r>
            <w:r>
              <w:rPr>
                <w:sz w:val="20"/>
                <w:szCs w:val="22"/>
              </w:rPr>
              <w:t xml:space="preserve">ванные комнаты и (или) душевые, туалет(уборную) или совмещенный санузел, переднюю.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</w:t>
            </w:r>
            <w:r>
              <w:rPr>
                <w:sz w:val="20"/>
                <w:szCs w:val="22"/>
              </w:rPr>
              <w:t xml:space="preserve">ы</w:t>
            </w:r>
            <w:r>
              <w:rPr>
                <w:sz w:val="20"/>
                <w:szCs w:val="22"/>
              </w:rPr>
              <w:t xml:space="preserve"> в доме с числом комнат две и более - 16 м2, спальни - 8 м2 (на двух человек - 10 м2);кухни - 8 м2; кухонной зоны в кухне-столовой - 6 м2.В домах с одной комнатой допускается проектировать кухни или кухни-ниши площадью не менее 5 м2. Площадь спальни и кухн</w:t>
            </w:r>
            <w:r>
              <w:rPr>
                <w:sz w:val="20"/>
                <w:szCs w:val="22"/>
              </w:rPr>
              <w:t xml:space="preserve">и в мансардном этаже (или этаже с наклонными ограждающими конструкциями)допускается не менее 7 м2 при условии, что общая жилая комната имеет площадь не менее 16 м2.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6.2 СП 55.13330.2016 высота (от пола до потолка) комнат и кухни (кухни-столовой) </w:t>
            </w:r>
            <w:r>
              <w:rPr>
                <w:sz w:val="20"/>
                <w:szCs w:val="22"/>
              </w:rPr>
              <w:t xml:space="preserve">в климатических районах строительства IА, IБ, IГ, IД,определяемых по СП 131.13330, должна быть не менее 2,7 м, а в других климатических районах строительства -не менее 2,5 м. Высота внутридомовых коридоров, холлов, </w:t>
            </w:r>
            <w:r>
              <w:rPr>
                <w:sz w:val="20"/>
                <w:szCs w:val="22"/>
              </w:rPr>
              <w:t xml:space="preserve">передних, антресолей должна составлять не менее 2,1 м,а высота пути эвакуации - не менее 2,2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</w:t>
            </w:r>
            <w:r>
              <w:rPr>
                <w:sz w:val="20"/>
                <w:szCs w:val="22"/>
              </w:rPr>
              <w:t xml:space="preserve">отолка), относительно нормируемой на площади, не превышающей 50%.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информации, содержащейся в градостроительном плане земельного участка от 19.01.2024 № РФ-59-2-03-0-00-2024-0076-0 (далее –ГПЗУ), предельная высота зданий, строений не более 10,5 м (документ</w:t>
            </w:r>
            <w:r>
              <w:rPr>
                <w:sz w:val="20"/>
                <w:szCs w:val="22"/>
              </w:rPr>
              <w:t xml:space="preserve">ация по планировке территории,утвержденная постановлением администрации города Перми от 23.12.2015 № 1102).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Минимальный отступ от границ земельного участка до места допустимого размещения зданий, строений,сооружений (за исключением границ со стороны террито</w:t>
            </w:r>
            <w:r>
              <w:rPr>
                <w:sz w:val="20"/>
                <w:szCs w:val="22"/>
              </w:rPr>
              <w:t xml:space="preserve">рии общего пользования, где отступ определяется с учетом красных линий и линий регулирования застройки,установленных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Максимальный выступ за красную л</w:t>
            </w:r>
            <w:r>
              <w:rPr>
                <w:sz w:val="20"/>
                <w:szCs w:val="22"/>
              </w:rPr>
              <w:t xml:space="preserve">и</w:t>
            </w:r>
            <w:r>
              <w:rPr>
                <w:sz w:val="20"/>
                <w:szCs w:val="22"/>
              </w:rPr>
              <w:t xml:space="preserve">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пользования,составляет не более 1,2 м от красной линии. В случаях,когда линия регулирования застройки отлич</w:t>
            </w:r>
            <w:r>
              <w:rPr>
                <w:sz w:val="20"/>
                <w:szCs w:val="22"/>
              </w:rPr>
              <w:t xml:space="preserve">ается от красной линии, указанный выступ может быть произведен за линию регулирования застройки.Максимальный процент застройки в границах Участка– 30%.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 уведомлением о планируемом строительстве жилого дома рекомендуется обратиться в уполномоченный орган адм</w:t>
            </w:r>
            <w:r>
              <w:rPr>
                <w:sz w:val="20"/>
                <w:szCs w:val="22"/>
              </w:rPr>
              <w:t xml:space="preserve">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529" w:hanging="284"/>
              <w:rPr>
                <w:sz w:val="20"/>
              </w:rPr>
            </w:pPr>
            <w:r>
              <w:rPr>
                <w:sz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огласно письму Филиала ПАО «Россети Урал» - «Пермэнерго» от 25.12.2023 № ПЭ/ПГЭС/22/639 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</w:t>
            </w:r>
            <w:r>
              <w:rPr>
                <w:sz w:val="20"/>
                <w:szCs w:val="20"/>
              </w:rPr>
              <w:t xml:space="preserve">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</w:t>
            </w:r>
            <w:r>
              <w:rPr>
                <w:sz w:val="20"/>
                <w:szCs w:val="20"/>
              </w:rPr>
              <w:t xml:space="preserve">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те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</w:t>
            </w:r>
            <w:r>
              <w:rPr>
                <w:sz w:val="20"/>
                <w:szCs w:val="20"/>
              </w:rPr>
              <w:t xml:space="preserve"> последней редакции).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АО «Газпром газораспределе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ие Пермь» от 29.12.2023 № ПФ-8779 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 Постановлением Правительства Р</w:t>
            </w:r>
            <w:r>
              <w:rPr>
                <w:sz w:val="20"/>
                <w:szCs w:val="20"/>
              </w:rPr>
              <w:t xml:space="preserve">оссийской Федерации от 13.09.2021 № 1547 утверждены Правила подключения (технологического присоединения)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газоиспользующего оборудования и объектов капитального строительства к сетям газораспределения (далее – Правила подключения).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п. 7 Правил подключения для заключения договора о подключении (технологическом присоединении) необходимо направить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запрос по типовой форме согласно приложению № 1 к Правилам подключения, с приложением необходимых документов и сведений, указанных в пунктах 11 и 16 Правил подключения на электронную почту post@pf.ugaz.ru, либо почтовым отправлением по адресу: г. Пермь, у</w:t>
            </w:r>
            <w:r>
              <w:rPr>
                <w:sz w:val="20"/>
                <w:szCs w:val="20"/>
              </w:rPr>
              <w:t xml:space="preserve">л. Уральская, 104, через Единый центр предоставления услуг по адресу: г. Пермь, ул. Уральская, д. 104, Петропавловская, 43, через личный кабинет на сайте ugaz.ru, на портале единого оператора газификации: https://connectgas.ru.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ООО </w:t>
            </w:r>
            <w:r>
              <w:rPr>
                <w:sz w:val="20"/>
                <w:szCs w:val="20"/>
              </w:rPr>
              <w:t xml:space="preserve">«НОВОГОР-Прикамье» от 10.01.2024 № 110-0083 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</w:t>
            </w:r>
            <w:r>
              <w:rPr>
                <w:sz w:val="20"/>
                <w:szCs w:val="20"/>
              </w:rPr>
              <w:t xml:space="preserve">ения и водоотведения сообщается следующее.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Ближайшей точкой подключения к сетям водоснабжения Участка является водовод Д-1000 мм по ул. Чапаева.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Снабжение водой возможно от существующего ввода водопровода Д-25 мм на жилой дом, при этом в месте расположения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частка отсутствуют централизованные сети канализации и может быть применен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либо в выгребную ям</w:t>
            </w:r>
            <w:r>
              <w:rPr>
                <w:sz w:val="20"/>
                <w:szCs w:val="20"/>
              </w:rPr>
              <w:t xml:space="preserve">у с последующим вывозом стоков спец. машинами), при этом состав стоков должен соответствовать всем нормативным требованиям Российской Федерации.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объекта необходимо предусматривать строго за пределами охранных зон сетей водопровода и канализации в</w:t>
            </w:r>
            <w:r>
              <w:rPr>
                <w:sz w:val="20"/>
                <w:szCs w:val="20"/>
              </w:rPr>
              <w:t xml:space="preserve"> соответствии норм СП, в том числе в соответствии с таблицей 12.5 СП 42.13330.2016 «Градостроительство планировка и застройка городских и сельских поселений».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тем, что ООО «НОВОГОР-Прикамье» эксплуатирует только централизованные системы водоснабже</w:t>
            </w:r>
            <w:r>
              <w:rPr>
                <w:sz w:val="20"/>
                <w:szCs w:val="20"/>
              </w:rPr>
              <w:t xml:space="preserve">ния и водоотведения, по вопросу возможности обеспечения жилого дома холодным водоснабжением от скважины и отвод канализационных локально, предлагаем вам обратиться в организации, регулирующие недропользование.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Филиала «Пермский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АО «Т Плюс» от 29.12.2023 № 51030-01-09539 техническая возможность подключения объекта капитального строительства, планируемого к строительству на Участке, к системе теплоснабжения имеется. Возможные точки присоединения на существующих тепловых сетях: К-1</w:t>
            </w:r>
            <w:r>
              <w:rPr>
                <w:sz w:val="20"/>
                <w:szCs w:val="20"/>
              </w:rPr>
              <w:t xml:space="preserve">8 на М-72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2Ду100 мм. Источник теплоснабжения: ВК по адресу: г. Пермь, ул. Чапаева, 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Согласно письму от 21.03.2024 № 01/05/38417/24 в границах Участка сети ПАО «Ростелеком» отсутствуют.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подключения (технологического присоединения) к сетям электросвяз</w:t>
            </w:r>
            <w:r>
              <w:rPr>
                <w:sz w:val="20"/>
                <w:szCs w:val="20"/>
              </w:rPr>
              <w:t xml:space="preserve">и ПАО «Ростелеком» необходимо обратиться по адресу: г. Пермь, ул. Крупской, 2, тел.: +7 (342) 235-57-34 или направить запрос на perm-mail@ural.rt.ru.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технических условий составляет 3 года со дня выдачи. В случае, если в течении 1 года со дня в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</w:t>
            </w:r>
            <w:r>
              <w:rPr>
                <w:sz w:val="20"/>
                <w:szCs w:val="20"/>
              </w:rPr>
              <w:t xml:space="preserve">лением Правительства Российской Федерации от 01.07.2022 № 1196).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департамента жилищно-коммунального хозяйства администрации города Перми от 22.12.2023 № 059-04-17/3-1271-ри на территории, где расположен Участок, схемами водоснабжения и во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оотведения города Перми, утвержденными постановлением администрации города Перми от 28.12.2018 № 1085, определена потребность в строительстве сетей водоснабжения и водоотведения в мкр. Чапаевский, реализация предусмотрена с 2024 года (мероприятия не обесп</w:t>
            </w:r>
            <w:r>
              <w:rPr>
                <w:sz w:val="20"/>
                <w:szCs w:val="20"/>
              </w:rPr>
              <w:t xml:space="preserve">ечены финансированием).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Начальная цена предмета аукциона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(рыночная стоимость земельного участка)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0"/>
                <w:szCs w:val="20"/>
              </w:rPr>
              <w:t xml:space="preserve">в течение 15 дней</w:t>
            </w:r>
            <w:r>
              <w:rPr>
                <w:sz w:val="20"/>
                <w:szCs w:val="20"/>
              </w:rPr>
              <w:t xml:space="preserve"> </w:t>
              <w:br/>
              <w:t xml:space="preserve">со дня размещения  протокола о результатах аукциона,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</w:pPr>
            <w:r>
              <w:rPr>
                <w:sz w:val="20"/>
                <w:szCs w:val="20"/>
              </w:rPr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0"/>
                <w:szCs w:val="20"/>
              </w:rPr>
              <w:t xml:space="preserve">перечислить денежные средства </w:t>
            </w:r>
            <w:r>
              <w:rPr>
                <w:sz w:val="20"/>
                <w:szCs w:val="20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659 600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«Шаг аукциона» (3%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19 788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Форма заявки на участие в аукционе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Размер задатка (50%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329 800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Проект договора купли-продажи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</w:t>
              <w:br/>
              <w:t xml:space="preserve">Приложением </w:t>
            </w:r>
            <w:r>
              <w:rPr>
                <w:sz w:val="20"/>
                <w:szCs w:val="20"/>
                <w:lang w:eastAsia="en-US"/>
              </w:rPr>
              <w:t xml:space="preserve">2 к настоящему извещению и </w:t>
            </w:r>
            <w:r>
              <w:rPr>
                <w:sz w:val="20"/>
                <w:szCs w:val="20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 xml:space="preserve">Муниципальная собственность/ Торговая площадка</w:t>
              <w:br/>
              <w:t xml:space="preserve">Вид торгов Продажа и аренда земельных участков)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12"/>
        <w:contextualSpacing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right="-263"/>
        <w:tabs>
          <w:tab w:val="clear" w:pos="708" w:leader="none"/>
          <w:tab w:val="left" w:pos="5103" w:leader="none"/>
        </w:tabs>
        <w:rPr>
          <w:b/>
          <w:lang w:val="en-US"/>
        </w:rPr>
      </w:pPr>
      <w:r>
        <w:rPr>
          <w:b/>
          <w:lang w:val="en-US"/>
        </w:rPr>
        <w:t xml:space="preserve">Лот № 2</w:t>
      </w:r>
      <w:r>
        <w:rPr>
          <w:b/>
          <w:lang w:val="en-US"/>
        </w:rPr>
      </w:r>
      <w:r>
        <w:rPr>
          <w:b/>
          <w:lang w:val="en-US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3"/>
        <w:gridCol w:w="3346"/>
        <w:gridCol w:w="643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Наименование органа местного самоуправления, </w:t>
            </w:r>
            <w:r>
              <w:rPr>
                <w:sz w:val="20"/>
              </w:rPr>
              <w:t xml:space="preserve">принявшего решение о проведении аукциона, </w:t>
            </w:r>
            <w:r>
              <w:rPr>
                <w:sz w:val="20"/>
              </w:rPr>
              <w:t xml:space="preserve">реквизиты указанного решения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</w:t>
            </w:r>
            <w:r>
              <w:rPr>
                <w:sz w:val="20"/>
                <w:szCs w:val="20"/>
              </w:rPr>
              <w:t xml:space="preserve">страция города Перми, распоряжение начальника департамента земельных отношений администрации города Перми от 19 июня 2024 г.                       № 21-01-03-5744 «О проведении аукциона по продаже земельного участка в Орджоникидзевском районе города Перми»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Предмет аукциона по продаже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Федерация, край Пермский, г.о. Пермский, г. Пермь,             ул. </w:t>
            </w:r>
            <w:r>
              <w:rPr>
                <w:sz w:val="20"/>
              </w:rPr>
              <w:t xml:space="preserve">1-я Логовая, зу 1д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площадь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733 кв. 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59:01:3812839:178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права на земельный участок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разрешенное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для индивидуального жилищного строительства (2.1)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ограничение прав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0"/>
                <w:szCs w:val="20"/>
              </w:rPr>
              <w:t xml:space="preserve">14.08.2024г. No КУВИ-001/2024-206624871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 19.01.2024 № РФ-59-2-03-0-00-2024-0065-0 (далее – ГПЗУ).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В соответствии со сведениями из ЕГРН в границах Участка объекты капитального строительства отсутствуют. По данным геодезической съемки в границах Участка объекты капитального строительства отсутствуют.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администрации Орджоникидзевского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города Перми от 09.01.2024 № 059-37-01-32/3-10, акту обследования от 25.12.2023 № 306 Участок по периметру ничем не огорожен, доступ (подход/подъезд) не ограничен.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Неустановленными лицами на Участке размещено одноэтажное деревянное строение, предположите</w:t>
            </w:r>
            <w:r>
              <w:rPr>
                <w:b/>
                <w:bCs/>
                <w:sz w:val="20"/>
                <w:szCs w:val="20"/>
              </w:rPr>
              <w:t xml:space="preserve">льно туалет, площадь фактического пользования Участком составляет ориентировочно 5 кв. м.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Близлежащие пожарные гидранты расположены по адресам: ул. 1-я Логовая, 1е, ул. Пархоменко, 8, ул. Пархоменко, 21, Еловский пер., 24, близлежащий пожарный водоем – по у</w:t>
            </w:r>
            <w:r>
              <w:rPr>
                <w:sz w:val="20"/>
                <w:szCs w:val="20"/>
              </w:rPr>
              <w:t xml:space="preserve">л. Новогодняя, 11.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Учитывая, что в границах Участка расположены некапитальные самовольные строения, бремя содержания данных объектов несет победитель аукциона с момента государственной регистрации права собственности на Участок.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сведениям, содержащ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мся в ГПЗУ, ЕГРН и справке по градостроительным условиям от 14.08.2024 № 603025, Участок полностью расположен в границах зоны с особыми условиями использования территории: Приаэродромная территория аэродрома аэропорта Большое Савино, реестровый номер гран</w:t>
            </w:r>
            <w:r>
              <w:rPr>
                <w:sz w:val="20"/>
                <w:szCs w:val="20"/>
              </w:rPr>
              <w:t xml:space="preserve">ицы 59:32-6.553.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вести в соответствии с постановлением Правительства Российской Федерации от 11.03.2010 No 138 «Об утверждении Федеральных правил использования воздушного пространства Российской Федерации»: «Запрещается размещ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</w:t>
            </w:r>
            <w:r>
              <w:rPr>
                <w:sz w:val="20"/>
                <w:szCs w:val="20"/>
              </w:rPr>
              <w:t xml:space="preserve">у скоплению птиц».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  <w:t xml:space="preserve">Согласно письму управления по экологии и природопользованию администрации города Перми от 17.01.2024 № 059-33-01-10/3-27 на Участке произрастает 4 дерева породы береза.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Средняя стоимость в ценах 2024 года одного дерева лиственной породы от 17 тыс. руб., а </w:t>
            </w:r>
            <w:r>
              <w:rPr>
                <w:sz w:val="20"/>
                <w:szCs w:val="20"/>
                <w:highlight w:val="none"/>
              </w:rPr>
              <w:t xml:space="preserve">хвойной – от 20 тыс. руб.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Победителю аукциона необходимо соблюдать следующие условия строительства, а также проектом предусмотреть: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Нанесение существующих деревьев на стройгенплане;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Снос деревьев, попадающих в пятно застройки, вести на основании акта </w:t>
            </w:r>
            <w:r>
              <w:rPr>
                <w:sz w:val="20"/>
                <w:szCs w:val="20"/>
                <w:highlight w:val="none"/>
              </w:rPr>
              <w:t xml:space="preserve">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Восстановление зеленых насаждений </w:t>
            </w:r>
            <w:r>
              <w:rPr>
                <w:sz w:val="20"/>
                <w:szCs w:val="20"/>
                <w:highlight w:val="none"/>
              </w:rPr>
              <w:t xml:space="preserve">вести в соответствиис решением Пермской городской Думы от 15.12.2020 № 277;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 Сбор и отвод ливневых вод с использованием вариантов решений в зависимости от: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наличия централизованной системы ливневой канализации;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площади водосбора с учетом транзитных в</w:t>
            </w:r>
            <w:r>
              <w:rPr>
                <w:sz w:val="20"/>
                <w:szCs w:val="20"/>
                <w:highlight w:val="none"/>
              </w:rPr>
              <w:t xml:space="preserve">од с прилегающей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угла наклона рельефа, включающий прилегающие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применения иных решений равномерного отвода поверхностного стока с запрашиваемой территории на прилегающей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Определение видов образующих отходов и мест их размещения на период эксплуатации;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6. Конкретные мероприятия по охране окружающей среды на период строительства, включая: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установку </w:t>
            </w:r>
            <w:r>
              <w:rPr>
                <w:sz w:val="20"/>
                <w:szCs w:val="20"/>
                <w:highlight w:val="none"/>
              </w:rPr>
              <w:t xml:space="preserve">временного защитного ограждения строительной площадки;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ограждение существующих зеленых насаждений, не попадающих под пятно застройки;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прокладку коммуникаций осуществлять на расстоянии не менее 2 м. от ствола дерева, чтобы не повредить корневую систему;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- не использовать приствольные круги существующих деревьев (диаметром 1м) под складирование материалов и установки временных сооружений;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определение видов и объемов образующихся отходов и мест их размещения;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систематический вывоз отходов;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недопущение </w:t>
            </w:r>
            <w:r>
              <w:rPr>
                <w:sz w:val="20"/>
                <w:szCs w:val="20"/>
                <w:highlight w:val="none"/>
              </w:rPr>
              <w:t xml:space="preserve">загрязнения атмосферы, почвы и подземных вод;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предотвращение выноса грязи автотранспортом, выезжающим со строительной площадки.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Департамент дорог и благоустройства администрации города Перми письмом от 16.01.2024 № 059-24-01-36/3-82 сообщает о возможност</w:t>
            </w:r>
            <w:r>
              <w:rPr>
                <w:sz w:val="20"/>
                <w:szCs w:val="20"/>
                <w:highlight w:val="none"/>
              </w:rPr>
              <w:t xml:space="preserve">и присоединения Участка к автомобильной дороге по ул. 1-я Логовая. Данная дорога входит в Перечень дорог общего пользования местного значения, утвержденного постановлением администрации города Перми от 02.06.2009 № 298.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бюджетом города Пер</w:t>
            </w:r>
            <w:r>
              <w:rPr>
                <w:sz w:val="20"/>
                <w:szCs w:val="20"/>
                <w:highlight w:val="none"/>
              </w:rPr>
              <w:t xml:space="preserve">ми 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 Кроме того в целях присоединения Участка к улично- дорожной сети города Перми необ</w:t>
            </w:r>
            <w:r>
              <w:rPr>
                <w:sz w:val="20"/>
                <w:szCs w:val="20"/>
                <w:highlight w:val="none"/>
              </w:rPr>
              <w:t xml:space="preserve">ходимо: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разработать и согласовать на рабочей группе по организации и безопасности дорожного движения (ул. Пермская, 2а, 212-47-51) проект организации дорожного движения;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получить согласие владельца автомобильной дороги (порядок выдачи согласия владельца авт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</w:t>
            </w:r>
            <w:r>
              <w:rPr>
                <w:sz w:val="20"/>
                <w:szCs w:val="20"/>
                <w:highlight w:val="none"/>
              </w:rPr>
              <w:t xml:space="preserve">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Дополнительно направлена </w:t>
            </w:r>
            <w:r>
              <w:rPr>
                <w:sz w:val="20"/>
                <w:szCs w:val="20"/>
                <w:highlight w:val="none"/>
              </w:rPr>
              <w:t xml:space="preserve">информация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№ 277: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поверхностный водоотвод решить проект</w:t>
            </w:r>
            <w:r>
              <w:rPr>
                <w:sz w:val="20"/>
                <w:szCs w:val="20"/>
                <w:highlight w:val="none"/>
              </w:rPr>
              <w:t xml:space="preserve">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предусмотреть электроосвещение территории объекта;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стоянку временного транспорта разместить в границах отведенного под стро</w:t>
            </w:r>
            <w:r>
              <w:rPr>
                <w:sz w:val="20"/>
                <w:szCs w:val="20"/>
                <w:highlight w:val="none"/>
              </w:rPr>
              <w:t xml:space="preserve">ительство земельного участка вне территории общего пользования;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предусмотреть устройство подъезда к Участку или ликвидацию разрушений, повреждений дорожного покрытия существующих проездов от границ Участка до существующей улично-дорожной сети, а также наруж</w:t>
            </w:r>
            <w:r>
              <w:rPr>
                <w:sz w:val="20"/>
                <w:szCs w:val="20"/>
                <w:highlight w:val="none"/>
              </w:rPr>
              <w:t xml:space="preserve">ное освещение подъездов.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письмом департамента общественной безопасности администрации города Перми от 22.12.2023 № 059-10-01-27/3-2090: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строительство пожарного водоема на указанной территории не запланировано;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ближайшее подразделение пожар</w:t>
            </w:r>
            <w:r>
              <w:rPr>
                <w:sz w:val="20"/>
                <w:szCs w:val="20"/>
                <w:highlight w:val="none"/>
              </w:rPr>
              <w:t xml:space="preserve">ной охраны расположено по адресу: ул. Волховская, 37 (ПСЧ-7 10-ПСО);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объект общественной безопасности, отнесенный к объектам полиции (участковые пункты полиции), отсутствуют. Ближайший участковый пункт расположен по адресу: город Пермь, переулок Талицкий, д</w:t>
            </w:r>
            <w:r>
              <w:rPr>
                <w:sz w:val="20"/>
                <w:szCs w:val="20"/>
                <w:highlight w:val="none"/>
              </w:rPr>
              <w:t xml:space="preserve">. 8 (микрорайон Кислотные Дачи, Орджоникидзевский район). В настоящее время в указанном микрорайоне строительство (приобретение) участковых пунктов полиции не планируется;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помещения для аварийно-спасательных формирований на указанной территории отсутствуют.</w:t>
            </w:r>
            <w:r>
              <w:rPr>
                <w:sz w:val="20"/>
                <w:szCs w:val="20"/>
                <w:highlight w:val="none"/>
              </w:rPr>
              <w:t xml:space="preserve"> В настоящее время потребность в обеспечении служебными помещениями для аварийно-спасательных формирований в указанном микрорайоне отсутствует;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 указанной территории имеется следующий источник противопожарного водоснабжения: (пожарный водоем), расположенн</w:t>
            </w:r>
            <w:r>
              <w:rPr>
                <w:sz w:val="20"/>
                <w:szCs w:val="20"/>
                <w:highlight w:val="none"/>
              </w:rPr>
              <w:t xml:space="preserve">ый по улице Новогодняя, 11 – в радиусе 200 метров;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информацией, предоставленной Министерством территориальной безопасности Пермского края, Участок попадает в зону возможного химического заражения в особый период;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территория находится в зоне</w:t>
            </w:r>
            <w:r>
              <w:rPr>
                <w:sz w:val="20"/>
                <w:szCs w:val="20"/>
                <w:highlight w:val="none"/>
              </w:rPr>
              <w:t xml:space="preserve"> действия региональной автоматизированной системы централизованного оповещения населения города Перми, установленной по ул. 1-й Еловский переулок, д. 22 – 600 метров.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 размещении объектов на вышеуказанной территории необходимо соблюдать нормы и требовани</w:t>
            </w:r>
            <w:r>
              <w:rPr>
                <w:sz w:val="20"/>
                <w:szCs w:val="20"/>
                <w:highlight w:val="none"/>
              </w:rPr>
              <w:t xml:space="preserve">я</w:t>
            </w:r>
            <w:r>
              <w:rPr>
                <w:sz w:val="20"/>
                <w:szCs w:val="20"/>
                <w:highlight w:val="none"/>
              </w:rPr>
              <w:t xml:space="preserve">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No 31-02-1-4-248, а также Свода правил 8.13130 «Системы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  пожара на объектах защиты. Требования к объемно- планировочны</w:t>
            </w:r>
            <w:r>
              <w:rPr>
                <w:sz w:val="20"/>
                <w:szCs w:val="20"/>
                <w:highlight w:val="none"/>
              </w:rPr>
              <w:t xml:space="preserve">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Департамент экономики и промышленной политики администрации города Перми письмом от 27.12.2023 № 059-13-0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-04-2811 сообщает, что места для установки и эксплуатации рекламных конструкций, включенные в схему размещения рекламных конструкций на территории города Перми, утвержденную решением Пермской городской Думы от 23.08.2016 № 171, и места размещения НТО, вкл</w:t>
            </w:r>
            <w:r>
              <w:rPr>
                <w:sz w:val="20"/>
                <w:szCs w:val="20"/>
                <w:highlight w:val="none"/>
              </w:rPr>
              <w:t xml:space="preserve">юченные в схему размещения НТО на территории города Перми, утвержденную постановлением администрации города Перми от 02.08.2018 № 521, в границах Участка отсутствуют.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Согласно письму департамента имущественных отношений администрации города Перми от 22.12.</w:t>
            </w:r>
            <w:r>
              <w:rPr>
                <w:sz w:val="20"/>
                <w:szCs w:val="20"/>
                <w:highlight w:val="none"/>
              </w:rPr>
              <w:t xml:space="preserve">2023 № 059-19-01-35/3-2305 Участок и объекты недвижимого имущества в реестре муниципального имущества города Перми не учитываются.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Государственная инспекция по охране объектов культурного наследия Пермского края письмом от 25.12.2023 № Исх55-01-17.2-646 с</w:t>
            </w:r>
            <w:r>
              <w:rPr>
                <w:sz w:val="20"/>
                <w:szCs w:val="20"/>
                <w:highlight w:val="none"/>
              </w:rPr>
              <w:t xml:space="preserve">ообщает следующее.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В границах Участка отсутствуют: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выявленные объекты культурного нас</w:t>
            </w:r>
            <w:r>
              <w:rPr>
                <w:sz w:val="20"/>
                <w:szCs w:val="20"/>
                <w:highlight w:val="none"/>
              </w:rPr>
              <w:t xml:space="preserve">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объекты, обладающие признаками объектов культурного наследия;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территории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зоны охраны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защитные зоны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Участок не связан с земельным участком в границ</w:t>
            </w:r>
            <w:r>
              <w:rPr>
                <w:sz w:val="20"/>
                <w:szCs w:val="20"/>
                <w:highlight w:val="none"/>
              </w:rPr>
              <w:t xml:space="preserve">ах территории объекта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Сведения о режимах использования (ограничения/обременения)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 Данные о проведенных историко-культурных исследованиях в границах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Необходимость проведения историко-кул</w:t>
            </w:r>
            <w:r>
              <w:rPr>
                <w:sz w:val="20"/>
                <w:szCs w:val="20"/>
                <w:highlight w:val="none"/>
              </w:rPr>
              <w:t xml:space="preserve">ьтурной экспертизы в границах Участка отсутствует.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t xml:space="preserve">П</w:t>
            </w:r>
            <w:r>
              <w:rPr>
                <w:sz w:val="20"/>
                <w:szCs w:val="22"/>
              </w:rPr>
              <w:t xml:space="preserve">роектирование и строительство необходимо вести размерах планируемого в соответствии с пунктом 4.5 СП 55.13330.2016 Свода к строительству Правил. Дома жилые одноквартирные. СНиП 31-02-2001, капитального объекта утвержденным и введенным в действие Приказом М</w:t>
            </w:r>
            <w:r>
              <w:rPr>
                <w:sz w:val="20"/>
                <w:szCs w:val="22"/>
              </w:rPr>
              <w:t xml:space="preserve">и</w:t>
            </w:r>
            <w:r>
              <w:rPr>
                <w:sz w:val="20"/>
                <w:szCs w:val="22"/>
              </w:rPr>
              <w:t xml:space="preserve">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</w:t>
            </w:r>
            <w:r>
              <w:rPr>
                <w:sz w:val="20"/>
                <w:szCs w:val="22"/>
              </w:rPr>
              <w:t xml:space="preserve">ереднюю, кухню (в том числе кухню- столовую и (или) кухню-нишу), ванные комнаты и (или) душевые, туалет (уборную) или совмещенный санузел, переднюю.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6.1 СП 55.13330.2016 площади помещений строящихся и реконструируемых жилых домов должны быть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не менее: общей комнаты в однокомнатном доме - 14 м2, общей комнаты в доме с числом комнат две и более - 16 м , спальни - 8 м2 (на двух человек - 10 м2); кухни - 8 м2; кухонной зоны в кухне-столовой - 6 м2. В домах с одной комнатой допускается проектироват</w:t>
            </w:r>
            <w:r>
              <w:rPr>
                <w:sz w:val="20"/>
                <w:szCs w:val="22"/>
              </w:rPr>
              <w:t xml:space="preserve">ь кухни или кухни-ниши площадью не менее 5 м2. 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6.2 СП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</w:t>
            </w:r>
            <w:r>
              <w:rPr>
                <w:sz w:val="20"/>
                <w:szCs w:val="22"/>
              </w:rPr>
              <w:t xml:space="preserve">а</w:t>
            </w:r>
            <w:r>
              <w:rPr>
                <w:sz w:val="20"/>
                <w:szCs w:val="22"/>
              </w:rPr>
              <w:t xml:space="preserve"> внутридомовых коридоров, холлов, передних, антресолей должна составлять не менее 2,1 м, а высота пути эвакуации - не менее 2,2 м. В жилых комнатах и кухнях, расположенных в этажах с наклонными ограждающими конструкциями или в мансардном этаже, допускается</w:t>
            </w:r>
            <w:r>
              <w:rPr>
                <w:sz w:val="20"/>
                <w:szCs w:val="22"/>
              </w:rPr>
              <w:t xml:space="preserve"> уменьшение высоты помещений (от пола до потолка), относительно нормируемой на площади, не превышающей 50%.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информации, содержащейся в градостроительном плане земельного участка от 19.01.2024 № РФ-59-2-03-0-00-2024-0065-0 (далее – ГПЗУ), предельная</w:t>
            </w:r>
            <w:r>
              <w:rPr>
                <w:sz w:val="20"/>
                <w:szCs w:val="22"/>
              </w:rPr>
              <w:t xml:space="preserve"> высота зданий, строений не более 10,5 м (документация по планировке территории, утвержденная постановлением администрации города Перми от 23.12.2015 № 1102).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Минимальный отступ от границ земельного участка до места допустимого размещения зданий, строений,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</w:t>
            </w:r>
            <w:r>
              <w:rPr>
                <w:sz w:val="20"/>
                <w:szCs w:val="22"/>
              </w:rPr>
              <w:t xml:space="preserve">илой застройке) – 3 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</w:t>
            </w:r>
            <w:r>
              <w:rPr>
                <w:sz w:val="20"/>
                <w:szCs w:val="22"/>
              </w:rPr>
              <w:t xml:space="preserve">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Максимальный процент застройки в границах Участка – 30%.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 уведомлением о планируемом строительстве жил</w:t>
            </w:r>
            <w:r>
              <w:rPr>
                <w:sz w:val="20"/>
                <w:szCs w:val="22"/>
              </w:rPr>
              <w:t xml:space="preserve">ого дома рекомендуется обратиться в уполномоченный орган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3"/>
              </w:numPr>
              <w:ind w:left="529" w:hanging="284"/>
              <w:rPr>
                <w:sz w:val="20"/>
              </w:rPr>
            </w:pPr>
            <w:r>
              <w:rPr>
                <w:sz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огласно письму Филиала ПАО «Россети Урал» - «Пермэнерго» от 25.12.2023 № ПЭ/ПГЭС/22/639 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</w:t>
            </w:r>
            <w:r>
              <w:rPr>
                <w:sz w:val="20"/>
                <w:szCs w:val="20"/>
              </w:rPr>
              <w:t xml:space="preserve">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</w:t>
            </w:r>
            <w:r>
              <w:rPr>
                <w:sz w:val="20"/>
                <w:szCs w:val="20"/>
              </w:rPr>
              <w:t xml:space="preserve">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те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</w:t>
            </w:r>
            <w:r>
              <w:rPr>
                <w:sz w:val="20"/>
                <w:szCs w:val="20"/>
              </w:rPr>
              <w:t xml:space="preserve"> последней редакции).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АО «Газпром газораспределе</w:t>
            </w:r>
            <w:r>
              <w:rPr>
                <w:sz w:val="20"/>
                <w:szCs w:val="20"/>
              </w:rPr>
              <w:t xml:space="preserve">ние Пермь» от 29.12.2023 № ПФ-8779 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Правительства Р</w:t>
            </w:r>
            <w:r>
              <w:rPr>
                <w:sz w:val="20"/>
                <w:szCs w:val="20"/>
              </w:rPr>
              <w:t xml:space="preserve">оссийской Федерации от 13.09.2021 № 1547 утверждены Правила подключения (технологического присоединения) газоиспользующего оборудования и объектов капитального строи</w:t>
            </w:r>
            <w:r>
              <w:rPr>
                <w:sz w:val="20"/>
                <w:szCs w:val="20"/>
              </w:rPr>
              <w:t xml:space="preserve">тельства к сетям газораспределения (далее – Правила подключения).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пунктом 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Правил подключения для заключения договора о подключении (технологическом присоединении) необходимо направить запрос по типовой форме согласно приложению № 1 к Правилам подключения, с приложением необходимых документов и сведений, указанных в пунктах 11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16 Правил подключения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Петропавловская, 43, через личный кабинет н</w:t>
            </w:r>
            <w:r>
              <w:rPr>
                <w:sz w:val="20"/>
                <w:szCs w:val="20"/>
              </w:rPr>
              <w:t xml:space="preserve">а сайте ugaz.ru, на портале единого оператора газификации: https://connectgas.ru.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письмом ООО «НОВОГОР-Прикамье» от 10.01.2024 № 110-0083 о наличии технической возможности подключения объекта капитального строительства с планируемой велич</w:t>
            </w:r>
            <w:r>
              <w:rPr>
                <w:sz w:val="20"/>
                <w:szCs w:val="20"/>
              </w:rPr>
              <w:t xml:space="preserve">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Снабжение водой возможно от существующего ввода водопровода Д-25 мм на жилой дом, при этом в месте расп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ложения Участка отсутствуют централизованные сети канализации и может быть применен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либо в выг</w:t>
            </w:r>
            <w:r>
              <w:rPr>
                <w:sz w:val="20"/>
                <w:szCs w:val="20"/>
              </w:rPr>
              <w:t xml:space="preserve">ребную яму с последующим вывозом стоков спец. машинами), при этом состав стоков должен соответствовать всем нормативным требованиям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Размещение объекта необходимо предусматривать строго за пределами охранных зон сетей водопровода и кана</w:t>
            </w:r>
            <w:r>
              <w:rPr>
                <w:sz w:val="20"/>
                <w:szCs w:val="20"/>
              </w:rPr>
              <w:t xml:space="preserve">лизации в соответствии норм СП, в том числе в соответствии с таблицей 12.5 СП 42.13330.2016 «Градостроительство, планировка и застройка городских и сельских поселений».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связи с тем, что ООО «НОВОГОР-Прикамье» эксплуатирует только централизованные системы </w:t>
            </w:r>
            <w:r>
              <w:rPr>
                <w:sz w:val="20"/>
                <w:szCs w:val="20"/>
              </w:rPr>
              <w:t xml:space="preserve">водоснабжения и водоотведения, по вопросу возможности обеспечения жилого дома холодным водоснабжением от скважины и отвод канализационных локально, предлагаем вам обратиться в организации, регулирующие недропользование.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письмом Филиала «Пер</w:t>
            </w:r>
            <w:r>
              <w:rPr>
                <w:sz w:val="20"/>
                <w:szCs w:val="20"/>
                <w:highlight w:val="none"/>
              </w:rPr>
              <w:t xml:space="preserve">мский ПАО «Т Плюс» от 09.01.2024 № 51000-32-00009 Участок расположен вне зоны теплоснабжения ПАО «Т Плюс».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жилищно-коммунального хозяйства администрации города Перми (далее – ДЖКХ) письмом от 26.01.2024 059-04-25/3-10-ри сообщает, что техническ</w:t>
            </w:r>
            <w:r>
              <w:rPr>
                <w:sz w:val="20"/>
                <w:szCs w:val="20"/>
              </w:rPr>
              <w:t xml:space="preserve">ая возможность подключения к сетям теплоснабжения отсутствует. Рекомендовано рассмотреть альтернативный источник теплоснабжения – газ.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от 21.03.2024 № 01/05/38447/24 в границах Участка сети ПАО «Ростелеком» отсутствуют.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подключения (тех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ологического присоединения)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</w:t>
            </w:r>
            <w:r>
              <w:rPr>
                <w:sz w:val="20"/>
                <w:szCs w:val="20"/>
              </w:rPr>
              <w:t xml:space="preserve">твом по адресу: г. Пермь, ул. Крупской, 2, ел.:(342) 235-57-34 или направить запрос на perm-mail@ural.rt.ru.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Срок действия технических условий составляет 3 года со дня выдачи. В случае, если в течении 1 года со дня выдачи технических условий заявителем не б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</w:t>
            </w:r>
            <w:r>
              <w:rPr>
                <w:sz w:val="20"/>
                <w:szCs w:val="20"/>
              </w:rPr>
              <w:t xml:space="preserve"> от 01.07.2022 № 1196).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департамента жилищно- коммунального хозяйства администрации города Перми от 22.12.2023 № 059-04-17/3-1271-ри на территории, где расположен Участок, схемами водоснабжения и водоотведения города Перми, утвержденными п</w:t>
            </w:r>
            <w:r>
              <w:rPr>
                <w:sz w:val="20"/>
                <w:szCs w:val="20"/>
              </w:rPr>
              <w:t xml:space="preserve">остановлением администрации города Перми от 28.12.2018 No 1085, определена потребность в строительстве сетей водоснабжения и водоотведения в мкр. Чапаевский, реализация предусмотрена с 2024 года (мероприятия не обеспечены финансированием).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Начальная цена предмета аукциона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(рыночная стоимость земельного участка)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0"/>
                <w:szCs w:val="20"/>
              </w:rPr>
              <w:t xml:space="preserve">в течение 15 дней</w:t>
            </w:r>
            <w:r>
              <w:rPr>
                <w:sz w:val="20"/>
                <w:szCs w:val="20"/>
              </w:rPr>
              <w:t xml:space="preserve"> </w:t>
              <w:br/>
              <w:t xml:space="preserve">со дня размещения  протокола о результатах аукциона,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</w:pPr>
            <w:r>
              <w:rPr>
                <w:sz w:val="20"/>
                <w:szCs w:val="20"/>
              </w:rPr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0"/>
                <w:szCs w:val="20"/>
              </w:rPr>
              <w:t xml:space="preserve">перечислить денежные средства </w:t>
            </w:r>
            <w:r>
              <w:rPr>
                <w:sz w:val="20"/>
                <w:szCs w:val="20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820 200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«Шаг аукциона» (3%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24 606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Форма заявки на участие в аукционе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Размер задатка (50%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Проект договора купли-продажи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</w:t>
            </w:r>
            <w:r>
              <w:rPr>
                <w:sz w:val="20"/>
                <w:szCs w:val="20"/>
                <w:highlight w:val="none"/>
                <w:lang w:eastAsia="en-US"/>
              </w:rPr>
              <w:t xml:space="preserve">2</w:t>
            </w:r>
            <w:r>
              <w:rPr>
                <w:sz w:val="20"/>
                <w:szCs w:val="20"/>
                <w:lang w:eastAsia="en-US"/>
              </w:rPr>
              <w:t xml:space="preserve">9.05.2015 № 322, является</w:t>
              <w:br/>
              <w:t xml:space="preserve">Приложением 3 к настоящему извещению  и </w:t>
            </w:r>
            <w:r>
              <w:rPr>
                <w:sz w:val="20"/>
                <w:szCs w:val="20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 xml:space="preserve">Муниципальная собственность/ Торговая площадка</w:t>
              <w:br/>
              <w:t xml:space="preserve">Вид торгов Продажа и аренда земельных участков)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contextualSpacing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812"/>
        <w:contextualSpacing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Лот № 3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3"/>
        <w:gridCol w:w="3346"/>
        <w:gridCol w:w="643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Наименование органа местного самоуправления, </w:t>
            </w:r>
            <w:r>
              <w:rPr>
                <w:sz w:val="20"/>
              </w:rPr>
              <w:t xml:space="preserve">принявшего решение о проведении аукциона, </w:t>
            </w:r>
            <w:r>
              <w:rPr>
                <w:sz w:val="20"/>
              </w:rPr>
              <w:t xml:space="preserve">реквизиты указанного решения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</w:t>
            </w:r>
            <w:r>
              <w:rPr>
                <w:sz w:val="20"/>
                <w:szCs w:val="20"/>
              </w:rPr>
              <w:t xml:space="preserve">страция города Перми, распоряжение начальника департамента земельных отношений администрации города Перми от 26 июня 2024 г.                       № 21-01-03-5960 «О проведении аукциона по продаже земельного участка в Орджоникидзевском районе города Перми»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Предмет аукциона по продаже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Российская Федерация, край Пермский, г.о. Пермский,   г. Пермь,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ул.</w:t>
            </w:r>
            <w:r>
              <w:rPr>
                <w:sz w:val="20"/>
              </w:rPr>
              <w:t xml:space="preserve"> Новогодняя, зу 3а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площадь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553 кв. 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59:01:3812825:165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права на земельный участок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разрешенное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ограничение прав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0"/>
                <w:szCs w:val="20"/>
              </w:rPr>
              <w:t xml:space="preserve">29.07.2024г. № КУВИ-001/2024-193490862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19.01.2024 № РФ-59-2-03-0-00-2024-0071-0 (далее – ГПЗУ).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  <w:t xml:space="preserve">Согласно письму администрации Орджоникидзевского района города Перми от 09.01.2024 № 059-37-01-32/3-10, акту обследования от 25.12.2023 № 315 состояние рельефа Участка – уклон. Доступ (подход/подъезд) не ограничен. </w:t>
            </w:r>
            <w:r>
              <w:rPr>
                <w:sz w:val="20"/>
                <w:szCs w:val="20"/>
                <w:highlight w:val="none"/>
              </w:rPr>
              <w:t xml:space="preserve">На Участке самовольно установлена часть </w:t>
            </w:r>
            <w:r>
              <w:rPr>
                <w:sz w:val="20"/>
                <w:szCs w:val="20"/>
                <w:highlight w:val="none"/>
              </w:rPr>
              <w:t xml:space="preserve">деревянного ограждения со стороны ул. Новогодняя.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Дополнительно сообщаем, что согласно п. 2.8 Положения о порядке выявления и демонтажа самовольно установленных и незаконно размещенных движимых объектов на территории города Перми, утвержденного решением Пер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ской городской Думы от 08.11.2005 №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Перми», демонтаж объектов, не демонтированных в добровольном порядке,</w:t>
            </w:r>
            <w:r>
              <w:rPr>
                <w:sz w:val="20"/>
                <w:szCs w:val="20"/>
                <w:highlight w:val="none"/>
              </w:rPr>
              <w:t xml:space="preserve"> осуществляется в соответствии с очередностью определяемой по дате включения объекта в реестр.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Близлежащие пожарные гидранты расположены по адресам: ул. 1-я Логовая, 1е, ул. Пархоменко, 8, ул. Пархоменко, 21, Еловский пер., 24, близлежащий пожарный водоем –</w:t>
            </w:r>
            <w:r>
              <w:rPr>
                <w:sz w:val="20"/>
                <w:szCs w:val="20"/>
                <w:highlight w:val="none"/>
              </w:rPr>
              <w:t xml:space="preserve"> по ул. Новогодняя, 11.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случае выявления объектов некапитального типа победитель аукциона вправе осуществить демонтаж выявленных объектов за счет собственных средств и (или) с привлечением средств других лиц без отнесения соответствующих расходов на терри</w:t>
            </w:r>
            <w:r>
              <w:rPr>
                <w:sz w:val="20"/>
                <w:szCs w:val="20"/>
                <w:highlight w:val="none"/>
              </w:rPr>
              <w:t xml:space="preserve">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Согласно сведениям, содержащимся в ГПЗУ, ЕГРН и справке по градостроительным 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словиям от 29.07.2024 № 601356, Участок расположен в границах зон с особыми условиями использования территории: частично в Охранной зоне ВЛ 0,4 кВ от ТП4383, от ТП4384, от ТП4385, от ТП4386, КЛ 0,4 кВ от ТП4383, от ТП4385, от ТП4386 (электросетевой компле</w:t>
            </w:r>
            <w:r>
              <w:rPr>
                <w:sz w:val="20"/>
                <w:szCs w:val="20"/>
                <w:highlight w:val="none"/>
              </w:rPr>
              <w:t xml:space="preserve">кс «Подстанция 110/6кВ «Северная» с линиями электропередачи, трансформаторными подстанциями и распределительными пунктами) (реестровый номер границы 59.01.2.179, площадь пересечения 69 кв. м).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Проектирование и строительство вести в соответствии с постановле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полностью в Приаэродромной территори</w:t>
            </w:r>
            <w:r>
              <w:rPr>
                <w:sz w:val="20"/>
                <w:szCs w:val="20"/>
                <w:highlight w:val="none"/>
              </w:rPr>
              <w:t xml:space="preserve">и аэродрома аэропорта Большое Савино, реестровый номер границы 59:32-6.553.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</w:t>
            </w:r>
            <w:r>
              <w:rPr>
                <w:sz w:val="20"/>
                <w:szCs w:val="20"/>
                <w:highlight w:val="none"/>
              </w:rPr>
              <w:t xml:space="preserve">йни и другие объекты, способствующие привлечению и массовому скоплению птиц».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огласно письму управления по экологии и природопользованию администрации города Перми от 17.01.2024 № 059-33-01-10/3-27 на Участке произрастает 2 дерева породы «клен».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Средняя стоимость в ценах 2024 года одного дерева лиственной породы от 17 тыс. руб., а </w:t>
            </w:r>
            <w:r>
              <w:rPr>
                <w:sz w:val="20"/>
                <w:szCs w:val="20"/>
                <w:highlight w:val="none"/>
              </w:rPr>
              <w:t xml:space="preserve">хвойной – от 20 тыс. руб.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Победителю аукциона необходимо соблюдать следующие условия строительства, а также проектом предусмотреть: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Нанесение существующих деревьев на стройгенплане;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Снос деревьев, попадающих в пятно застройки, вести на основании акта </w:t>
            </w:r>
            <w:r>
              <w:rPr>
                <w:sz w:val="20"/>
                <w:szCs w:val="20"/>
                <w:highlight w:val="none"/>
              </w:rPr>
              <w:t xml:space="preserve">комиссионного обследования земельных насаждений в соответствии решением Пермской городской Думы от 15.12.2020 No 277. Указанный акт должен быть составлен на основании проектной документации. Остальные деревья сохранить;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Восстановление зеленых насаждений </w:t>
            </w:r>
            <w:r>
              <w:rPr>
                <w:sz w:val="20"/>
                <w:szCs w:val="20"/>
                <w:highlight w:val="none"/>
              </w:rPr>
              <w:t xml:space="preserve">вести в соответствии с решением Пермской городской Думы от 15.12.2020 No 277;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 Сбор и отвод ливневых вод с использованием вариантов решений в зависимости от: - наличия централизованной системы ливневой канализации; - площади водосбора с учетом транзитных 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од с прилегающей территории; - угла наклона рельефа, включающий прилегающие территории; - применения иных решений равномерного отвода поверхностного стока с запрашиваемой территории на прилегающей территории; - применения иных решений равномерного отвода п</w:t>
            </w:r>
            <w:r>
              <w:rPr>
                <w:sz w:val="20"/>
                <w:szCs w:val="20"/>
                <w:highlight w:val="none"/>
              </w:rPr>
              <w:t xml:space="preserve">оверхностного стока с запрашиваемой территории на прилегающие территории;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Определение видов образующих отходов и мест их размещения на период эксплуатации;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6. Конкретные мероприятия по охране окружающей среды на период строительства, включая: - установку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временного защитного ограждения строительной площадки; - ограждение существующих зеленых насаждений, не попадающих под пятно застройки; - прокладку коммуникаций осуществлять на расстоянии не менее 2 м. от ствола дерева, чтобы не повредить корневую систему;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- не использовать приствольные круги существующих деревьев (диаметром 1 м) под складирование материалов и установки временных сооружений; - определение видов и объемов образующихся отходов и мест их размещения; - систематический вывоз отходов; - недопущени</w:t>
            </w:r>
            <w:r>
              <w:rPr>
                <w:sz w:val="20"/>
                <w:szCs w:val="20"/>
                <w:highlight w:val="none"/>
              </w:rPr>
              <w:t xml:space="preserve">е загрязнения атмосферы, почвы и подземных вод; - предотвращение выноса грязи автотранспортом, выезжающим со строительной площадки.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Департамент дорог и благоустройства администрации города Перми письмом от 16.01.2024 № 059-24-01-36/3-82 сообщает о возможно</w:t>
            </w:r>
            <w:r>
              <w:rPr>
                <w:sz w:val="20"/>
                <w:szCs w:val="20"/>
                <w:highlight w:val="none"/>
              </w:rPr>
              <w:t xml:space="preserve">сти присоединения Участка к автомобильной дороге по ул. Кизеловская. Данная дорога входит в Перечень дорог общего пользования местного значения, утвержденного постановлением администрации города Перми от 02.06.2009 № 298.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бюджетом города П</w:t>
            </w:r>
            <w:r>
              <w:rPr>
                <w:sz w:val="20"/>
                <w:szCs w:val="20"/>
                <w:highlight w:val="none"/>
              </w:rPr>
              <w:t xml:space="preserve">ерми 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Кроме того в целях присоединения Участка к улично- дорожной сети города Перми не</w:t>
            </w:r>
            <w:r>
              <w:rPr>
                <w:sz w:val="20"/>
                <w:szCs w:val="20"/>
                <w:highlight w:val="none"/>
              </w:rPr>
              <w:t xml:space="preserve">обходимо: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разработать и согласовать на рабочей группе по организации и безопасности дорожного движения (ул. Пермская, 2а, 212-47-51) проект организации дорожного движения;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получить согласие владельца автомобильной дороги (порядок выдачи согласия владельца а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</w:t>
            </w:r>
            <w:r>
              <w:rPr>
                <w:sz w:val="20"/>
                <w:szCs w:val="20"/>
                <w:highlight w:val="none"/>
              </w:rPr>
              <w:t xml:space="preserve">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No 45).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Дополнительно направлен</w:t>
            </w:r>
            <w:r>
              <w:rPr>
                <w:sz w:val="20"/>
                <w:szCs w:val="20"/>
                <w:highlight w:val="none"/>
              </w:rPr>
              <w:t xml:space="preserve">а информация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No 277: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поверхностный водоотвод решить прое</w:t>
            </w:r>
            <w:r>
              <w:rPr>
                <w:sz w:val="20"/>
                <w:szCs w:val="20"/>
                <w:highlight w:val="none"/>
              </w:rPr>
              <w:t xml:space="preserve">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предусмотреть электроосвещение территории объекта;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стоянку временного транспорта разместить в границах отведенного под ст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оительство земельного участка вне территории общего пользования; предусмотреть устройство подъезда к Участку или ликвидацию разрушений, повреждений дорожного покрытия существующих проездов от границ Участка до существующей улично-дорожной сети, а также нар</w:t>
            </w:r>
            <w:r>
              <w:rPr>
                <w:sz w:val="20"/>
                <w:szCs w:val="20"/>
                <w:highlight w:val="none"/>
              </w:rPr>
              <w:t xml:space="preserve">ужное освещение подъездов.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соответствии с письмом департамента общественной безопасности администрации города Перми от 22.12.2023 № 059-10-01-27/3-2090: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строительство пожарного водоема на указанной территории не запланировано;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ближайшее подразделение пож</w:t>
            </w:r>
            <w:r>
              <w:rPr>
                <w:sz w:val="20"/>
                <w:szCs w:val="20"/>
                <w:highlight w:val="none"/>
              </w:rPr>
              <w:t xml:space="preserve">арной охраны расположено по адресу: ул. Волховская, 37 (ПСЧ-7 10-ПСО);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объект общественной безопасности, отнесенный к объектам полиции (участковые пункты полиции), отсутствуют.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Ближайший участковый пункт расположен по адресу: город Пермь, переулок Талицкий,</w:t>
            </w:r>
            <w:r>
              <w:rPr>
                <w:sz w:val="20"/>
                <w:szCs w:val="20"/>
                <w:highlight w:val="none"/>
              </w:rPr>
              <w:t xml:space="preserve"> д. 8 (микрорайон Кислотные Дачи, Орджоникидзевский район).  </w:t>
            </w:r>
            <w:r>
              <w:rPr>
                <w:sz w:val="20"/>
                <w:szCs w:val="20"/>
                <w:highlight w:val="none"/>
              </w:rPr>
              <w:t xml:space="preserve">В настоящее время в указанном микрорайоне строительство (приобретение) участковых пунктов полиции не планируется; помещения для аварийно-спасательных формирований на указанной территории отсутствую</w:t>
            </w:r>
            <w:r>
              <w:rPr>
                <w:sz w:val="20"/>
                <w:szCs w:val="20"/>
                <w:highlight w:val="none"/>
              </w:rPr>
              <w:t xml:space="preserve">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В настоящее время потребность в обеспечении служебными помещениями для аварийно-спасательных формирований в указанном микрорайоне отсутствует; на указанной территории имеется следующий источник противопожарного водоснабжения: (пожарный водоем), расположе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ный по улице Новогодняя, 11 – в радиусе 200 метров; в соответствии с информацией, предоставленной Министерством территориальной безопасности Пермского края, Участок попадает в зону возможного химического заражения в особый период; территория находится в зо</w:t>
            </w:r>
            <w:r>
              <w:rPr>
                <w:sz w:val="20"/>
                <w:szCs w:val="20"/>
                <w:highlight w:val="none"/>
              </w:rPr>
              <w:t xml:space="preserve">не действия региональной автоматизированной системы централизованного оповещения населения города Перми, установленной по ул. 1-й Еловский переулок, д. 22 – 600 метров.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 размещении объектов на вышеуказанной территории необходимо соблюдать нормы и требова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 планировочн</w:t>
            </w:r>
            <w:r>
              <w:rPr>
                <w:sz w:val="20"/>
                <w:szCs w:val="20"/>
                <w:highlight w:val="none"/>
              </w:rPr>
              <w:t xml:space="preserve">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Департамент экономики и промышленной политики администрации города Перми письмом от 27.12.2023 № 059-13-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1-04-2811 сообщает, что места для установки и эксплуатации рекламных конструкций, включенные в схему размещения рекламных конструкций на территории города Перми, утвержденную решением Пермской городской Думы от 23.08.2016 № 171, и места размещения НТО, вк</w:t>
            </w:r>
            <w:r>
              <w:rPr>
                <w:sz w:val="20"/>
                <w:szCs w:val="20"/>
                <w:highlight w:val="none"/>
              </w:rPr>
              <w:t xml:space="preserve">люченные в схему размещения НТО на территории города Перми, утвержденную постановлением администрации города Перми от 02.08.2018 № 521, в границах Участка отсутствуют.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Согласно письму департамента имущественных отношений администрации города Перми от 22.12</w:t>
            </w:r>
            <w:r>
              <w:rPr>
                <w:sz w:val="20"/>
                <w:szCs w:val="20"/>
                <w:highlight w:val="none"/>
              </w:rPr>
              <w:t xml:space="preserve">.2023 № 059-19-01-35/3-2305 Участок и объекты недвижимого имущества в реестре муниципального имущества города Перми не учитываются.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Государственная инспекция по охране объектов культурного наследия Пермского края письмом от 25.12.2023 № Исх55-01-17.2-646 </w:t>
            </w:r>
            <w:r>
              <w:rPr>
                <w:sz w:val="20"/>
                <w:szCs w:val="20"/>
                <w:highlight w:val="none"/>
              </w:rPr>
              <w:t xml:space="preserve">сообщает следующее.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В границах Участка отсутствуют: -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Федерации; - выявленные объекты культурного на</w:t>
            </w:r>
            <w:r>
              <w:rPr>
                <w:sz w:val="20"/>
                <w:szCs w:val="20"/>
                <w:highlight w:val="none"/>
              </w:rPr>
              <w:t xml:space="preserve">следия; - объекты, обладающие признаками объектов культурного наследия; - территории объектов культурного наследия; - зоны охраны объектов культурного наследия; - защитные зоны объектов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. Участок не связан с земельным участком в грани</w:t>
            </w:r>
            <w:r>
              <w:rPr>
                <w:sz w:val="20"/>
                <w:szCs w:val="20"/>
                <w:highlight w:val="none"/>
              </w:rPr>
              <w:t xml:space="preserve">цах территории объекта культурного наследия;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Сведения о режимах использования (ограничения/обременения)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 Данные о проведенных историко-культурных исследованиях в границах Участка отсутствуют;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Необходимость проведения историко-ку</w:t>
            </w:r>
            <w:r>
              <w:rPr>
                <w:sz w:val="20"/>
                <w:szCs w:val="20"/>
                <w:highlight w:val="none"/>
              </w:rPr>
              <w:t xml:space="preserve">льтурной экспертизы в границах Участка отсутствует.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t xml:space="preserve">П</w:t>
            </w:r>
            <w:r>
              <w:rPr>
                <w:sz w:val="20"/>
                <w:szCs w:val="22"/>
              </w:rPr>
              <w:t xml:space="preserve">роектирование и строительство необходимо вести размерах планируемого в соответствии с пунктом 4.5 СП 55.13330.2016 Свода к строительству Правил. Дома жилые одноквартирные. СНиП 31-02-2001, капитального объекта утвержденным и введенным в действие Приказом М</w:t>
            </w:r>
            <w:r>
              <w:rPr>
                <w:sz w:val="20"/>
                <w:szCs w:val="22"/>
              </w:rPr>
              <w:t xml:space="preserve">и</w:t>
            </w:r>
            <w:r>
              <w:rPr>
                <w:sz w:val="20"/>
                <w:szCs w:val="22"/>
              </w:rPr>
              <w:t xml:space="preserve">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</w:t>
            </w:r>
            <w:r>
              <w:rPr>
                <w:sz w:val="20"/>
                <w:szCs w:val="22"/>
              </w:rPr>
              <w:t xml:space="preserve">ереднюю, кухню (в том числе кухню-столовую и (или) кухню-нишу), ванные комнаты и (или) душевые, туалет (уборную) или совмещенный санузел, переднюю.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6.1 СП 55.13330.2016 площади помещений строящихся и реконструируемых жилых домов должны быть </w:t>
            </w:r>
            <w:r>
              <w:rPr>
                <w:sz w:val="20"/>
                <w:szCs w:val="22"/>
              </w:rPr>
              <w:t xml:space="preserve">н</w:t>
            </w:r>
            <w:r>
              <w:rPr>
                <w:sz w:val="20"/>
                <w:szCs w:val="22"/>
              </w:rPr>
              <w:t xml:space="preserve">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в кухне-столовой - 6 м2. В домах с одной комнатой допускается проектировать</w:t>
            </w:r>
            <w:r>
              <w:rPr>
                <w:sz w:val="20"/>
                <w:szCs w:val="22"/>
              </w:rPr>
              <w:t xml:space="preserve"> кухни или кухни-ниши площадью не менее 5 м2. 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пункту 6.2 СП </w:t>
            </w:r>
            <w:r>
              <w:rPr>
                <w:sz w:val="20"/>
                <w:szCs w:val="22"/>
              </w:rPr>
              <w:t xml:space="preserve">5</w:t>
            </w:r>
            <w:r>
              <w:rPr>
                <w:sz w:val="20"/>
                <w:szCs w:val="22"/>
              </w:rPr>
              <w:t xml:space="preserve">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внутридомовых коридоров, холлов, передних, антресолей должна составлять не менее 2,1 м, а высота пути эвакуации - не менее 2,2 м. В жилых комнатах и кухнях, расположенных в этажах с наклонными ограждающими конструкциями или в мансардном этаже, допускается </w:t>
            </w:r>
            <w:r>
              <w:rPr>
                <w:sz w:val="20"/>
                <w:szCs w:val="22"/>
              </w:rPr>
              <w:t xml:space="preserve">уменьшение высоты помещений (от пола до потолка), относительно нормируемой на площади, не превышающей 50%.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Согласно информации, содержащейся в градостроительном плане земельного участка от 19.01.2024 № РФ-59-2-03-0-00-2024-0071-0 (далее – ГПЗУ), предельная</w:t>
            </w:r>
            <w:r>
              <w:rPr>
                <w:sz w:val="20"/>
                <w:szCs w:val="22"/>
              </w:rPr>
              <w:t xml:space="preserve"> высота зданий, строений не более 10,5 м (документация по планировке территории, утвержденная постановлением администрации города Перми от 23.12.2015 № 1102).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Минимальный отступ от границ земельного участка до места допустимого размещения зданий, строений,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</w:t>
            </w:r>
            <w:r>
              <w:rPr>
                <w:sz w:val="20"/>
                <w:szCs w:val="22"/>
              </w:rPr>
              <w:t xml:space="preserve">илой застройке) – 3 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</w:t>
            </w:r>
            <w:r>
              <w:rPr>
                <w:sz w:val="20"/>
                <w:szCs w:val="22"/>
              </w:rPr>
              <w:t xml:space="preserve">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Максимальный процент застройки в границах Участка – 30%.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 уведомлением о планируемом строительстве жил</w:t>
            </w:r>
            <w:r>
              <w:rPr>
                <w:sz w:val="20"/>
                <w:szCs w:val="22"/>
              </w:rPr>
              <w:t xml:space="preserve">ого дома рекомендуется обратиться в уполномоченный орган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4"/>
              </w:numPr>
              <w:ind w:left="529" w:hanging="284"/>
              <w:rPr>
                <w:sz w:val="20"/>
              </w:rPr>
            </w:pPr>
            <w:r>
              <w:rPr>
                <w:sz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torgi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gov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,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  <w:szCs w:val="20"/>
              </w:rPr>
              <w:t xml:space="preserve">www.gorodperm.ru.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Согласно письму Филиала ПАО «Россети Урал» - «Пермэнерго» от 25.12.2023 № ПЭ/ПГЭС/22/639 о наличии технической возможности технологического присоединения энергопринимающего устройства объекта с предполагаемым электоропотреблением 15 кВт.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 В соответствии с «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</w:t>
            </w:r>
            <w:r>
              <w:rPr>
                <w:sz w:val="20"/>
                <w:szCs w:val="20"/>
              </w:rPr>
              <w:t xml:space="preserve">ским сетям», утвержденных постановлением Правительства Российской Федерации от 27.12.2004 No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Плата за технологическое присоед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No 121-тп (в последней редакции).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 Подать заявку на т</w:t>
            </w:r>
            <w:r>
              <w:rPr>
                <w:sz w:val="20"/>
                <w:szCs w:val="20"/>
              </w:rPr>
              <w:t xml:space="preserve">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Согласно письму АО «Газпром газораспределение Пермь» от 29.12.2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23 № ПФ-8779 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 Постановлением Правительства Российской Федерации о</w:t>
            </w:r>
            <w:r>
              <w:rPr>
                <w:sz w:val="20"/>
                <w:szCs w:val="20"/>
              </w:rPr>
              <w:t xml:space="preserve">т 13.09.2021 № 1547 утверждены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 (далее – Правила подключения).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соответствии с п. 7 Правил подключения для з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ключения договора о подключении (технологическом присоединении) необходимо направить запрос по типовой форме согласно приложению No 1 к Правилам подключения, с приложением необходимых документов и сведений, указанных в пунктах 11 и 16 Правил подключения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Петропавловская, 43, через личный кабинет на сайте ugaz.ru, на портал</w:t>
            </w:r>
            <w:r>
              <w:rPr>
                <w:sz w:val="20"/>
                <w:szCs w:val="20"/>
              </w:rPr>
              <w:t xml:space="preserve">е единого оператора газификации: https://connectgas.ru.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соответствии с письмом ООО «НОВОГОР-Прикамье» от 10.01.2024 № 110-0083 о наличии технической возможности подключения объекта капитального строительства с планируемой величиной подключаемой нагрузки</w:t>
            </w:r>
            <w:r>
              <w:rPr>
                <w:sz w:val="20"/>
                <w:szCs w:val="20"/>
              </w:rPr>
              <w:t xml:space="preserve"> по водоснабжению и водоотведению – 1,0 м3/сут. к централизованным системам водоснабжения и водоотведения сообщается следующее.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районе Участка отсутствуют централизованные сети водопровода и канализации, эксплуатируемые ООО «НОВОГОР-Прикамье».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Альтернатив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ым методом снабжения водой может быть скважина, отвод канализационных стоков возможен на локальные очистные сооружения, либо в выгребную яму с последующим вывозом стоков спец. машинами, при этом состав стоков должен соответствовать всем нормативным требова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иям Российской Федерации. Размещение объекта необходимо предусматривать строго за пределами охранных зон сетей водопровода и канализации в соответствии норм СП, в том числе в соответствии с таблицей 12.5 СП 42.13330.2016 «Градостроительство, планировка и з</w:t>
            </w:r>
            <w:r>
              <w:rPr>
                <w:sz w:val="20"/>
                <w:szCs w:val="20"/>
              </w:rPr>
              <w:t xml:space="preserve">астройка городских и сельских поселений».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</w:t>
            </w:r>
            <w:r>
              <w:rPr>
                <w:sz w:val="20"/>
                <w:szCs w:val="20"/>
              </w:rPr>
              <w:t xml:space="preserve">изационных локально, предлагаем вам обратиться в организации, регулирующие недропользование.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соответствии с письмом Филиала «Пермский ПАО «Т Плюс» от 29.12.2023 № 51030-01-09539 техническая возможность подключения объекта капитального строительства, план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руемого к строительству на Участке, к системе теплоснабжения имеется. Возможные точки присоединения на существующих тепловых сетях: К-18 на М-72 2 Ду100 мм. Источник теплоснабжения: ВК по адресу: г. Пермь, ул. Чапаева, 6. Размер подключаемой тепловой нагру</w:t>
            </w:r>
            <w:r>
              <w:rPr>
                <w:sz w:val="20"/>
                <w:szCs w:val="20"/>
              </w:rPr>
              <w:t xml:space="preserve">зки – 0,2 Гкал/ч.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Согласно письму от 21.03.2024 № 01/05/38424/24 в границах Участка сети ПАО «Ростелеком» отсутствуют. Для подключения (технологического присоединения) к сетям электросвязи ПАО «Ростелеком» необходим запрос правообладателя земельного участк</w:t>
            </w:r>
            <w:r>
              <w:rPr>
                <w:sz w:val="20"/>
                <w:szCs w:val="20"/>
              </w:rPr>
              <w:t xml:space="preserve">а на выдачу технических условий подключения или заявка о заключении договора о подключении в порядке, определенном действующим законодательством по адресу: г. Пермь, ул. Крупской, 2, тел.:(342) 235-57-34 </w:t>
            </w:r>
            <w:r>
              <w:rPr>
                <w:sz w:val="20"/>
                <w:szCs w:val="20"/>
              </w:rPr>
              <w:t xml:space="preserve">или направить запрос на perm-mail@ural.rt.ru.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Срок действия технических условий составляет 3 года со дня выдачи. В случае, если в течении 1 года со дня выдачи технических условий заявителем не будет подана заявка о подключении, срок действия технических усл</w:t>
            </w:r>
            <w:r>
              <w:rPr>
                <w:sz w:val="20"/>
                <w:szCs w:val="20"/>
              </w:rPr>
              <w:t xml:space="preserve">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No 1196).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Согласно письму департамента жилищно-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оммунального хозяйства администрации города Перми от 22.12.2023 № 059-04-17/3-1271-ри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</w:t>
            </w:r>
            <w:r>
              <w:rPr>
                <w:sz w:val="20"/>
                <w:szCs w:val="20"/>
              </w:rPr>
              <w:t xml:space="preserve"> определена потребность в строительстве сетей водоснабжения и водоотведения в мкр. Чапаевский, реализация предусмотрена с 2024 года (мероприятия не обеспечены финансированием).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Начальная цена предмета аукциона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(рыночная стоимость земельного участка)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0"/>
                <w:szCs w:val="20"/>
              </w:rPr>
              <w:t xml:space="preserve">в течение 15 дней</w:t>
            </w:r>
            <w:r>
              <w:rPr>
                <w:sz w:val="20"/>
                <w:szCs w:val="20"/>
              </w:rPr>
              <w:t xml:space="preserve"> </w:t>
              <w:br/>
              <w:t xml:space="preserve">со дня размещения  протокола о результатах аукциона,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</w:pPr>
            <w:r>
              <w:rPr>
                <w:sz w:val="20"/>
                <w:szCs w:val="20"/>
              </w:rPr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0"/>
                <w:szCs w:val="20"/>
              </w:rPr>
              <w:t xml:space="preserve">перечислить денежные средства </w:t>
            </w:r>
            <w:r>
              <w:rPr>
                <w:sz w:val="20"/>
                <w:szCs w:val="20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«Шаг аукциона» (3%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18 165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Форма заявки на участие в аукционе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Размер задатка (50%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302 750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Проект договора купли-продажи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Проект договора купли-продажи земельного участка, приобре</w:t>
            </w:r>
            <w:r>
              <w:rPr>
                <w:sz w:val="20"/>
                <w:szCs w:val="20"/>
                <w:highlight w:val="none"/>
                <w:lang w:eastAsia="en-US"/>
              </w:rPr>
              <w:t xml:space="preserve">та</w:t>
            </w:r>
            <w:r>
              <w:rPr>
                <w:sz w:val="20"/>
                <w:szCs w:val="20"/>
                <w:lang w:eastAsia="en-US"/>
              </w:rPr>
              <w:t xml:space="preserve">емого на торгах в форме аукциона, утвержден постановлением администрации города Перми от 29.05.2015 № 322, является</w:t>
              <w:br/>
              <w:t xml:space="preserve">Приложением 4 к настоящему извещению и </w:t>
            </w:r>
            <w:r>
              <w:rPr>
                <w:sz w:val="20"/>
                <w:szCs w:val="20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 xml:space="preserve">Муниципальная собственность/ Торговая площадка</w:t>
              <w:br/>
              <w:t xml:space="preserve">Вид торгов Продажа и аренда земельных участков)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6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12"/>
        <w:contextualSpacing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contextualSpacing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bookmarkStart w:id="1" w:name="_GoBack"/>
      <w:r/>
      <w:bookmarkEnd w:id="1"/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27.08.2024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24.09.2024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25.</w:t>
      </w:r>
      <w:r>
        <w:rPr>
          <w:rFonts w:eastAsia="Courier New"/>
          <w:b/>
          <w:lang w:bidi="ru-RU"/>
        </w:rPr>
        <w:t xml:space="preserve">09.2024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 w:type="textWrapping" w:clear="all"/>
      </w:r>
      <w:r>
        <w:rPr>
          <w:rFonts w:eastAsia="Courier New"/>
          <w:b/>
          <w:lang w:bidi="ru-RU"/>
        </w:rPr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b/>
          <w:bCs/>
          <w:lang w:bidi="ru-RU"/>
        </w:rPr>
        <w:t xml:space="preserve">26.</w:t>
      </w:r>
      <w:r>
        <w:rPr>
          <w:rFonts w:eastAsia="Courier New"/>
          <w:b/>
          <w:lang w:bidi="ru-RU"/>
        </w:rPr>
        <w:t xml:space="preserve">09.2024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12"/>
        <w:jc w:val="both"/>
        <w:widowControl w:val="off"/>
      </w:pPr>
      <w:r/>
      <w:r/>
    </w:p>
    <w:p>
      <w:pPr>
        <w:pStyle w:val="812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812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812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812"/>
        <w:ind w:left="-567" w:firstLine="709"/>
        <w:jc w:val="both"/>
        <w:widowControl w:val="off"/>
      </w:pPr>
      <w:r/>
      <w:r/>
    </w:p>
    <w:p>
      <w:pPr>
        <w:pStyle w:val="81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18" w:tooltip="http://utp.sberbank-ast.ru/AP/Notice/653/Requisites" w:history="1">
        <w:r>
          <w:rPr>
            <w:rStyle w:val="895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27.08.2024 по 24.09.2024.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</w:t>
      </w:r>
      <w:r>
        <w:rPr>
          <w:lang w:bidi="ru-RU"/>
        </w:rPr>
        <w:t xml:space="preserve">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 xml:space="preserve">в аукционе участника.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установленные сроки формирует поручение Оператору: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- о</w:t>
      </w:r>
      <w:r>
        <w:rPr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</w:t>
      </w:r>
      <w:r>
        <w:rPr>
          <w:bCs/>
          <w:lang w:bidi="ru-RU"/>
        </w:rPr>
        <w:t xml:space="preserve">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20, 25 ст. 39.12 Земельного Кодекса Российской Федерации, засчитываются в оплату приобретаемого земельного участка или в </w:t>
      </w:r>
      <w:r>
        <w:rPr>
          <w:bCs/>
          <w:lang w:bidi="ru-RU"/>
        </w:rPr>
        <w:t xml:space="preserve">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jc w:val="center"/>
        <w:widowControl w:val="off"/>
        <w:rPr>
          <w:rFonts w:eastAsia="Courier New"/>
          <w:lang w:bidi="ru-RU"/>
        </w:rPr>
      </w:pPr>
      <w:r>
        <w:rPr>
          <w:b/>
        </w:rPr>
        <w:t xml:space="preserve">Организатор аукциона вправе: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о проведении аукциона. </w:t>
      </w:r>
      <w:r/>
    </w:p>
    <w:p>
      <w:pPr>
        <w:pStyle w:val="812"/>
        <w:ind w:left="-567" w:firstLine="567"/>
        <w:jc w:val="both"/>
        <w:widowControl w:val="off"/>
      </w:pPr>
      <w:r>
        <w:t xml:space="preserve">Принять решение об отказе в проведении аукциона в случае выявления обстоятел</w:t>
      </w:r>
      <w:r>
        <w:t xml:space="preserve">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 xml:space="preserve">и на электронной площадке в течение трех дней со дня принятия данного решения.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случае отмены аукциона организатором аукциона (в т. ч. одного или нескольких лотов) </w:t>
      </w:r>
      <w:r>
        <w:br w:type="textWrapping" w:clear="all"/>
      </w:r>
      <w:r>
        <w:t xml:space="preserve"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/>
    </w:p>
    <w:p>
      <w:pPr>
        <w:pStyle w:val="812"/>
        <w:jc w:val="both"/>
        <w:widowControl w:val="off"/>
      </w:pPr>
      <w:r/>
      <w:r/>
    </w:p>
    <w:p>
      <w:pPr>
        <w:pStyle w:val="81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 xml:space="preserve">Порядок регистрации на электронной площадке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27.08.2024 по 24.09.2024 с 9.00 до 18.00 по местному времени (7:00 – 16:00 МСК).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40"/>
        <w:jc w:val="center"/>
        <w:rPr>
          <w:bCs/>
          <w:lang w:bidi="ru-RU"/>
        </w:rPr>
      </w:pPr>
      <w:r>
        <w:rPr>
          <w:b/>
          <w:color w:val="000000"/>
        </w:rPr>
        <w:t xml:space="preserve">Разъяснение положений извещения о проведении аукциона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907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907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</w:r>
      <w:r>
        <w:rPr>
          <w:b/>
          <w:bCs/>
        </w:rPr>
        <w:t xml:space="preserve">по её заполнению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rFonts w:eastAsia="Courier New"/>
          <w:lang w:bidi="ru-RU"/>
        </w:rPr>
        <w:outlineLvl w:val="0"/>
      </w:pPr>
      <w: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br w:type="textWrapping" w:clear="all"/>
      </w:r>
      <w:r>
        <w:t xml:space="preserve">о проведении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о проведении аукциона срок следующие документы: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  <w:t xml:space="preserve">2) копии документов, удостоверяющих личность заявителя (для граждан), всех страниц;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  <w:t xml:space="preserve">4) документы, подтверждающие внесение задатка.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firstLine="708"/>
        <w:jc w:val="center"/>
        <w:rPr>
          <w:b/>
        </w:rPr>
      </w:pPr>
      <w:r>
        <w:rPr>
          <w:b/>
        </w:rPr>
        <w:t xml:space="preserve">Инструкция по заполнению и подаче заявки, порядок приема заявки</w:t>
      </w:r>
      <w:r>
        <w:rPr>
          <w:b/>
        </w:rPr>
      </w:r>
      <w:r>
        <w:rPr>
          <w:b/>
        </w:rPr>
      </w:r>
    </w:p>
    <w:p>
      <w:pPr>
        <w:pStyle w:val="812"/>
        <w:ind w:firstLine="7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left="-567" w:firstLine="567"/>
        <w:jc w:val="both"/>
      </w:pPr>
      <w: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/>
    </w:p>
    <w:p>
      <w:pPr>
        <w:pStyle w:val="812"/>
        <w:ind w:left="-567" w:firstLine="567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/>
    </w:p>
    <w:p>
      <w:pPr>
        <w:pStyle w:val="812"/>
        <w:ind w:left="-567" w:firstLine="567"/>
        <w:jc w:val="both"/>
      </w:pPr>
      <w:r>
        <w:t xml:space="preserve">Подача заявки осуществляется заявителем, зарегистрированным в торговой секции, </w:t>
      </w:r>
      <w:r>
        <w:br w:type="textWrapping" w:clear="all"/>
      </w:r>
      <w: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/>
    </w:p>
    <w:p>
      <w:pPr>
        <w:pStyle w:val="812"/>
        <w:ind w:left="-567" w:firstLine="567"/>
        <w:jc w:val="both"/>
      </w:pPr>
      <w:r>
        <w:t xml:space="preserve">Заявитель вправе подать заявку в любое время с момента размещения извещения </w:t>
      </w:r>
      <w:r>
        <w:br w:type="textWrapping" w:clear="all"/>
      </w:r>
      <w:r>
        <w:t xml:space="preserve">о проведении аукциона до предусмотренных указанным извещением даты и времени окончания срока подачи заявок.</w:t>
      </w:r>
      <w:r/>
    </w:p>
    <w:p>
      <w:pPr>
        <w:pStyle w:val="812"/>
        <w:ind w:left="-567" w:firstLine="567"/>
        <w:jc w:val="both"/>
      </w:pPr>
      <w:r>
        <w:t xml:space="preserve">Один заявитель вправе подать только одну заявку на участие в аукционе в отношении каждого лота.</w:t>
      </w:r>
      <w:r/>
    </w:p>
    <w:p>
      <w:pPr>
        <w:pStyle w:val="812"/>
        <w:ind w:left="-567" w:firstLine="567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pStyle w:val="812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 w:type="textWrapping" w:clear="all"/>
      </w:r>
      <w:r>
        <w:t xml:space="preserve">в размере не менее чем размер задатка на участие в аукционе, предусмотренный извещением </w:t>
      </w:r>
      <w:r>
        <w:br w:type="textWrapping" w:clear="all"/>
      </w:r>
      <w:r>
        <w:t xml:space="preserve">о проведении аукциона.</w:t>
      </w:r>
      <w:r/>
    </w:p>
    <w:p>
      <w:pPr>
        <w:pStyle w:val="812"/>
        <w:ind w:left="-567" w:firstLine="567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pStyle w:val="812"/>
        <w:ind w:left="-567" w:firstLine="567"/>
        <w:jc w:val="both"/>
        <w:rPr>
          <w:bCs/>
        </w:rPr>
      </w:pPr>
      <w:r>
        <w:t xml:space="preserve">Заявка предоставляется организатору аукциона через Оператора.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 xml:space="preserve">в размере задатка;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 xml:space="preserve">в течение одн</w:t>
      </w:r>
      <w:r>
        <w:rPr>
          <w:bCs/>
        </w:rPr>
        <w:t xml:space="preserve">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Заявителям, признанным участниками аукциона, и зая</w:t>
      </w:r>
      <w:r>
        <w:rPr>
          <w:bCs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12"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Порядок и срок изменения, отзыва заявки на участие в аукционе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ourier New"/>
          <w:lang w:bidi="ru-RU"/>
        </w:rPr>
      </w:pPr>
      <w:r>
        <w:t xml:space="preserve">Заявитель имеет право отозвать принятую организатором аукциона заявку на участие </w:t>
      </w:r>
      <w:r>
        <w:br w:type="textWrapping" w:clear="all"/>
      </w:r>
      <w:r>
        <w:t xml:space="preserve">в аукционе до дня окончания срока приема заявок, путем направлен</w:t>
      </w:r>
      <w: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 xml:space="preserve">к участию в аукционе или об отказе в допуске к участию в аукционе.</w:t>
      </w:r>
      <w:r/>
    </w:p>
    <w:p>
      <w:pPr>
        <w:pStyle w:val="812"/>
        <w:jc w:val="both"/>
        <w:rPr>
          <w:sz w:val="20"/>
        </w:rPr>
      </w:pPr>
      <w:r>
        <w:t xml:space="preserve">Заявитель не допускается к участию в аукционе в следующих случаях:</w:t>
      </w:r>
      <w:r>
        <w:rPr>
          <w:sz w:val="20"/>
        </w:rPr>
      </w:r>
      <w:r>
        <w:rPr>
          <w:sz w:val="20"/>
        </w:rPr>
      </w:r>
    </w:p>
    <w:p>
      <w:pPr>
        <w:pStyle w:val="812"/>
        <w:ind w:left="-567" w:firstLine="567"/>
        <w:jc w:val="both"/>
        <w:widowControl w:val="off"/>
      </w:pPr>
      <w:r>
        <w:rPr>
          <w:sz w:val="20"/>
        </w:rPr>
        <w:t xml:space="preserve">1) </w:t>
      </w:r>
      <w:r>
        <w:t xml:space="preserve">непредставление необходимых для участия в аукционе документов или представление недостоверных сведений;</w:t>
      </w:r>
      <w:r/>
    </w:p>
    <w:p>
      <w:pPr>
        <w:pStyle w:val="812"/>
        <w:jc w:val="both"/>
        <w:widowControl w:val="off"/>
      </w:pPr>
      <w:r>
        <w:t xml:space="preserve">2) непоступление задатка на дату рассмотрения заявок на участие в аукционе;</w:t>
      </w:r>
      <w:r/>
    </w:p>
    <w:p>
      <w:pPr>
        <w:pStyle w:val="812"/>
        <w:ind w:left="-567" w:firstLine="567"/>
        <w:jc w:val="both"/>
        <w:widowControl w:val="off"/>
      </w:pPr>
      <w:r>
        <w:t xml:space="preserve">3) подача заяв</w:t>
      </w:r>
      <w: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/>
    </w:p>
    <w:p>
      <w:pPr>
        <w:pStyle w:val="812"/>
        <w:ind w:left="-567" w:firstLine="567"/>
        <w:jc w:val="both"/>
        <w:widowControl w:val="off"/>
      </w:pPr>
      <w:r>
        <w:t xml:space="preserve">4) наличие свед</w:t>
      </w:r>
      <w: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день при</w:t>
      </w:r>
      <w: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/>
    </w:p>
    <w:p>
      <w:pPr>
        <w:pStyle w:val="812"/>
        <w:ind w:left="-567" w:firstLine="567"/>
        <w:jc w:val="both"/>
        <w:widowControl w:val="off"/>
      </w:pPr>
      <w:r>
        <w:t xml:space="preserve">По результатам рассмотрения заявок и докуме</w:t>
      </w:r>
      <w:r>
        <w:t xml:space="preserve">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</w:t>
      </w:r>
      <w:r>
        <w:t xml:space="preserve">ния заявок на участие в аукционе подписывается организатором аукциона не позднее чем в течение одного дня со дня их рассмотрения </w:t>
        <w:br/>
        <w:t xml:space="preserve">и размещается на официальных сайтах и на электронной площадке не позднее чем на следующий день после дня подписания протокола.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Заявитель приобретает статус участника аукциона с момента подписания протокола </w:t>
      </w:r>
      <w:r>
        <w:br w:type="textWrapping" w:clear="all"/>
      </w:r>
      <w:r>
        <w:t xml:space="preserve">о признании претендентов участниками аукциона.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Не позднее следующего рабочего дня после дня подписания протокола о признании претен</w:t>
      </w:r>
      <w:r>
        <w:t xml:space="preserve">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  <w:r/>
    </w:p>
    <w:p>
      <w:pPr>
        <w:pStyle w:val="812"/>
        <w:ind w:left="-567" w:firstLine="567"/>
        <w:jc w:val="both"/>
        <w:spacing w:line="276" w:lineRule="auto"/>
        <w:widowControl w:val="off"/>
      </w:pPr>
      <w:r/>
      <w:r/>
    </w:p>
    <w:p>
      <w:pPr>
        <w:pStyle w:val="812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 xml:space="preserve">Порядок проведения аукциона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цене предмета аукциона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для подачи предложений о цене аукциона определяется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</w:t>
      </w:r>
      <w:r>
        <w:rPr>
          <w:rFonts w:eastAsia="Calibri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ниже начальной цены;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равно нулю;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br w:type="textWrapping" w:clear="all"/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</w:t>
      </w:r>
      <w:r>
        <w:rPr>
          <w:bCs/>
        </w:rPr>
        <w:t xml:space="preserve">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</w:t>
      </w:r>
      <w:r>
        <w:rPr>
          <w:bCs/>
        </w:rPr>
        <w:t xml:space="preserve">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</w:t>
      </w:r>
      <w:r>
        <w:rPr>
          <w:bCs/>
        </w:rPr>
        <w:t xml:space="preserve">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 xml:space="preserve">в государственной или муниципальной собственности, либо подписанный проект договора аренды такого участка.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догов</w:t>
      </w:r>
      <w:r>
        <w:rPr>
          <w:bCs/>
        </w:rPr>
        <w:t xml:space="preserve">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bCs/>
        </w:rPr>
      </w:r>
      <w:r>
        <w:rPr>
          <w:bCs/>
        </w:rPr>
      </w:r>
    </w:p>
    <w:p>
      <w:pPr>
        <w:pStyle w:val="812"/>
        <w:ind w:left="-567" w:firstLine="567"/>
        <w:jc w:val="both"/>
        <w:rPr>
          <w:bCs/>
        </w:rPr>
      </w:pPr>
      <w:r>
        <w:rPr>
          <w:bCs/>
        </w:rPr>
        <w:t xml:space="preserve">Проекты договоров являются частью извещения и представлены в Приложениях 2, 3, 4  </w:t>
      </w:r>
      <w:r>
        <w:rPr>
          <w:bCs/>
        </w:rPr>
        <w:br w:type="textWrapping" w:clear="all"/>
      </w:r>
      <w:r>
        <w:rPr>
          <w:bCs/>
        </w:rPr>
        <w:t xml:space="preserve">к настоящему извещению.</w:t>
        <w:tab/>
      </w:r>
      <w:r>
        <w:rPr>
          <w:bCs/>
        </w:rPr>
      </w:r>
      <w:r>
        <w:rPr>
          <w:bCs/>
        </w:rPr>
      </w:r>
    </w:p>
    <w:p>
      <w:pPr>
        <w:pStyle w:val="812"/>
        <w:ind w:left="-567" w:firstLine="567"/>
        <w:jc w:val="both"/>
        <w:rPr>
          <w:bCs/>
        </w:rPr>
      </w:pPr>
      <w:r>
        <w:rPr>
          <w:bCs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</w:t>
      </w:r>
      <w:r>
        <w:rPr>
          <w:bCs/>
        </w:rPr>
        <w:t xml:space="preserve">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rFonts w:eastAsia="Courier New"/>
          <w:lang w:bidi="ru-RU"/>
        </w:rPr>
        <w:outlineLvl w:val="0"/>
      </w:pPr>
      <w:r>
        <w:rPr>
          <w:bCs/>
        </w:rPr>
        <w:tab/>
        <w:t xml:space="preserve">В </w:t>
      </w:r>
      <w:r>
        <w:rPr>
          <w:bCs/>
        </w:rPr>
        <w:t xml:space="preserve">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</w:t>
      </w:r>
      <w:r>
        <w:rPr>
          <w:bCs/>
        </w:rPr>
        <w:t xml:space="preserve">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rFonts w:eastAsia="Courier New"/>
          <w:lang w:bidi="ru-RU"/>
        </w:rPr>
        <w:outlineLvl w:val="0"/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</w:t>
      </w:r>
      <w:r>
        <w:rPr>
          <w:rFonts w:eastAsia="Courier New"/>
          <w:lang w:bidi="ru-RU"/>
        </w:rPr>
        <w:t xml:space="preserve">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 xml:space="preserve"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Verdana">
    <w:panose1 w:val="020B0606030504020204"/>
  </w:font>
  <w:font w:name="Tahoma">
    <w:panose1 w:val="020B060603050402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813">
    <w:name w:val="Heading 1"/>
    <w:basedOn w:val="812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814">
    <w:name w:val="Heading 2"/>
    <w:basedOn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5">
    <w:name w:val="Heading 3"/>
    <w:basedOn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18">
    <w:name w:val="Heading 6"/>
    <w:basedOn w:val="81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1 Char"/>
    <w:basedOn w:val="839"/>
    <w:uiPriority w:val="9"/>
    <w:qFormat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839"/>
    <w:uiPriority w:val="9"/>
    <w:qFormat/>
    <w:rPr>
      <w:rFonts w:ascii="Arial" w:hAnsi="Arial" w:eastAsia="Arial" w:cs="Arial"/>
      <w:sz w:val="34"/>
    </w:rPr>
  </w:style>
  <w:style w:type="character" w:styleId="824">
    <w:name w:val="Heading 3 Char"/>
    <w:basedOn w:val="839"/>
    <w:uiPriority w:val="9"/>
    <w:qFormat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83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83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83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8">
    <w:name w:val="Heading 7 Char"/>
    <w:basedOn w:val="83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8 Char"/>
    <w:basedOn w:val="83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0">
    <w:name w:val="Heading 9 Char"/>
    <w:basedOn w:val="83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1">
    <w:name w:val="Title Char"/>
    <w:basedOn w:val="839"/>
    <w:uiPriority w:val="10"/>
    <w:qFormat/>
    <w:rPr>
      <w:sz w:val="48"/>
      <w:szCs w:val="48"/>
    </w:rPr>
  </w:style>
  <w:style w:type="character" w:styleId="832">
    <w:name w:val="Subtitle Char"/>
    <w:basedOn w:val="839"/>
    <w:uiPriority w:val="11"/>
    <w:qFormat/>
    <w:rPr>
      <w:sz w:val="24"/>
      <w:szCs w:val="24"/>
    </w:rPr>
  </w:style>
  <w:style w:type="character" w:styleId="833">
    <w:name w:val="Quote Char"/>
    <w:uiPriority w:val="29"/>
    <w:qFormat/>
    <w:rPr>
      <w:i/>
    </w:rPr>
  </w:style>
  <w:style w:type="character" w:styleId="834">
    <w:name w:val="Intense Quote Char"/>
    <w:uiPriority w:val="30"/>
    <w:qFormat/>
    <w:rPr>
      <w:i/>
    </w:rPr>
  </w:style>
  <w:style w:type="character" w:styleId="835">
    <w:name w:val="Header Char"/>
    <w:basedOn w:val="839"/>
    <w:uiPriority w:val="99"/>
    <w:qFormat/>
  </w:style>
  <w:style w:type="character" w:styleId="836">
    <w:name w:val="Caption Char"/>
    <w:uiPriority w:val="99"/>
    <w:qFormat/>
  </w:style>
  <w:style w:type="character" w:styleId="837">
    <w:name w:val="Footnote Text Char"/>
    <w:uiPriority w:val="99"/>
    <w:qFormat/>
    <w:rPr>
      <w:sz w:val="18"/>
    </w:rPr>
  </w:style>
  <w:style w:type="character" w:styleId="838">
    <w:name w:val="Endnote Text Char"/>
    <w:uiPriority w:val="99"/>
    <w:qFormat/>
    <w:rPr>
      <w:sz w:val="20"/>
    </w:rPr>
  </w:style>
  <w:style w:type="character" w:styleId="839" w:default="1">
    <w:name w:val="Default Paragraph Font"/>
    <w:uiPriority w:val="1"/>
    <w:semiHidden/>
    <w:unhideWhenUsed/>
    <w:qFormat/>
  </w:style>
  <w:style w:type="character" w:styleId="84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84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84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4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5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9" w:customStyle="1">
    <w:name w:val="Заголовок Знак1"/>
    <w:uiPriority w:val="10"/>
    <w:qFormat/>
    <w:rPr>
      <w:sz w:val="48"/>
      <w:szCs w:val="48"/>
    </w:rPr>
  </w:style>
  <w:style w:type="character" w:styleId="850" w:customStyle="1">
    <w:name w:val="Подзаголовок Знак"/>
    <w:uiPriority w:val="11"/>
    <w:qFormat/>
    <w:rPr>
      <w:sz w:val="24"/>
      <w:szCs w:val="24"/>
    </w:rPr>
  </w:style>
  <w:style w:type="character" w:styleId="851" w:customStyle="1">
    <w:name w:val="Цитата 2 Знак"/>
    <w:uiPriority w:val="29"/>
    <w:qFormat/>
    <w:rPr>
      <w:i/>
    </w:rPr>
  </w:style>
  <w:style w:type="character" w:styleId="852" w:customStyle="1">
    <w:name w:val="Выделенная цитата Знак"/>
    <w:uiPriority w:val="30"/>
    <w:qFormat/>
    <w:rPr>
      <w:i/>
    </w:rPr>
  </w:style>
  <w:style w:type="character" w:styleId="853" w:customStyle="1">
    <w:name w:val="Верхний колонтитул Знак1"/>
    <w:uiPriority w:val="99"/>
    <w:qFormat/>
  </w:style>
  <w:style w:type="character" w:styleId="854" w:customStyle="1">
    <w:name w:val="Footer Char"/>
    <w:uiPriority w:val="99"/>
    <w:qFormat/>
  </w:style>
  <w:style w:type="character" w:styleId="855" w:customStyle="1">
    <w:name w:val="Нижний колонтитул Знак1"/>
    <w:uiPriority w:val="99"/>
    <w:qFormat/>
  </w:style>
  <w:style w:type="character" w:styleId="856" w:customStyle="1">
    <w:name w:val="Текст сноски Знак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 w:customStyle="1">
    <w:name w:val="Текст концевой сноски Знак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 w:customStyle="1">
    <w:name w:val="WW8Num2z0"/>
    <w:qFormat/>
    <w:rPr>
      <w:rFonts w:ascii="Symbol" w:hAnsi="Symbol" w:cs="Symbol"/>
    </w:rPr>
  </w:style>
  <w:style w:type="character" w:styleId="863" w:customStyle="1">
    <w:name w:val="WW8Num3z0"/>
    <w:qFormat/>
  </w:style>
  <w:style w:type="character" w:styleId="864" w:customStyle="1">
    <w:name w:val="WW8Num4z0"/>
    <w:qFormat/>
  </w:style>
  <w:style w:type="character" w:styleId="865" w:customStyle="1">
    <w:name w:val="WW8Num5z0"/>
    <w:qFormat/>
    <w:rPr>
      <w:sz w:val="16"/>
      <w:szCs w:val="16"/>
    </w:rPr>
  </w:style>
  <w:style w:type="character" w:styleId="866" w:customStyle="1">
    <w:name w:val="WW8Num6z0"/>
    <w:qFormat/>
  </w:style>
  <w:style w:type="character" w:styleId="867" w:customStyle="1">
    <w:name w:val="WW8Num7z0"/>
    <w:qFormat/>
  </w:style>
  <w:style w:type="character" w:styleId="868" w:customStyle="1">
    <w:name w:val="WW8Num8z0"/>
    <w:qFormat/>
  </w:style>
  <w:style w:type="character" w:styleId="869" w:customStyle="1">
    <w:name w:val="WW8Num9z0"/>
    <w:qFormat/>
  </w:style>
  <w:style w:type="character" w:styleId="870" w:customStyle="1">
    <w:name w:val="WW8Num10z0"/>
    <w:qFormat/>
  </w:style>
  <w:style w:type="character" w:styleId="871" w:customStyle="1">
    <w:name w:val="WW8Num11z0"/>
    <w:qFormat/>
  </w:style>
  <w:style w:type="character" w:styleId="872" w:customStyle="1">
    <w:name w:val="WW8Num12z0"/>
    <w:qFormat/>
  </w:style>
  <w:style w:type="character" w:styleId="873" w:customStyle="1">
    <w:name w:val="WW8Num13z0"/>
    <w:qFormat/>
  </w:style>
  <w:style w:type="character" w:styleId="874" w:customStyle="1">
    <w:name w:val="WW8Num14z0"/>
    <w:qFormat/>
  </w:style>
  <w:style w:type="character" w:styleId="875" w:customStyle="1">
    <w:name w:val="WW8Num15z0"/>
    <w:qFormat/>
  </w:style>
  <w:style w:type="character" w:styleId="876" w:customStyle="1">
    <w:name w:val="WW8Num18z0"/>
    <w:qFormat/>
  </w:style>
  <w:style w:type="character" w:styleId="877" w:customStyle="1">
    <w:name w:val="WW8Num19z0"/>
    <w:qFormat/>
  </w:style>
  <w:style w:type="character" w:styleId="878" w:customStyle="1">
    <w:name w:val="WW8Num20z0"/>
    <w:qFormat/>
  </w:style>
  <w:style w:type="character" w:styleId="879" w:customStyle="1">
    <w:name w:val="WW8Num21z0"/>
    <w:qFormat/>
  </w:style>
  <w:style w:type="character" w:styleId="880" w:customStyle="1">
    <w:name w:val="WW8Num22z0"/>
    <w:qFormat/>
  </w:style>
  <w:style w:type="character" w:styleId="881" w:customStyle="1">
    <w:name w:val="WW8Num23z0"/>
    <w:qFormat/>
  </w:style>
  <w:style w:type="character" w:styleId="882" w:customStyle="1">
    <w:name w:val="WW8Num25z0"/>
    <w:qFormat/>
  </w:style>
  <w:style w:type="character" w:styleId="883" w:customStyle="1">
    <w:name w:val="WW8Num26z0"/>
    <w:qFormat/>
  </w:style>
  <w:style w:type="character" w:styleId="884" w:customStyle="1">
    <w:name w:val="WW8Num27z0"/>
    <w:qFormat/>
  </w:style>
  <w:style w:type="character" w:styleId="885" w:customStyle="1">
    <w:name w:val="WW8Num29z0"/>
    <w:qFormat/>
    <w:rPr>
      <w:rFonts w:ascii="Symbol" w:hAnsi="Symbol" w:cs="Symbol"/>
    </w:rPr>
  </w:style>
  <w:style w:type="character" w:styleId="886" w:customStyle="1">
    <w:name w:val="WW8Num30z0"/>
    <w:qFormat/>
  </w:style>
  <w:style w:type="character" w:styleId="887" w:customStyle="1">
    <w:name w:val="WW8Num31z0"/>
    <w:qFormat/>
  </w:style>
  <w:style w:type="character" w:styleId="888" w:customStyle="1">
    <w:name w:val="WW8Num32z0"/>
    <w:qFormat/>
  </w:style>
  <w:style w:type="character" w:styleId="889" w:customStyle="1">
    <w:name w:val="WW8Num33z0"/>
    <w:qFormat/>
  </w:style>
  <w:style w:type="character" w:styleId="890" w:customStyle="1">
    <w:name w:val="WW8Num34z0"/>
    <w:qFormat/>
  </w:style>
  <w:style w:type="character" w:styleId="891">
    <w:name w:val="page number"/>
    <w:basedOn w:val="839"/>
    <w:qFormat/>
  </w:style>
  <w:style w:type="character" w:styleId="892" w:customStyle="1">
    <w:name w:val="Текст Знак"/>
    <w:qFormat/>
    <w:rPr>
      <w:rFonts w:ascii="Courier New" w:hAnsi="Courier New" w:cs="Courier New"/>
    </w:rPr>
  </w:style>
  <w:style w:type="character" w:styleId="893" w:customStyle="1">
    <w:name w:val="Верхний колонтитул Знак"/>
    <w:qFormat/>
    <w:rPr>
      <w:sz w:val="16"/>
      <w:lang w:val="ru-RU" w:bidi="ar-SA"/>
    </w:rPr>
  </w:style>
  <w:style w:type="character" w:styleId="894" w:customStyle="1">
    <w:name w:val="Основной текст с отступом 3 Знак"/>
    <w:qFormat/>
    <w:rPr>
      <w:sz w:val="16"/>
      <w:szCs w:val="16"/>
    </w:rPr>
  </w:style>
  <w:style w:type="character" w:styleId="895">
    <w:name w:val="Hyperlink"/>
    <w:rPr>
      <w:color w:val="0563c1"/>
      <w:u w:val="single"/>
    </w:rPr>
  </w:style>
  <w:style w:type="character" w:styleId="896" w:customStyle="1">
    <w:name w:val="Абзац списка Знак"/>
    <w:qFormat/>
    <w:rPr>
      <w:sz w:val="24"/>
      <w:szCs w:val="24"/>
    </w:rPr>
  </w:style>
  <w:style w:type="character" w:styleId="897" w:customStyle="1">
    <w:name w:val="Заголовок 6 Знак"/>
    <w:qFormat/>
    <w:rPr>
      <w:b/>
      <w:bCs/>
      <w:sz w:val="22"/>
      <w:szCs w:val="22"/>
    </w:rPr>
  </w:style>
  <w:style w:type="character" w:styleId="898" w:customStyle="1">
    <w:name w:val="Название Знак"/>
    <w:qFormat/>
    <w:rPr>
      <w:sz w:val="28"/>
      <w:lang w:val="ru-RU" w:bidi="ar-SA"/>
    </w:rPr>
  </w:style>
  <w:style w:type="character" w:styleId="899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0" w:customStyle="1">
    <w:name w:val="Нижний колонтитул Знак"/>
    <w:qFormat/>
  </w:style>
  <w:style w:type="character" w:styleId="901">
    <w:name w:val="FollowedHyperlink"/>
    <w:rPr>
      <w:color w:val="954f72"/>
      <w:u w:val="single"/>
    </w:rPr>
  </w:style>
  <w:style w:type="paragraph" w:styleId="902">
    <w:name w:val="Заголовок"/>
    <w:basedOn w:val="812"/>
    <w:next w:val="90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03">
    <w:name w:val="Body Text"/>
    <w:basedOn w:val="812"/>
    <w:pPr>
      <w:jc w:val="right"/>
    </w:pPr>
    <w:rPr>
      <w:sz w:val="28"/>
    </w:rPr>
  </w:style>
  <w:style w:type="paragraph" w:styleId="904">
    <w:name w:val="List"/>
    <w:basedOn w:val="903"/>
    <w:rPr>
      <w:rFonts w:cs="Lohit Devanagari"/>
    </w:rPr>
  </w:style>
  <w:style w:type="paragraph" w:styleId="905">
    <w:name w:val="Caption"/>
    <w:basedOn w:val="812"/>
    <w:qFormat/>
    <w:pPr>
      <w:spacing w:before="120" w:after="120"/>
      <w:suppressLineNumbers/>
    </w:pPr>
    <w:rPr>
      <w:rFonts w:cs="Lohit Devanagari"/>
      <w:i/>
      <w:iCs/>
    </w:rPr>
  </w:style>
  <w:style w:type="paragraph" w:styleId="906">
    <w:name w:val="Указатель"/>
    <w:basedOn w:val="812"/>
    <w:qFormat/>
    <w:pPr>
      <w:suppressLineNumbers/>
    </w:pPr>
    <w:rPr>
      <w:rFonts w:cs="Lohit Devanagari"/>
    </w:rPr>
  </w:style>
  <w:style w:type="paragraph" w:styleId="907">
    <w:name w:val="List Paragraph"/>
    <w:basedOn w:val="812"/>
    <w:qFormat/>
    <w:pPr>
      <w:ind w:left="708"/>
    </w:pPr>
  </w:style>
  <w:style w:type="paragraph" w:styleId="90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909">
    <w:name w:val="Title"/>
    <w:basedOn w:val="812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910">
    <w:name w:val="Subtitle"/>
    <w:basedOn w:val="812"/>
    <w:uiPriority w:val="11"/>
    <w:qFormat/>
    <w:pPr>
      <w:spacing w:before="200" w:after="200"/>
    </w:pPr>
  </w:style>
  <w:style w:type="paragraph" w:styleId="911">
    <w:name w:val="Quote"/>
    <w:basedOn w:val="812"/>
    <w:uiPriority w:val="29"/>
    <w:qFormat/>
    <w:pPr>
      <w:ind w:left="720" w:right="720"/>
    </w:pPr>
    <w:rPr>
      <w:i/>
    </w:rPr>
  </w:style>
  <w:style w:type="paragraph" w:styleId="912">
    <w:name w:val="Intense Quote"/>
    <w:basedOn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3">
    <w:name w:val="footnote text"/>
    <w:basedOn w:val="812"/>
    <w:uiPriority w:val="99"/>
    <w:semiHidden/>
    <w:unhideWhenUsed/>
    <w:pPr>
      <w:spacing w:before="0" w:after="40"/>
    </w:pPr>
    <w:rPr>
      <w:sz w:val="18"/>
    </w:rPr>
  </w:style>
  <w:style w:type="paragraph" w:styleId="914">
    <w:name w:val="endnote text"/>
    <w:basedOn w:val="812"/>
    <w:uiPriority w:val="99"/>
    <w:semiHidden/>
    <w:unhideWhenUsed/>
    <w:rPr>
      <w:sz w:val="20"/>
    </w:rPr>
  </w:style>
  <w:style w:type="paragraph" w:styleId="915">
    <w:name w:val="toc 1"/>
    <w:basedOn w:val="812"/>
    <w:uiPriority w:val="39"/>
    <w:unhideWhenUsed/>
    <w:pPr>
      <w:spacing w:before="0" w:after="57"/>
    </w:pPr>
  </w:style>
  <w:style w:type="paragraph" w:styleId="916">
    <w:name w:val="toc 2"/>
    <w:basedOn w:val="812"/>
    <w:uiPriority w:val="39"/>
    <w:unhideWhenUsed/>
    <w:pPr>
      <w:ind w:left="283"/>
      <w:spacing w:before="0" w:after="57"/>
    </w:pPr>
  </w:style>
  <w:style w:type="paragraph" w:styleId="917">
    <w:name w:val="toc 3"/>
    <w:basedOn w:val="812"/>
    <w:uiPriority w:val="39"/>
    <w:unhideWhenUsed/>
    <w:pPr>
      <w:ind w:left="567"/>
      <w:spacing w:before="0" w:after="57"/>
    </w:pPr>
  </w:style>
  <w:style w:type="paragraph" w:styleId="918">
    <w:name w:val="toc 4"/>
    <w:basedOn w:val="812"/>
    <w:uiPriority w:val="39"/>
    <w:unhideWhenUsed/>
    <w:pPr>
      <w:ind w:left="850"/>
      <w:spacing w:before="0" w:after="57"/>
    </w:pPr>
  </w:style>
  <w:style w:type="paragraph" w:styleId="919">
    <w:name w:val="toc 5"/>
    <w:basedOn w:val="812"/>
    <w:uiPriority w:val="39"/>
    <w:unhideWhenUsed/>
    <w:pPr>
      <w:ind w:left="1134"/>
      <w:spacing w:before="0" w:after="57"/>
    </w:pPr>
  </w:style>
  <w:style w:type="paragraph" w:styleId="920">
    <w:name w:val="toc 6"/>
    <w:basedOn w:val="812"/>
    <w:uiPriority w:val="39"/>
    <w:unhideWhenUsed/>
    <w:pPr>
      <w:ind w:left="1417"/>
      <w:spacing w:before="0" w:after="57"/>
    </w:pPr>
  </w:style>
  <w:style w:type="paragraph" w:styleId="921">
    <w:name w:val="toc 7"/>
    <w:basedOn w:val="812"/>
    <w:uiPriority w:val="39"/>
    <w:unhideWhenUsed/>
    <w:pPr>
      <w:ind w:left="1701"/>
      <w:spacing w:before="0" w:after="57"/>
    </w:pPr>
  </w:style>
  <w:style w:type="paragraph" w:styleId="922">
    <w:name w:val="toc 8"/>
    <w:basedOn w:val="812"/>
    <w:uiPriority w:val="39"/>
    <w:unhideWhenUsed/>
    <w:pPr>
      <w:ind w:left="1984"/>
      <w:spacing w:before="0" w:after="57"/>
    </w:pPr>
  </w:style>
  <w:style w:type="paragraph" w:styleId="923">
    <w:name w:val="toc 9"/>
    <w:basedOn w:val="812"/>
    <w:uiPriority w:val="39"/>
    <w:unhideWhenUsed/>
    <w:pPr>
      <w:ind w:left="2268"/>
      <w:spacing w:before="0" w:after="57"/>
    </w:pPr>
  </w:style>
  <w:style w:type="paragraph" w:styleId="924">
    <w:name w:val="Index Heading"/>
    <w:basedOn w:val="902"/>
  </w:style>
  <w:style w:type="paragraph" w:styleId="92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926">
    <w:name w:val="table of figures"/>
    <w:basedOn w:val="812"/>
    <w:uiPriority w:val="99"/>
    <w:unhideWhenUsed/>
  </w:style>
  <w:style w:type="paragraph" w:styleId="927">
    <w:name w:val="index heading1"/>
    <w:basedOn w:val="812"/>
    <w:qFormat/>
    <w:pPr>
      <w:suppressLineNumbers/>
    </w:pPr>
    <w:rPr>
      <w:rFonts w:cs="Lohit Devanagari"/>
    </w:rPr>
  </w:style>
  <w:style w:type="paragraph" w:styleId="928" w:customStyle="1">
    <w:name w:val="Caption1"/>
    <w:basedOn w:val="812"/>
    <w:qFormat/>
    <w:pPr>
      <w:spacing w:before="120" w:after="120"/>
      <w:suppressLineNumbers/>
    </w:pPr>
    <w:rPr>
      <w:rFonts w:cs="Lohit Devanagari"/>
      <w:i/>
      <w:iCs/>
    </w:rPr>
  </w:style>
  <w:style w:type="paragraph" w:styleId="929">
    <w:name w:val="Plain Text"/>
    <w:basedOn w:val="812"/>
    <w:qFormat/>
    <w:rPr>
      <w:rFonts w:ascii="Courier New" w:hAnsi="Courier New" w:cs="Courier New"/>
      <w:sz w:val="20"/>
      <w:szCs w:val="20"/>
      <w:lang w:val="en-US"/>
    </w:rPr>
  </w:style>
  <w:style w:type="paragraph" w:styleId="930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931">
    <w:name w:val="Body Text 2"/>
    <w:basedOn w:val="812"/>
    <w:qFormat/>
    <w:pPr>
      <w:spacing w:before="0" w:after="120" w:line="480" w:lineRule="auto"/>
    </w:pPr>
  </w:style>
  <w:style w:type="paragraph" w:styleId="932">
    <w:name w:val="Body Text 3"/>
    <w:basedOn w:val="812"/>
    <w:qFormat/>
    <w:pPr>
      <w:spacing w:before="0" w:after="120"/>
    </w:pPr>
    <w:rPr>
      <w:sz w:val="16"/>
      <w:szCs w:val="16"/>
    </w:rPr>
  </w:style>
  <w:style w:type="paragraph" w:styleId="933" w:customStyle="1">
    <w:name w:val="Колонтитул"/>
    <w:basedOn w:val="81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34">
    <w:name w:val="Footer"/>
    <w:basedOn w:val="812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35">
    <w:name w:val="Balloon Text"/>
    <w:basedOn w:val="812"/>
    <w:qFormat/>
    <w:rPr>
      <w:rFonts w:ascii="Tahoma" w:hAnsi="Tahoma" w:cs="Tahoma"/>
      <w:sz w:val="16"/>
      <w:szCs w:val="16"/>
    </w:rPr>
  </w:style>
  <w:style w:type="paragraph" w:styleId="936" w:customStyle="1">
    <w:name w:val="Знак Знак Знак Знак Знак Знак Знак Знак Знак Знак Знак Знак"/>
    <w:basedOn w:val="812"/>
    <w:qFormat/>
    <w:rPr>
      <w:rFonts w:ascii="Verdana" w:hAnsi="Verdana" w:cs="Verdana"/>
      <w:sz w:val="20"/>
      <w:szCs w:val="20"/>
      <w:lang w:val="en-US"/>
    </w:rPr>
  </w:style>
  <w:style w:type="paragraph" w:styleId="93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938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939">
    <w:name w:val="Body Text Indent 3"/>
    <w:basedOn w:val="812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940">
    <w:name w:val="Normal (Web)"/>
    <w:basedOn w:val="812"/>
    <w:qFormat/>
    <w:pPr>
      <w:spacing w:before="280" w:after="280"/>
    </w:pPr>
  </w:style>
  <w:style w:type="paragraph" w:styleId="941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942" w:customStyle="1">
    <w:name w:val="Содержимое таблицы"/>
    <w:basedOn w:val="812"/>
    <w:qFormat/>
    <w:pPr>
      <w:widowControl w:val="off"/>
      <w:suppressLineNumbers/>
    </w:pPr>
  </w:style>
  <w:style w:type="paragraph" w:styleId="943" w:customStyle="1">
    <w:name w:val="Заголовок таблицы"/>
    <w:basedOn w:val="942"/>
    <w:qFormat/>
    <w:pPr>
      <w:jc w:val="center"/>
    </w:pPr>
    <w:rPr>
      <w:b/>
      <w:bCs/>
    </w:rPr>
  </w:style>
  <w:style w:type="numbering" w:styleId="944" w:default="1">
    <w:name w:val="No List"/>
    <w:uiPriority w:val="99"/>
    <w:semiHidden/>
    <w:unhideWhenUsed/>
    <w:qFormat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130</cp:revision>
  <dcterms:created xsi:type="dcterms:W3CDTF">2023-10-30T09:15:00Z</dcterms:created>
  <dcterms:modified xsi:type="dcterms:W3CDTF">2024-08-23T06:34:29Z</dcterms:modified>
</cp:coreProperties>
</file>