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Приложение 2 к извещению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83"/>
        <w:contextualSpacing w:val="0"/>
        <w:ind w:left="0" w:right="-2" w:firstLine="5244"/>
        <w:jc w:val="left"/>
        <w:spacing w:before="0" w:after="0" w:line="283" w:lineRule="exact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о проведении 26.09.2024 электронных аукционов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83"/>
        <w:contextualSpacing w:val="0"/>
        <w:ind w:left="0" w:right="-2" w:firstLine="5244"/>
        <w:jc w:val="left"/>
        <w:spacing w:before="0" w:after="0" w:line="283" w:lineRule="exact"/>
        <w:shd w:val="clear" w:color="ffffff" w:themeColor="background1" w:fill="ffffff" w:themeFill="background1"/>
        <w:rPr>
          <w:rFonts w:ascii="Times New Roman" w:hAnsi="Times New Roman" w:cs="Times New Roman"/>
          <w:bCs/>
        </w:rPr>
        <w:suppressLineNumbers w:val="0"/>
      </w:pPr>
      <w:r>
        <w:rPr>
          <w:rFonts w:ascii="Times New Roman" w:hAnsi="Times New Roman" w:eastAsia="Times New Roman" w:cs="Times New Roman"/>
        </w:rPr>
        <w:t xml:space="preserve">по продаже земельных участков</w:t>
      </w: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eastAsia="Times New Roman" w:cs="Times New Roman"/>
          <w:bCs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0"/>
        <w:jc w:val="lef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>
        <w:rPr>
          <w:sz w:val="18"/>
          <w:szCs w:val="18"/>
          <w:highlight w:val="none"/>
        </w:rPr>
      </w:r>
      <w:r>
        <w:rPr>
          <w:sz w:val="18"/>
          <w:szCs w:val="18"/>
          <w:highlight w:val="none"/>
        </w:rPr>
      </w:r>
    </w:p>
    <w:p>
      <w:pPr>
        <w:pStyle w:val="702"/>
        <w:ind w:left="284"/>
        <w:jc w:val="right"/>
        <w:spacing w:after="0" w:line="276" w:lineRule="auto"/>
        <w:rPr>
          <w:sz w:val="18"/>
          <w:szCs w:val="18"/>
          <w:highlight w:val="none"/>
        </w:rPr>
        <w:outlineLvl w:val="0"/>
      </w:pPr>
      <w:r/>
      <w:bookmarkStart w:id="0" w:name="_GoBack"/>
      <w:r/>
      <w:bookmarkEnd w:id="0"/>
      <w:r>
        <w:rPr>
          <w:sz w:val="18"/>
          <w:szCs w:val="18"/>
          <w:lang w:val="en-US"/>
        </w:rPr>
        <w:t xml:space="preserve">id</w:t>
      </w:r>
      <w:r>
        <w:rPr>
          <w:sz w:val="18"/>
          <w:szCs w:val="18"/>
        </w:rPr>
        <w:t xml:space="preserve">  77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80</w:t>
      </w:r>
      <w:r>
        <w:rPr>
          <w:sz w:val="18"/>
          <w:szCs w:val="18"/>
          <w:highlight w:val="none"/>
        </w:rPr>
      </w:r>
    </w:p>
    <w:p>
      <w:pPr>
        <w:pStyle w:val="6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купли-продажи земельного участка, приобретаемого на торгах в форме аукциона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Пермь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________________ г.</w:t>
      </w:r>
      <w:r>
        <w:rPr>
          <w:rFonts w:ascii="Times New Roman" w:hAnsi="Times New Roman" w:cs="Times New Roman"/>
          <w:sz w:val="24"/>
          <w:szCs w:val="24"/>
          <w:vertAlign w:val="superscript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дальнейшем Продавец,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первого заместителя начальника департамента – начальника юридического управления департамента земельных отношений администрации города Перми Погадаевой Елены Александровны, действующего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на основании доверенности от 06.02.2024 № 059-21-01-09-327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 w:cs="Times New Roman"/>
          <w:sz w:val="24"/>
          <w:szCs w:val="24"/>
        </w:rPr>
        <w:br/>
        <w:t xml:space="preserve">и 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именуемый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Покупатель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совместно именуемые «Стороны», на </w:t>
      </w:r>
      <w:r>
        <w:rPr>
          <w:rFonts w:ascii="Times New Roman" w:hAnsi="Times New Roman" w:cs="Times New Roman"/>
          <w:sz w:val="24"/>
          <w:szCs w:val="24"/>
        </w:rPr>
        <w:t xml:space="preserve">основании протокола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 результатах электронного аукциона по продаже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– протокол), по лоту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№__,</w:t>
      </w:r>
      <w:r>
        <w:rPr>
          <w:rFonts w:ascii="Times New Roman" w:hAnsi="Times New Roman" w:cs="Times New Roman"/>
          <w:sz w:val="24"/>
          <w:szCs w:val="24"/>
        </w:rPr>
        <w:t xml:space="preserve">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следующем.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протокола Продавец обязуется передать в собственность Покупателю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, имеющий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59:01:3812825:163</w:t>
      </w:r>
      <w:r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b/>
          <w:sz w:val="24"/>
          <w:szCs w:val="24"/>
        </w:rPr>
        <w:t xml:space="preserve">590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</w:t>
      </w:r>
      <w:r>
        <w:rPr>
          <w:rFonts w:ascii="Times New Roman" w:hAnsi="Times New Roman" w:cs="Times New Roman"/>
          <w:sz w:val="24"/>
          <w:szCs w:val="24"/>
        </w:rPr>
        <w:t xml:space="preserve">.м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расположенный на землях населенных пунктов и находящийся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край Пермский, </w:t>
      </w:r>
      <w:r>
        <w:rPr>
          <w:rFonts w:ascii="Times New Roman" w:hAnsi="Times New Roman" w:cs="Times New Roman"/>
          <w:b/>
          <w:sz w:val="24"/>
          <w:szCs w:val="24"/>
        </w:rPr>
        <w:t xml:space="preserve">г.о</w:t>
      </w:r>
      <w:r>
        <w:rPr>
          <w:rFonts w:ascii="Times New Roman" w:hAnsi="Times New Roman" w:cs="Times New Roman"/>
          <w:b/>
          <w:sz w:val="24"/>
          <w:szCs w:val="24"/>
        </w:rPr>
        <w:t xml:space="preserve">. Пермский, г Пермь, </w:t>
      </w:r>
      <w:r>
        <w:rPr>
          <w:rFonts w:ascii="Times New Roman" w:hAnsi="Times New Roman" w:cs="Times New Roman"/>
          <w:b/>
          <w:sz w:val="24"/>
          <w:szCs w:val="24"/>
        </w:rPr>
        <w:t xml:space="preserve">ул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Новогодняя, </w:t>
      </w:r>
      <w:r>
        <w:rPr>
          <w:rFonts w:ascii="Times New Roman" w:hAnsi="Times New Roman" w:cs="Times New Roman"/>
          <w:b/>
          <w:sz w:val="24"/>
          <w:szCs w:val="24"/>
        </w:rPr>
        <w:t xml:space="preserve">зу</w:t>
      </w:r>
      <w:r>
        <w:rPr>
          <w:rFonts w:ascii="Times New Roman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 xml:space="preserve">(далее - земельный участок),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и оплатить указанное имущество.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участок расположен в территориальной зоне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индивидуальной жилой застройки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(Ж-4).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Земельный уч</w:t>
      </w:r>
      <w:r>
        <w:rPr>
          <w:rFonts w:ascii="Times New Roman" w:hAnsi="Times New Roman" w:cs="Times New Roman"/>
          <w:sz w:val="24"/>
          <w:szCs w:val="24"/>
        </w:rPr>
        <w:t xml:space="preserve">асток расположен в зоне </w:t>
      </w:r>
      <w:r>
        <w:rPr>
          <w:rFonts w:ascii="Times New Roman" w:hAnsi="Times New Roman" w:cs="Times New Roman"/>
          <w:sz w:val="24"/>
          <w:szCs w:val="24"/>
        </w:rPr>
        <w:t xml:space="preserve">с особыми условиями использования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частично охранная зона 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Л 0,4кВ от ТП</w:t>
      </w:r>
      <w:r>
        <w:rPr>
          <w:rFonts w:ascii="Times New Roman" w:hAnsi="Times New Roman" w:cs="Times New Roman"/>
          <w:sz w:val="24"/>
          <w:szCs w:val="24"/>
        </w:rPr>
        <w:t xml:space="preserve">4383 от </w:t>
      </w:r>
      <w:r>
        <w:rPr>
          <w:rFonts w:ascii="Times New Roman" w:hAnsi="Times New Roman" w:cs="Times New Roman"/>
          <w:sz w:val="24"/>
          <w:szCs w:val="24"/>
        </w:rPr>
        <w:t xml:space="preserve">ТП </w:t>
      </w:r>
      <w:r>
        <w:rPr>
          <w:rFonts w:ascii="Times New Roman" w:hAnsi="Times New Roman" w:cs="Times New Roman"/>
          <w:sz w:val="24"/>
          <w:szCs w:val="24"/>
        </w:rPr>
        <w:t xml:space="preserve">4384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ТП </w:t>
      </w:r>
      <w:r>
        <w:rPr>
          <w:rFonts w:ascii="Times New Roman" w:hAnsi="Times New Roman" w:cs="Times New Roman"/>
          <w:sz w:val="24"/>
          <w:szCs w:val="24"/>
        </w:rPr>
        <w:t xml:space="preserve">4385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ТП </w:t>
      </w:r>
      <w:r>
        <w:rPr>
          <w:rFonts w:ascii="Times New Roman" w:hAnsi="Times New Roman" w:cs="Times New Roman"/>
          <w:sz w:val="24"/>
          <w:szCs w:val="24"/>
        </w:rPr>
        <w:t xml:space="preserve">4386</w:t>
      </w:r>
      <w:r>
        <w:rPr>
          <w:rFonts w:ascii="Times New Roman" w:hAnsi="Times New Roman" w:cs="Times New Roman"/>
          <w:sz w:val="24"/>
          <w:szCs w:val="24"/>
        </w:rPr>
        <w:t xml:space="preserve">, КЛ 0,4кВ от ТП </w:t>
      </w:r>
      <w:r>
        <w:rPr>
          <w:rFonts w:ascii="Times New Roman" w:hAnsi="Times New Roman" w:cs="Times New Roman"/>
          <w:sz w:val="24"/>
          <w:szCs w:val="24"/>
        </w:rPr>
        <w:t xml:space="preserve">4383</w:t>
      </w:r>
      <w:r>
        <w:rPr>
          <w:rFonts w:ascii="Times New Roman" w:hAnsi="Times New Roman" w:cs="Times New Roman"/>
          <w:sz w:val="24"/>
          <w:szCs w:val="24"/>
        </w:rPr>
        <w:t xml:space="preserve">, от ТП </w:t>
      </w:r>
      <w:r>
        <w:rPr>
          <w:rFonts w:ascii="Times New Roman" w:hAnsi="Times New Roman" w:cs="Times New Roman"/>
          <w:sz w:val="24"/>
          <w:szCs w:val="24"/>
        </w:rPr>
        <w:t xml:space="preserve">4385</w:t>
      </w:r>
      <w:r>
        <w:rPr>
          <w:rFonts w:ascii="Times New Roman" w:hAnsi="Times New Roman" w:cs="Times New Roman"/>
          <w:sz w:val="24"/>
          <w:szCs w:val="24"/>
        </w:rPr>
        <w:t xml:space="preserve">, от КТП </w:t>
      </w:r>
      <w:r>
        <w:rPr>
          <w:rFonts w:ascii="Times New Roman" w:hAnsi="Times New Roman" w:cs="Times New Roman"/>
          <w:sz w:val="24"/>
          <w:szCs w:val="24"/>
        </w:rPr>
        <w:t xml:space="preserve">4386 (электросетевой комплекс «Подстанция 110/6кВ «Северная» с линиями электропередачи, трансформаторными подстанциями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распределительными пунктами)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приаэродромная</w:t>
      </w:r>
      <w:r>
        <w:rPr>
          <w:rFonts w:ascii="Times New Roman" w:hAnsi="Times New Roman" w:cs="Times New Roman"/>
          <w:sz w:val="24"/>
          <w:szCs w:val="24"/>
        </w:rPr>
        <w:t xml:space="preserve"> территория аэродрома аэропорта Большое </w:t>
      </w:r>
      <w:r>
        <w:rPr>
          <w:rFonts w:ascii="Times New Roman" w:hAnsi="Times New Roman" w:cs="Times New Roman"/>
          <w:sz w:val="24"/>
          <w:szCs w:val="24"/>
        </w:rPr>
        <w:t xml:space="preserve">Савино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границах земельного участка расположено некапитальное строение </w:t>
      </w:r>
      <w:r>
        <w:rPr>
          <w:rFonts w:ascii="Times New Roman" w:hAnsi="Times New Roman" w:cs="Times New Roman"/>
          <w:sz w:val="24"/>
          <w:szCs w:val="24"/>
        </w:rPr>
        <w:t xml:space="preserve">– часть деревянного ограждения</w:t>
      </w:r>
      <w:r>
        <w:rPr>
          <w:rFonts w:ascii="Times New Roman" w:hAnsi="Times New Roman" w:cs="Times New Roman"/>
          <w:sz w:val="24"/>
          <w:szCs w:val="24"/>
        </w:rPr>
        <w:t xml:space="preserve">, бремя содержания которого несёт Покупатель с момента государственной регистрации права собственности на земельный участок. Покупатель не имеет претензий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Продавцу в связи с наличием на земельном участке некапитального строения </w:t>
      </w:r>
      <w:r>
        <w:rPr>
          <w:rFonts w:ascii="Times New Roman" w:hAnsi="Times New Roman" w:cs="Times New Roman"/>
          <w:sz w:val="24"/>
          <w:szCs w:val="24"/>
        </w:rPr>
        <w:t xml:space="preserve">– часть деревянного ограждения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8"/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Разрешенное использование - для индивидуального жилищного строительства.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Стоимость сделки и порядок оплаты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Цена земельного участка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  рублей  (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 копеек).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IV настоящего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оплату приобретаемого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Обязанности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Покупатель обязуется: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>
        <w:rPr>
          <w:rFonts w:ascii="Times New Roman" w:hAnsi="Times New Roman" w:cs="Times New Roman"/>
          <w:sz w:val="24"/>
          <w:szCs w:val="24"/>
        </w:rPr>
        <w:t xml:space="preserve">оплатить стоимость земельного</w:t>
      </w:r>
      <w:r>
        <w:rPr>
          <w:rFonts w:ascii="Times New Roman" w:hAnsi="Times New Roman" w:cs="Times New Roman"/>
          <w:sz w:val="24"/>
          <w:szCs w:val="24"/>
        </w:rPr>
        <w:t xml:space="preserve"> участка в соответствии с требованиями, содержащимися в разделе II настоящего договора;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принять земельный участок в собственность по акту приема-передачи;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облюдать</w:t>
      </w:r>
      <w:r>
        <w:rPr>
          <w:rFonts w:ascii="Times New Roman" w:hAnsi="Times New Roman" w:cs="Times New Roman"/>
          <w:sz w:val="24"/>
          <w:szCs w:val="24"/>
        </w:rPr>
        <w:t xml:space="preserve"> правила охраны электрических сетей, установленные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</w:t>
      </w:r>
      <w:r>
        <w:rPr>
          <w:rFonts w:ascii="Times New Roman" w:hAnsi="Times New Roman" w:cs="Times New Roman"/>
          <w:sz w:val="24"/>
          <w:szCs w:val="24"/>
        </w:rPr>
        <w:t xml:space="preserve">оложенных в границах таких зон»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 соблюдать Правила использования воздушного пространства, установленные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соблюдать требования, предусмотренные Земельным кодексом Российской Федерации, федеральными законами.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Порядок заключения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5902293379 КПП 590201001 БИК 015773997 ОКТМО: 57701000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корреспондентского счета: 40102810145370000048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счета УФК по Пермскому краю: 03100643000000015600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для подписания, договор считается незаключенным.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Срок действия договора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действует до полного выполнения Сторонами своих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Ответственность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подлежит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рассмотрению в Арбитражном суде Пермского края или в суде общей юрисдикции, расположенном на территории города Перми.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в настоящем договоре.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истечении 15 календарных дней со дня направления претензии (требования).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являются: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сумме, указанной в пункте 2.1 настоящего договора, произведена полностью. Реквизиты документ</w:t>
      </w:r>
      <w:r>
        <w:rPr>
          <w:rFonts w:ascii="Times New Roman" w:hAnsi="Times New Roman" w:cs="Times New Roman"/>
          <w:sz w:val="24"/>
          <w:szCs w:val="24"/>
        </w:rPr>
        <w:t xml:space="preserve">а(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), подтверждающего(их) перечисление денежных средств Продавцу_________________________________________________________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(наименование, дата, номер)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87"/>
        <w:jc w:val="cent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XI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sz w:val="24"/>
          <w:szCs w:val="24"/>
        </w:rPr>
        <w:t xml:space="preserve"> Адреса, реквизиты и подписи сторон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52" w:type="dxa"/>
            <w:textDirection w:val="lrTb"/>
            <w:noWrap w:val="false"/>
          </w:tcPr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администрации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Сибирская, 15,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212-31-70, 212-28-92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687"/>
              <w:jc w:val="bot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pStyle w:val="687"/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Покупатель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адрес фактического проживания: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паспорт гражданина РФ: серия ____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выдан: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дата выдачи: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СНИЛС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r>
          </w:p>
          <w:p>
            <w:pPr>
              <w:pStyle w:val="68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8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по телекоммуникационным каналам связи, считаются законно врученными, ему известными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7"/>
        <w:ind w:firstLine="54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>
        <w:tblPrEx/>
        <w:trPr/>
        <w:tc>
          <w:tcPr>
            <w:tcW w:w="4786" w:type="dxa"/>
            <w:textDirection w:val="lrTb"/>
            <w:noWrap w:val="false"/>
          </w:tcPr>
          <w:p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/>
            <w:bookmarkStart w:id="1" w:name="P133"/>
            <w:r/>
            <w:bookmarkEnd w:id="1"/>
            <w:r>
              <w:rPr>
                <w:b/>
                <w:sz w:val="24"/>
                <w:szCs w:val="24"/>
              </w:rPr>
              <w:t xml:space="preserve">Продавец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 xml:space="preserve">:</w:t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</w:r>
            <w:r>
              <w:rPr>
                <w:bCs/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76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__________________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Е.А.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Погадаева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ind w:left="108"/>
              <w:jc w:val="both"/>
              <w:spacing w:line="276" w:lineRule="auto"/>
              <w:widowControl w:val="off"/>
              <w:tabs>
                <w:tab w:val="left" w:pos="467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Дата 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М.П.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76" w:lineRule="auto"/>
              <w:widowControl w:val="o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Покупатель: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 </w:t>
            </w:r>
            <w:r>
              <w:rPr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  <w:p>
            <w:pPr>
              <w:spacing w:line="276" w:lineRule="auto"/>
              <w:widowControl w:val="off"/>
              <w:tabs>
                <w:tab w:val="left" w:pos="1628" w:leader="none"/>
              </w:tabs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Дата ___________________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5" w:h="16838" w:orient="portrait"/>
      <w:pgMar w:top="851" w:right="851" w:bottom="851" w:left="1134" w:header="0" w:footer="55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4247076"/>
      <w:docPartObj>
        <w:docPartGallery w:val="Page Numbers (Top of Page)"/>
        <w:docPartUnique w:val="true"/>
      </w:docPartObj>
      <w:rPr/>
    </w:sdtPr>
    <w:sdtContent>
      <w:p>
        <w:pPr>
          <w:pStyle w:val="694"/>
          <w:jc w:val="center"/>
        </w:pPr>
        <w:r/>
        <w:r/>
      </w:p>
      <w:p>
        <w:pPr>
          <w:pStyle w:val="69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6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3"/>
    <w:next w:val="68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3"/>
    <w:next w:val="68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3"/>
    <w:next w:val="68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3"/>
    <w:next w:val="68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3"/>
    <w:next w:val="68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3"/>
    <w:next w:val="68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3"/>
    <w:next w:val="68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3"/>
    <w:next w:val="68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3"/>
    <w:next w:val="68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3"/>
    <w:next w:val="68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3"/>
    <w:next w:val="68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3"/>
    <w:next w:val="68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3"/>
    <w:next w:val="68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4"/>
    <w:link w:val="694"/>
    <w:uiPriority w:val="99"/>
  </w:style>
  <w:style w:type="character" w:styleId="45">
    <w:name w:val="Footer Char"/>
    <w:basedOn w:val="684"/>
    <w:link w:val="696"/>
    <w:uiPriority w:val="99"/>
  </w:style>
  <w:style w:type="character" w:styleId="47">
    <w:name w:val="Caption Char"/>
    <w:basedOn w:val="707"/>
    <w:link w:val="696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90"/>
    <w:uiPriority w:val="99"/>
    <w:rPr>
      <w:sz w:val="18"/>
    </w:rPr>
  </w:style>
  <w:style w:type="character" w:styleId="179">
    <w:name w:val="Endnote Text Char"/>
    <w:link w:val="698"/>
    <w:uiPriority w:val="99"/>
    <w:rPr>
      <w:sz w:val="20"/>
    </w:rPr>
  </w:style>
  <w:style w:type="paragraph" w:styleId="181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88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89">
    <w:name w:val="Table Grid"/>
    <w:basedOn w:val="685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0">
    <w:name w:val="footnote text"/>
    <w:basedOn w:val="683"/>
    <w:link w:val="69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1" w:customStyle="1">
    <w:name w:val="Текст сноски Знак"/>
    <w:basedOn w:val="684"/>
    <w:link w:val="690"/>
    <w:uiPriority w:val="99"/>
    <w:semiHidden/>
    <w:rPr>
      <w:sz w:val="20"/>
      <w:szCs w:val="20"/>
    </w:rPr>
  </w:style>
  <w:style w:type="character" w:styleId="692">
    <w:name w:val="footnote reference"/>
    <w:semiHidden/>
    <w:unhideWhenUsed/>
    <w:rPr>
      <w:vertAlign w:val="superscript"/>
    </w:rPr>
  </w:style>
  <w:style w:type="table" w:styleId="693" w:customStyle="1">
    <w:name w:val="Сетка таблицы1"/>
    <w:basedOn w:val="685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4">
    <w:name w:val="Header"/>
    <w:basedOn w:val="683"/>
    <w:link w:val="69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5" w:customStyle="1">
    <w:name w:val="Верхний колонтитул Знак"/>
    <w:basedOn w:val="684"/>
    <w:link w:val="694"/>
    <w:uiPriority w:val="99"/>
  </w:style>
  <w:style w:type="paragraph" w:styleId="696">
    <w:name w:val="Footer"/>
    <w:basedOn w:val="683"/>
    <w:link w:val="69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7" w:customStyle="1">
    <w:name w:val="Нижний колонтитул Знак"/>
    <w:basedOn w:val="684"/>
    <w:link w:val="696"/>
    <w:uiPriority w:val="99"/>
  </w:style>
  <w:style w:type="paragraph" w:styleId="698">
    <w:name w:val="endnote text"/>
    <w:basedOn w:val="683"/>
    <w:link w:val="69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99" w:customStyle="1">
    <w:name w:val="Текст концевой сноски Знак"/>
    <w:basedOn w:val="684"/>
    <w:link w:val="698"/>
    <w:uiPriority w:val="99"/>
    <w:semiHidden/>
    <w:rPr>
      <w:sz w:val="20"/>
      <w:szCs w:val="20"/>
    </w:rPr>
  </w:style>
  <w:style w:type="character" w:styleId="700">
    <w:name w:val="endnote reference"/>
    <w:basedOn w:val="684"/>
    <w:uiPriority w:val="99"/>
    <w:semiHidden/>
    <w:unhideWhenUsed/>
    <w:rPr>
      <w:vertAlign w:val="superscript"/>
    </w:rPr>
  </w:style>
  <w:style w:type="character" w:styleId="701">
    <w:name w:val="Strong"/>
    <w:basedOn w:val="684"/>
    <w:uiPriority w:val="22"/>
    <w:qFormat/>
    <w:rPr>
      <w:rFonts w:hint="default" w:ascii="Times New Roman" w:hAnsi="Times New Roman" w:cs="Times New Roman"/>
      <w:b/>
      <w:bCs w:val="0"/>
    </w:rPr>
  </w:style>
  <w:style w:type="paragraph" w:styleId="702">
    <w:name w:val="Body Text Indent 2"/>
    <w:basedOn w:val="683"/>
    <w:link w:val="703"/>
    <w:uiPriority w:val="99"/>
    <w:semiHidden/>
    <w:unhideWhenUsed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3" w:customStyle="1">
    <w:name w:val="Основной текст с отступом 2 Знак"/>
    <w:basedOn w:val="684"/>
    <w:link w:val="702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04">
    <w:name w:val="Hyperlink"/>
    <w:semiHidden/>
    <w:unhideWhenUsed/>
    <w:rPr>
      <w:color w:val="0000ff"/>
      <w:u w:val="single"/>
    </w:rPr>
  </w:style>
  <w:style w:type="paragraph" w:styleId="705">
    <w:name w:val="Balloon Text"/>
    <w:basedOn w:val="683"/>
    <w:link w:val="7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06" w:customStyle="1">
    <w:name w:val="Текст выноски Знак"/>
    <w:basedOn w:val="684"/>
    <w:link w:val="705"/>
    <w:uiPriority w:val="99"/>
    <w:semiHidden/>
    <w:rPr>
      <w:rFonts w:ascii="Tahoma" w:hAnsi="Tahoma" w:cs="Tahoma"/>
      <w:sz w:val="16"/>
      <w:szCs w:val="16"/>
    </w:rPr>
  </w:style>
  <w:style w:type="paragraph" w:styleId="707">
    <w:name w:val="Caption"/>
    <w:basedOn w:val="683"/>
    <w:next w:val="683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atanova-av</dc:creator>
  <cp:revision>3</cp:revision>
  <dcterms:created xsi:type="dcterms:W3CDTF">2024-08-14T10:00:00Z</dcterms:created>
  <dcterms:modified xsi:type="dcterms:W3CDTF">2024-08-19T12:03:12Z</dcterms:modified>
</cp:coreProperties>
</file>