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7"/>
        <w:contextualSpacing w:val="0"/>
        <w:ind w:left="0" w:right="-2" w:firstLine="5244"/>
        <w:jc w:val="left"/>
        <w:spacing w:before="0" w:after="0" w:line="283" w:lineRule="exact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eastAsia="Times New Roman" w:cs="Times New Roman"/>
        </w:rPr>
        <w:t xml:space="preserve">Приложение 4 к извещению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37"/>
        <w:contextualSpacing w:val="0"/>
        <w:ind w:left="0" w:right="-2" w:firstLine="5244"/>
        <w:jc w:val="left"/>
        <w:spacing w:before="0" w:after="0" w:line="283" w:lineRule="exact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eastAsia="Times New Roman" w:cs="Times New Roman"/>
        </w:rPr>
        <w:t xml:space="preserve">о проведении 26.09.2024 электронных аукционов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37"/>
        <w:contextualSpacing w:val="0"/>
        <w:ind w:left="0" w:right="-2" w:firstLine="5244"/>
        <w:jc w:val="left"/>
        <w:spacing w:before="0" w:after="0" w:line="283" w:lineRule="exact"/>
        <w:shd w:val="clear" w:color="ffffff" w:themeColor="background1" w:fill="ffffff" w:themeFill="background1"/>
        <w:rPr>
          <w:rFonts w:ascii="Times New Roman" w:hAnsi="Times New Roman" w:cs="Times New Roman"/>
          <w:bCs/>
        </w:rPr>
        <w:suppressLineNumbers w:val="0"/>
      </w:pPr>
      <w:r>
        <w:rPr>
          <w:rFonts w:ascii="Times New Roman" w:hAnsi="Times New Roman" w:eastAsia="Times New Roman" w:cs="Times New Roman"/>
        </w:rPr>
        <w:t xml:space="preserve">по продаже земельных участков</w:t>
      </w: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pStyle w:val="756"/>
        <w:ind w:left="284"/>
        <w:jc w:val="right"/>
        <w:spacing w:after="0" w:line="276" w:lineRule="auto"/>
        <w:rPr>
          <w:sz w:val="18"/>
          <w:szCs w:val="18"/>
        </w:rPr>
        <w:outlineLvl w:val="0"/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pStyle w:val="756"/>
        <w:ind w:left="284"/>
        <w:jc w:val="right"/>
        <w:spacing w:after="0" w:line="276" w:lineRule="auto"/>
        <w:rPr>
          <w:sz w:val="18"/>
          <w:szCs w:val="18"/>
          <w:highlight w:val="none"/>
        </w:rPr>
        <w:outlineLvl w:val="0"/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pStyle w:val="756"/>
        <w:ind w:left="0"/>
        <w:jc w:val="left"/>
        <w:spacing w:after="0" w:line="276" w:lineRule="auto"/>
        <w:rPr>
          <w:sz w:val="18"/>
          <w:szCs w:val="18"/>
          <w:highlight w:val="none"/>
        </w:rPr>
        <w:outlineLvl w:val="0"/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pStyle w:val="756"/>
        <w:ind w:left="284"/>
        <w:jc w:val="right"/>
        <w:spacing w:after="0" w:line="276" w:lineRule="auto"/>
        <w:rPr>
          <w:sz w:val="18"/>
          <w:szCs w:val="18"/>
          <w:highlight w:val="none"/>
        </w:rPr>
        <w:outlineLvl w:val="0"/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pStyle w:val="756"/>
        <w:ind w:left="284"/>
        <w:jc w:val="right"/>
        <w:spacing w:after="0" w:line="276" w:lineRule="auto"/>
        <w:rPr>
          <w:sz w:val="18"/>
          <w:szCs w:val="18"/>
          <w:highlight w:val="none"/>
        </w:rPr>
        <w:outlineLvl w:val="0"/>
      </w:pPr>
      <w:r>
        <w:rPr>
          <w:sz w:val="18"/>
          <w:szCs w:val="18"/>
          <w:lang w:val="en-US"/>
        </w:rPr>
        <w:t xml:space="preserve">id</w:t>
      </w:r>
      <w:r>
        <w:rPr>
          <w:sz w:val="18"/>
          <w:szCs w:val="18"/>
        </w:rPr>
        <w:t xml:space="preserve">  77</w:t>
      </w:r>
      <w:r>
        <w:rPr>
          <w:sz w:val="18"/>
          <w:szCs w:val="18"/>
        </w:rPr>
        <w:t xml:space="preserve">6</w:t>
      </w:r>
      <w:r>
        <w:rPr>
          <w:sz w:val="18"/>
          <w:szCs w:val="18"/>
        </w:rPr>
        <w:t xml:space="preserve">8</w:t>
      </w:r>
      <w:r>
        <w:rPr>
          <w:sz w:val="18"/>
          <w:szCs w:val="18"/>
        </w:rPr>
        <w:t xml:space="preserve">1</w:t>
      </w:r>
      <w:r>
        <w:rPr>
          <w:sz w:val="18"/>
          <w:szCs w:val="18"/>
          <w:highlight w:val="none"/>
        </w:rPr>
      </w:r>
    </w:p>
    <w:p>
      <w:pPr>
        <w:pStyle w:val="7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купли-продажи земельного участка, приобретаемого на торгах в форме аукциона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г. Пермь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________________ г.</w:t>
      </w:r>
      <w:r>
        <w:rPr>
          <w:rFonts w:ascii="Times New Roman" w:hAnsi="Times New Roman" w:cs="Times New Roman"/>
          <w:sz w:val="24"/>
          <w:szCs w:val="24"/>
          <w:vertAlign w:val="superscript"/>
        </w:rPr>
      </w:r>
    </w:p>
    <w:p>
      <w:pPr>
        <w:pStyle w:val="74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земельных отношений администрации города Перми, именуемый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дальнейшем Продавец,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первого заместителя начальника департамента – начальника юридического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управления департамента земельных отношений администрации города Перми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Погадаевой Елены Александровны, действующего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на основании доверенности от 06.02.2024 № 059-21-01-09-327</w:t>
      </w:r>
      <w:r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  <w:r>
        <w:rPr>
          <w:rFonts w:ascii="Times New Roman" w:hAnsi="Times New Roman" w:cs="Times New Roman"/>
          <w:sz w:val="24"/>
          <w:szCs w:val="24"/>
        </w:rPr>
        <w:br/>
        <w:t xml:space="preserve">и 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____, именуемый в дальнейшем </w:t>
      </w:r>
      <w:r>
        <w:rPr>
          <w:rFonts w:ascii="Times New Roman" w:hAnsi="Times New Roman" w:cs="Times New Roman"/>
          <w:sz w:val="24"/>
          <w:szCs w:val="24"/>
        </w:rPr>
        <w:t xml:space="preserve">Покупатель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«Стороны», на </w:t>
      </w:r>
      <w:r>
        <w:rPr>
          <w:rFonts w:ascii="Times New Roman" w:hAnsi="Times New Roman" w:cs="Times New Roman"/>
          <w:sz w:val="24"/>
          <w:szCs w:val="24"/>
        </w:rPr>
        <w:t xml:space="preserve">основании протокола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 результатах электронного аукциона по продаже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от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___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___</w:t>
      </w:r>
      <w:r>
        <w:rPr>
          <w:rFonts w:ascii="Times New Roman" w:hAnsi="Times New Roman" w:cs="Times New Roman"/>
          <w:b/>
          <w:sz w:val="24"/>
          <w:szCs w:val="24"/>
        </w:rPr>
        <w:t xml:space="preserve"> (далее – протокол), по лоту</w:t>
      </w:r>
      <w:r>
        <w:rPr>
          <w:rFonts w:ascii="Times New Roman" w:hAnsi="Times New Roman" w:cs="Times New Roman"/>
          <w:b/>
          <w:sz w:val="24"/>
          <w:szCs w:val="24"/>
        </w:rPr>
        <w:t xml:space="preserve"> №__,</w:t>
      </w:r>
      <w:r>
        <w:rPr>
          <w:rFonts w:ascii="Times New Roman" w:hAnsi="Times New Roman" w:cs="Times New Roman"/>
          <w:sz w:val="24"/>
          <w:szCs w:val="24"/>
        </w:rPr>
        <w:t xml:space="preserve"> заключили настоящий 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следующем.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67"/>
        <w:jc w:val="cent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Предмет договора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41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</w:t>
      </w:r>
      <w:r>
        <w:rPr>
          <w:rFonts w:ascii="Times New Roman" w:hAnsi="Times New Roman" w:cs="Times New Roman"/>
          <w:sz w:val="24"/>
          <w:szCs w:val="24"/>
        </w:rPr>
        <w:t xml:space="preserve"> Во исполнение протокола Продавец обязуется передать в собственность Покупателю 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, имеющий кадастровый номер </w:t>
      </w:r>
      <w:r>
        <w:rPr>
          <w:rFonts w:ascii="Times New Roman" w:hAnsi="Times New Roman" w:cs="Times New Roman"/>
          <w:b/>
          <w:sz w:val="24"/>
          <w:szCs w:val="24"/>
        </w:rPr>
        <w:t xml:space="preserve">59:01:3812825:165</w:t>
      </w:r>
      <w:r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b/>
          <w:sz w:val="24"/>
          <w:szCs w:val="24"/>
        </w:rPr>
        <w:t xml:space="preserve">553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</w:t>
      </w:r>
      <w:r>
        <w:rPr>
          <w:rFonts w:ascii="Times New Roman" w:hAnsi="Times New Roman" w:cs="Times New Roman"/>
          <w:sz w:val="24"/>
          <w:szCs w:val="24"/>
        </w:rPr>
        <w:t xml:space="preserve">.м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расположенный на землях населенных пунктов и находящийся по адресу: </w:t>
      </w:r>
      <w:r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Федерация, край Пермский, </w:t>
      </w:r>
      <w:r>
        <w:rPr>
          <w:rFonts w:ascii="Times New Roman" w:hAnsi="Times New Roman" w:cs="Times New Roman"/>
          <w:b/>
          <w:sz w:val="24"/>
          <w:szCs w:val="24"/>
        </w:rPr>
        <w:t xml:space="preserve">г.о</w:t>
      </w:r>
      <w:r>
        <w:rPr>
          <w:rFonts w:ascii="Times New Roman" w:hAnsi="Times New Roman" w:cs="Times New Roman"/>
          <w:b/>
          <w:sz w:val="24"/>
          <w:szCs w:val="24"/>
        </w:rPr>
        <w:t xml:space="preserve">. Пермский, г Пермь, </w:t>
      </w:r>
      <w:r>
        <w:rPr>
          <w:rFonts w:ascii="Times New Roman" w:hAnsi="Times New Roman" w:cs="Times New Roman"/>
          <w:b/>
          <w:sz w:val="24"/>
          <w:szCs w:val="24"/>
        </w:rPr>
        <w:t xml:space="preserve">ул</w:t>
      </w:r>
      <w:r>
        <w:rPr>
          <w:rFonts w:ascii="Times New Roman" w:hAnsi="Times New Roman" w:cs="Times New Roman"/>
          <w:b/>
          <w:sz w:val="24"/>
          <w:szCs w:val="24"/>
        </w:rPr>
        <w:t xml:space="preserve"> Новогодняя, </w:t>
      </w:r>
      <w:r>
        <w:rPr>
          <w:rFonts w:ascii="Times New Roman" w:hAnsi="Times New Roman" w:cs="Times New Roman"/>
          <w:b/>
          <w:sz w:val="24"/>
          <w:szCs w:val="24"/>
        </w:rPr>
        <w:t xml:space="preserve">зу</w:t>
      </w:r>
      <w:r>
        <w:rPr>
          <w:rFonts w:ascii="Times New Roman" w:hAnsi="Times New Roman" w:cs="Times New Roman"/>
          <w:b/>
          <w:sz w:val="24"/>
          <w:szCs w:val="24"/>
        </w:rPr>
        <w:t xml:space="preserve"> 3а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- земельный участок),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Покупатель обязуется принять и оплатить указанное имущество.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Земельный участок расположен в территориальной зоне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индивидуальной жилой застройки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типа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(Ж-4).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Земельный уч</w:t>
      </w:r>
      <w:r>
        <w:rPr>
          <w:rFonts w:ascii="Times New Roman" w:hAnsi="Times New Roman" w:cs="Times New Roman"/>
          <w:sz w:val="24"/>
          <w:szCs w:val="24"/>
        </w:rPr>
        <w:t xml:space="preserve">асток расположен в зоне </w:t>
      </w:r>
      <w:r>
        <w:rPr>
          <w:rFonts w:ascii="Times New Roman" w:hAnsi="Times New Roman" w:cs="Times New Roman"/>
          <w:sz w:val="24"/>
          <w:szCs w:val="24"/>
        </w:rPr>
        <w:t xml:space="preserve">с особыми условиями использования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частично охранная зона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Л 0,4кВ от ТП</w:t>
      </w:r>
      <w:r>
        <w:rPr>
          <w:rFonts w:ascii="Times New Roman" w:hAnsi="Times New Roman" w:cs="Times New Roman"/>
          <w:sz w:val="24"/>
          <w:szCs w:val="24"/>
        </w:rPr>
        <w:t xml:space="preserve">4383 от </w:t>
      </w:r>
      <w:r>
        <w:rPr>
          <w:rFonts w:ascii="Times New Roman" w:hAnsi="Times New Roman" w:cs="Times New Roman"/>
          <w:sz w:val="24"/>
          <w:szCs w:val="24"/>
        </w:rPr>
        <w:t xml:space="preserve">ТП </w:t>
      </w:r>
      <w:r>
        <w:rPr>
          <w:rFonts w:ascii="Times New Roman" w:hAnsi="Times New Roman" w:cs="Times New Roman"/>
          <w:sz w:val="24"/>
          <w:szCs w:val="24"/>
        </w:rPr>
        <w:t xml:space="preserve">4384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ТП </w:t>
      </w:r>
      <w:r>
        <w:rPr>
          <w:rFonts w:ascii="Times New Roman" w:hAnsi="Times New Roman" w:cs="Times New Roman"/>
          <w:sz w:val="24"/>
          <w:szCs w:val="24"/>
        </w:rPr>
        <w:t xml:space="preserve">4385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ТП </w:t>
      </w:r>
      <w:r>
        <w:rPr>
          <w:rFonts w:ascii="Times New Roman" w:hAnsi="Times New Roman" w:cs="Times New Roman"/>
          <w:sz w:val="24"/>
          <w:szCs w:val="24"/>
        </w:rPr>
        <w:t xml:space="preserve">4386</w:t>
      </w:r>
      <w:r>
        <w:rPr>
          <w:rFonts w:ascii="Times New Roman" w:hAnsi="Times New Roman" w:cs="Times New Roman"/>
          <w:sz w:val="24"/>
          <w:szCs w:val="24"/>
        </w:rPr>
        <w:t xml:space="preserve">, КЛ 0,4кВ от ТП </w:t>
      </w:r>
      <w:r>
        <w:rPr>
          <w:rFonts w:ascii="Times New Roman" w:hAnsi="Times New Roman" w:cs="Times New Roman"/>
          <w:sz w:val="24"/>
          <w:szCs w:val="24"/>
        </w:rPr>
        <w:t xml:space="preserve">4383</w:t>
      </w:r>
      <w:r>
        <w:rPr>
          <w:rFonts w:ascii="Times New Roman" w:hAnsi="Times New Roman" w:cs="Times New Roman"/>
          <w:sz w:val="24"/>
          <w:szCs w:val="24"/>
        </w:rPr>
        <w:t xml:space="preserve">, от ТП </w:t>
      </w:r>
      <w:r>
        <w:rPr>
          <w:rFonts w:ascii="Times New Roman" w:hAnsi="Times New Roman" w:cs="Times New Roman"/>
          <w:sz w:val="24"/>
          <w:szCs w:val="24"/>
        </w:rPr>
        <w:t xml:space="preserve">4385</w:t>
      </w:r>
      <w:r>
        <w:rPr>
          <w:rFonts w:ascii="Times New Roman" w:hAnsi="Times New Roman" w:cs="Times New Roman"/>
          <w:sz w:val="24"/>
          <w:szCs w:val="24"/>
        </w:rPr>
        <w:t xml:space="preserve">, от КТП </w:t>
      </w:r>
      <w:r>
        <w:rPr>
          <w:rFonts w:ascii="Times New Roman" w:hAnsi="Times New Roman" w:cs="Times New Roman"/>
          <w:sz w:val="24"/>
          <w:szCs w:val="24"/>
        </w:rPr>
        <w:t xml:space="preserve">4386 (электросетевой комплекс «Подстанция 110/6кВ «Северная» с линиями электропередачи, трансформаторными подстанциями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 распределительными пунктами)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приаэродромная</w:t>
      </w:r>
      <w:r>
        <w:rPr>
          <w:rFonts w:ascii="Times New Roman" w:hAnsi="Times New Roman" w:cs="Times New Roman"/>
          <w:sz w:val="24"/>
          <w:szCs w:val="24"/>
        </w:rPr>
        <w:t xml:space="preserve"> территория аэродрома аэропорта Большое </w:t>
      </w:r>
      <w:r>
        <w:rPr>
          <w:rFonts w:ascii="Times New Roman" w:hAnsi="Times New Roman" w:cs="Times New Roman"/>
          <w:sz w:val="24"/>
          <w:szCs w:val="24"/>
        </w:rPr>
        <w:t xml:space="preserve">Савино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границах земельного участка расположено некапитальное строение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часть деревянного ограждения</w:t>
      </w:r>
      <w:r>
        <w:rPr>
          <w:rFonts w:ascii="Times New Roman" w:hAnsi="Times New Roman" w:cs="Times New Roman"/>
          <w:sz w:val="24"/>
          <w:szCs w:val="24"/>
        </w:rPr>
        <w:t xml:space="preserve">, бремя содержания которого несёт Покупатель с момента государственной регистрации права собственности на земельный участок. Покупатель не имеет претензий к Продавцу в связи с наличием на земельном участке некапитального строения </w:t>
      </w:r>
      <w:r>
        <w:rPr>
          <w:rFonts w:ascii="Times New Roman" w:hAnsi="Times New Roman" w:cs="Times New Roman"/>
          <w:sz w:val="24"/>
          <w:szCs w:val="24"/>
        </w:rPr>
        <w:t xml:space="preserve">– часть деревянного ограждения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2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Разрешенное использование - для индивидуального жилищного строительства (2.1).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67"/>
        <w:jc w:val="cent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4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Стоимость сделки и порядок оплаты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Цена земельного участка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________________</w:t>
      </w:r>
      <w:r>
        <w:rPr>
          <w:rFonts w:ascii="Times New Roman" w:hAnsi="Times New Roman" w:cs="Times New Roman"/>
          <w:sz w:val="24"/>
          <w:szCs w:val="24"/>
        </w:rPr>
        <w:t xml:space="preserve">  рублей  (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 копеек).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Покупатель перечисляет денежные средства, определенные в пункте 2.1 настоящего договора, в порядке, установленном разделом IV настоящего договора.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Сумма задатка, внесенная Покупателем для участия в аукционе, засчитывается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оплату приобретаемого земельного участка.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Обязанности сторон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Продавец обязуется передать земельный участок свободным от любых прав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Покупатель обязуется: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</w:t>
      </w:r>
      <w:r>
        <w:rPr>
          <w:rFonts w:ascii="Times New Roman" w:hAnsi="Times New Roman" w:cs="Times New Roman"/>
          <w:sz w:val="24"/>
          <w:szCs w:val="24"/>
        </w:rPr>
        <w:t xml:space="preserve">оплатить стоимость земельного</w:t>
      </w:r>
      <w:r>
        <w:rPr>
          <w:rFonts w:ascii="Times New Roman" w:hAnsi="Times New Roman" w:cs="Times New Roman"/>
          <w:sz w:val="24"/>
          <w:szCs w:val="24"/>
        </w:rPr>
        <w:t xml:space="preserve"> участка в соответствии с требованиями, содержащимися в разделе II настоящего договора;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принять земельный участок в собственность по акту приема-передачи;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производить мероприятия в целях охраны земельного участка, в том числе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3.4.4. 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облюдать</w:t>
      </w:r>
      <w:r>
        <w:rPr>
          <w:rFonts w:ascii="Times New Roman" w:hAnsi="Times New Roman" w:cs="Times New Roman"/>
          <w:sz w:val="24"/>
          <w:szCs w:val="24"/>
        </w:rPr>
        <w:t xml:space="preserve"> правила охраны электрических сетей, установленные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</w:t>
      </w:r>
      <w:r>
        <w:rPr>
          <w:rFonts w:ascii="Times New Roman" w:hAnsi="Times New Roman" w:cs="Times New Roman"/>
          <w:sz w:val="24"/>
          <w:szCs w:val="24"/>
        </w:rPr>
        <w:t xml:space="preserve">оложенных в границах таких зон»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 соблюдать Правила использования воздушного пространства, установленные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67"/>
        <w:jc w:val="both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2.2.6</w:t>
      </w:r>
      <w:r>
        <w:rPr>
          <w:rFonts w:ascii="Times New Roman" w:hAnsi="Times New Roman" w:cs="Times New Roman"/>
          <w:sz w:val="24"/>
          <w:szCs w:val="24"/>
        </w:rPr>
        <w:t xml:space="preserve">. соблюдать правила благоустройства территории города Перми, утвержденные решением Пермской городской Думы от 15</w:t>
      </w:r>
      <w:r>
        <w:rPr>
          <w:rFonts w:ascii="Times New Roman" w:hAnsi="Times New Roman" w:cs="Times New Roman"/>
          <w:sz w:val="24"/>
          <w:szCs w:val="24"/>
        </w:rPr>
        <w:t xml:space="preserve">.12.2020 </w:t>
      </w:r>
      <w:r>
        <w:rPr>
          <w:rFonts w:ascii="Times New Roman" w:hAnsi="Times New Roman" w:cs="Times New Roman"/>
          <w:sz w:val="24"/>
          <w:szCs w:val="24"/>
        </w:rPr>
        <w:t xml:space="preserve">№ 277 «Об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Правил благоустройства территории города Перми</w:t>
      </w:r>
      <w:r>
        <w:rPr>
          <w:rFonts w:ascii="Times New Roman" w:hAnsi="Times New Roman" w:cs="Times New Roman"/>
          <w:sz w:val="24"/>
          <w:szCs w:val="24"/>
        </w:rPr>
        <w:t xml:space="preserve">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 соблюдать требования, предусмотренные Земельным кодексом Российской Федерации, федеральными законами.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4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Порядок заключения договора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Покупатель в течение 15 дней со дня размещения протокола перечисляет денежные средства, определенные в пункте 2.1 настоящего договора, на счет Продавца: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Получатель: УФК по Пермскому краю (Департамент земельных отношений администрации г. Перми),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5902293379 КПП 590201001 БИК 015773997 ОКТМО: 57701000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УФК по Пермскому краю (Департамент земельных отношений администрации г. Перми) ОТДЕЛЕНИЕ ПЕРМЬ БАНКА РОССИИ//УФК по Пермскому краю г. Пермь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корреспондентского счета: 40102810145370000048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счета УФК по Пермскому краю: 03100643000000015600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КБК 99211406012040000430 Доходы от продажи земельных участков, государственная собственность на которые не разграничена и которые расположены в границах городских округов.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Продавец в течение 5 дней со дня истечения 10-дневного срока со дня размещения протокола направляет Покупателю подписанный проект договора.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После подписания Покупателем проекта договора Продавец в течение 5 дней направляет Покупателю подписанный акт приема-передачи земельного участка.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В случае отсутствия оплаты в размере, предусмотренном пунктом 2.1 настоящего договора, акт приема-передачи земельного участка не направляется Покупателю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для подписания, договор считается незаключенным.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Срок действия договора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считается заключенным с момента подписания Сторонами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 действует до полного выполнения Сторонами своих обязательств.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VI. Ответственность сторон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несут ответственность за ненадлежащее выполнение условий договора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4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VII. Заключительные положения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настоящем договоре.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Споры по настоящему договору могут быть переданы на разрешение суда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истечении 15 календарных дней со дня направления претензии (требования).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Во всем остальном, что не предусмотрено настоящим договором, стороны руководствуются действующим законодательством.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Настоящий договор заключается в электронной форме и подписывается усиленной квалифицированной электронной подписью каждой из Сторон.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по договору.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являются: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приема-передачи земельного участка.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за земельный участок в сумме, указанной в пункте 2.1 настоящего договора, произведена полностью. Реквизиты документ</w:t>
      </w:r>
      <w:r>
        <w:rPr>
          <w:rFonts w:ascii="Times New Roman" w:hAnsi="Times New Roman" w:cs="Times New Roman"/>
          <w:sz w:val="24"/>
          <w:szCs w:val="24"/>
        </w:rPr>
        <w:t xml:space="preserve">а(</w:t>
      </w:r>
      <w:r>
        <w:rPr>
          <w:rFonts w:ascii="Times New Roman" w:hAnsi="Times New Roman" w:cs="Times New Roman"/>
          <w:sz w:val="24"/>
          <w:szCs w:val="24"/>
        </w:rPr>
        <w:t xml:space="preserve">ов</w:t>
      </w:r>
      <w:r>
        <w:rPr>
          <w:rFonts w:ascii="Times New Roman" w:hAnsi="Times New Roman" w:cs="Times New Roman"/>
          <w:sz w:val="24"/>
          <w:szCs w:val="24"/>
        </w:rPr>
        <w:t xml:space="preserve">), подтверждающего(их) перечисление денежных средств Продавцу_________________________________________________________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(наименование, дата, номер)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cent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41"/>
        <w:jc w:val="cent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XI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  <w:t xml:space="preserve"> Адреса, реквизиты и подписи сторон</w:t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652"/>
        <w:gridCol w:w="492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2" w:type="dxa"/>
            <w:textDirection w:val="lrTb"/>
            <w:noWrap w:val="false"/>
          </w:tcPr>
          <w:p>
            <w:pPr>
              <w:pStyle w:val="741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Продавец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4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земельных отношений администрации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41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614000, г. Пермь,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41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Сибирская, 15,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41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212-31-70, 212-28-92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41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pStyle w:val="741"/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Покупатель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  <w:p>
            <w:pPr>
              <w:pStyle w:val="741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Адрес регистрации: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r>
          </w:p>
          <w:p>
            <w:pPr>
              <w:pStyle w:val="741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адрес фактического проживания: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r>
          </w:p>
          <w:p>
            <w:pPr>
              <w:pStyle w:val="741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паспорт гражданина РФ: серия ____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r>
          </w:p>
          <w:p>
            <w:pPr>
              <w:pStyle w:val="741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выдан: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r>
          </w:p>
          <w:p>
            <w:pPr>
              <w:pStyle w:val="741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дата выдачи: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r>
          </w:p>
          <w:p>
            <w:pPr>
              <w:pStyle w:val="741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r>
          </w:p>
          <w:p>
            <w:pPr>
              <w:pStyle w:val="741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СНИЛС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r>
          </w:p>
          <w:p>
            <w:pPr>
              <w:pStyle w:val="74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741"/>
        <w:ind w:firstLine="540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извещения, повестки и сообщения, направленные по указанному в настоящем разделе почтовому адресу Покупателя, равно как и </w:t>
      </w:r>
      <w:r>
        <w:rPr>
          <w:rFonts w:ascii="Times New Roman" w:hAnsi="Times New Roman" w:cs="Times New Roman"/>
          <w:sz w:val="24"/>
          <w:szCs w:val="24"/>
        </w:rPr>
        <w:t xml:space="preserve">направленные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по телекоммуникационным каналам связи, считаются законно врученными, ему известными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40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7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>
        <w:tblPrEx/>
        <w:trPr/>
        <w:tc>
          <w:tcPr>
            <w:tcW w:w="4786" w:type="dxa"/>
            <w:textDirection w:val="lrTb"/>
            <w:noWrap w:val="false"/>
          </w:tcPr>
          <w:p>
            <w:pPr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/>
            <w:bookmarkStart w:id="0" w:name="P133"/>
            <w:r/>
            <w:bookmarkEnd w:id="0"/>
            <w:r>
              <w:rPr>
                <w:b/>
                <w:sz w:val="24"/>
                <w:szCs w:val="24"/>
              </w:rPr>
              <w:t xml:space="preserve">Продавец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:</w:t>
            </w:r>
            <w:r>
              <w:rPr>
                <w:bCs/>
                <w:sz w:val="24"/>
                <w:szCs w:val="24"/>
                <w:lang w:eastAsia="ru-RU"/>
              </w:rPr>
            </w:r>
          </w:p>
          <w:p>
            <w:pPr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</w:p>
          <w:p>
            <w:pPr>
              <w:ind w:left="108"/>
              <w:jc w:val="both"/>
              <w:spacing w:line="276" w:lineRule="auto"/>
              <w:widowControl w:val="off"/>
              <w:tabs>
                <w:tab w:val="left" w:pos="4678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__________________ 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Е.А.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Погадаева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ind w:left="108"/>
              <w:jc w:val="both"/>
              <w:spacing w:line="276" w:lineRule="auto"/>
              <w:widowControl w:val="off"/>
              <w:tabs>
                <w:tab w:val="left" w:pos="4678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spacing w:line="276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Дата _______________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М.П.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Покупатель:</w:t>
            </w:r>
            <w:r>
              <w:rPr>
                <w:b/>
                <w:sz w:val="24"/>
                <w:szCs w:val="24"/>
              </w:rPr>
            </w:r>
          </w:p>
          <w:p>
            <w:pPr>
              <w:jc w:val="both"/>
              <w:spacing w:line="276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spacing w:line="276" w:lineRule="auto"/>
              <w:widowControl w:val="off"/>
              <w:tabs>
                <w:tab w:val="left" w:pos="1628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_________________ </w:t>
            </w:r>
            <w:r>
              <w:rPr>
                <w:sz w:val="24"/>
                <w:szCs w:val="24"/>
                <w:lang w:eastAsia="ru-RU"/>
              </w:rPr>
              <w:tab/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spacing w:line="276" w:lineRule="auto"/>
              <w:widowControl w:val="off"/>
              <w:tabs>
                <w:tab w:val="left" w:pos="1628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spacing w:line="276" w:lineRule="auto"/>
              <w:widowControl w:val="off"/>
              <w:tabs>
                <w:tab w:val="left" w:pos="1628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Дата ___________________</w:t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5" w:h="16838" w:orient="portrait"/>
      <w:pgMar w:top="851" w:right="851" w:bottom="851" w:left="1134" w:header="0" w:footer="55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26661986"/>
      <w:docPartObj>
        <w:docPartGallery w:val="Page Numbers (Top of Page)"/>
        <w:docPartUnique w:val="true"/>
      </w:docPartObj>
      <w:rPr/>
    </w:sdtPr>
    <w:sdtContent>
      <w:p>
        <w:pPr>
          <w:pStyle w:val="748"/>
          <w:jc w:val="center"/>
        </w:pPr>
        <w:r/>
        <w:r/>
      </w:p>
      <w:p>
        <w:pPr>
          <w:pStyle w:val="748"/>
          <w:jc w:val="center"/>
        </w:pPr>
        <w:r/>
        <w:bookmarkStart w:id="1" w:name="_GoBack"/>
        <w:r/>
        <w:bookmarkEnd w:id="1"/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4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37"/>
    <w:next w:val="73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3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37"/>
    <w:next w:val="7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3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37"/>
    <w:next w:val="7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3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37"/>
    <w:next w:val="7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3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37"/>
    <w:next w:val="7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3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37"/>
    <w:next w:val="7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3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37"/>
    <w:next w:val="7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3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37"/>
    <w:next w:val="7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3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37"/>
    <w:next w:val="7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3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3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37"/>
    <w:next w:val="7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38"/>
    <w:link w:val="34"/>
    <w:uiPriority w:val="10"/>
    <w:rPr>
      <w:sz w:val="48"/>
      <w:szCs w:val="48"/>
    </w:rPr>
  </w:style>
  <w:style w:type="paragraph" w:styleId="36">
    <w:name w:val="Subtitle"/>
    <w:basedOn w:val="737"/>
    <w:next w:val="7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38"/>
    <w:link w:val="36"/>
    <w:uiPriority w:val="11"/>
    <w:rPr>
      <w:sz w:val="24"/>
      <w:szCs w:val="24"/>
    </w:rPr>
  </w:style>
  <w:style w:type="paragraph" w:styleId="38">
    <w:name w:val="Quote"/>
    <w:basedOn w:val="737"/>
    <w:next w:val="7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37"/>
    <w:next w:val="7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38"/>
    <w:link w:val="748"/>
    <w:uiPriority w:val="99"/>
  </w:style>
  <w:style w:type="character" w:styleId="45">
    <w:name w:val="Footer Char"/>
    <w:basedOn w:val="738"/>
    <w:link w:val="750"/>
    <w:uiPriority w:val="99"/>
  </w:style>
  <w:style w:type="character" w:styleId="47">
    <w:name w:val="Caption Char"/>
    <w:basedOn w:val="761"/>
    <w:link w:val="750"/>
    <w:uiPriority w:val="99"/>
  </w:style>
  <w:style w:type="table" w:styleId="49">
    <w:name w:val="Table Grid Light"/>
    <w:basedOn w:val="7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44"/>
    <w:uiPriority w:val="99"/>
    <w:rPr>
      <w:sz w:val="18"/>
    </w:rPr>
  </w:style>
  <w:style w:type="character" w:styleId="179">
    <w:name w:val="Endnote Text Char"/>
    <w:link w:val="752"/>
    <w:uiPriority w:val="99"/>
    <w:rPr>
      <w:sz w:val="20"/>
    </w:rPr>
  </w:style>
  <w:style w:type="paragraph" w:styleId="181">
    <w:name w:val="toc 1"/>
    <w:basedOn w:val="737"/>
    <w:next w:val="7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37"/>
    <w:next w:val="7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37"/>
    <w:next w:val="7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37"/>
    <w:next w:val="7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37"/>
    <w:next w:val="7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37"/>
    <w:next w:val="7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37"/>
    <w:next w:val="7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37"/>
    <w:next w:val="7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37"/>
    <w:next w:val="7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37"/>
    <w:next w:val="737"/>
    <w:uiPriority w:val="99"/>
    <w:unhideWhenUsed/>
    <w:pPr>
      <w:spacing w:after="0" w:afterAutospacing="0"/>
    </w:pPr>
  </w:style>
  <w:style w:type="paragraph" w:styleId="737" w:default="1">
    <w:name w:val="Normal"/>
    <w:qFormat/>
  </w:style>
  <w:style w:type="character" w:styleId="738" w:default="1">
    <w:name w:val="Default Paragraph Font"/>
    <w:uiPriority w:val="1"/>
    <w:semiHidden/>
    <w:unhideWhenUsed/>
  </w:style>
  <w:style w:type="table" w:styleId="7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0" w:default="1">
    <w:name w:val="No List"/>
    <w:uiPriority w:val="99"/>
    <w:semiHidden/>
    <w:unhideWhenUsed/>
  </w:style>
  <w:style w:type="paragraph" w:styleId="74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742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743">
    <w:name w:val="Table Grid"/>
    <w:basedOn w:val="739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44">
    <w:name w:val="footnote text"/>
    <w:basedOn w:val="737"/>
    <w:link w:val="74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5" w:customStyle="1">
    <w:name w:val="Текст сноски Знак"/>
    <w:basedOn w:val="738"/>
    <w:link w:val="744"/>
    <w:uiPriority w:val="99"/>
    <w:semiHidden/>
    <w:rPr>
      <w:sz w:val="20"/>
      <w:szCs w:val="20"/>
    </w:rPr>
  </w:style>
  <w:style w:type="character" w:styleId="746">
    <w:name w:val="footnote reference"/>
    <w:semiHidden/>
    <w:unhideWhenUsed/>
    <w:rPr>
      <w:vertAlign w:val="superscript"/>
    </w:rPr>
  </w:style>
  <w:style w:type="table" w:styleId="747" w:customStyle="1">
    <w:name w:val="Сетка таблицы1"/>
    <w:basedOn w:val="739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48">
    <w:name w:val="Header"/>
    <w:basedOn w:val="737"/>
    <w:link w:val="74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49" w:customStyle="1">
    <w:name w:val="Верхний колонтитул Знак"/>
    <w:basedOn w:val="738"/>
    <w:link w:val="748"/>
    <w:uiPriority w:val="99"/>
  </w:style>
  <w:style w:type="paragraph" w:styleId="750">
    <w:name w:val="Footer"/>
    <w:basedOn w:val="737"/>
    <w:link w:val="75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51" w:customStyle="1">
    <w:name w:val="Нижний колонтитул Знак"/>
    <w:basedOn w:val="738"/>
    <w:link w:val="750"/>
    <w:uiPriority w:val="99"/>
  </w:style>
  <w:style w:type="paragraph" w:styleId="752">
    <w:name w:val="endnote text"/>
    <w:basedOn w:val="737"/>
    <w:link w:val="75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3" w:customStyle="1">
    <w:name w:val="Текст концевой сноски Знак"/>
    <w:basedOn w:val="738"/>
    <w:link w:val="752"/>
    <w:uiPriority w:val="99"/>
    <w:semiHidden/>
    <w:rPr>
      <w:sz w:val="20"/>
      <w:szCs w:val="20"/>
    </w:rPr>
  </w:style>
  <w:style w:type="character" w:styleId="754">
    <w:name w:val="endnote reference"/>
    <w:basedOn w:val="738"/>
    <w:uiPriority w:val="99"/>
    <w:semiHidden/>
    <w:unhideWhenUsed/>
    <w:rPr>
      <w:vertAlign w:val="superscript"/>
    </w:rPr>
  </w:style>
  <w:style w:type="character" w:styleId="755">
    <w:name w:val="Strong"/>
    <w:basedOn w:val="738"/>
    <w:uiPriority w:val="22"/>
    <w:qFormat/>
    <w:rPr>
      <w:rFonts w:hint="default" w:ascii="Times New Roman" w:hAnsi="Times New Roman" w:cs="Times New Roman"/>
      <w:b/>
      <w:bCs w:val="0"/>
    </w:rPr>
  </w:style>
  <w:style w:type="paragraph" w:styleId="756">
    <w:name w:val="Body Text Indent 2"/>
    <w:basedOn w:val="737"/>
    <w:link w:val="757"/>
    <w:uiPriority w:val="99"/>
    <w:semiHidden/>
    <w:unhideWhenUsed/>
    <w:pPr>
      <w:ind w:left="283"/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57" w:customStyle="1">
    <w:name w:val="Основной текст с отступом 2 Знак"/>
    <w:basedOn w:val="738"/>
    <w:link w:val="756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58">
    <w:name w:val="Hyperlink"/>
    <w:semiHidden/>
    <w:unhideWhenUsed/>
    <w:rPr>
      <w:color w:val="0000ff"/>
      <w:u w:val="single"/>
    </w:rPr>
  </w:style>
  <w:style w:type="paragraph" w:styleId="759">
    <w:name w:val="Balloon Text"/>
    <w:basedOn w:val="737"/>
    <w:link w:val="76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60" w:customStyle="1">
    <w:name w:val="Текст выноски Знак"/>
    <w:basedOn w:val="738"/>
    <w:link w:val="759"/>
    <w:uiPriority w:val="99"/>
    <w:semiHidden/>
    <w:rPr>
      <w:rFonts w:ascii="Tahoma" w:hAnsi="Tahoma" w:cs="Tahoma"/>
      <w:sz w:val="16"/>
      <w:szCs w:val="16"/>
    </w:rPr>
  </w:style>
  <w:style w:type="paragraph" w:styleId="761">
    <w:name w:val="Caption"/>
    <w:basedOn w:val="737"/>
    <w:next w:val="737"/>
    <w:qFormat/>
    <w:pPr>
      <w:jc w:val="center"/>
      <w:spacing w:after="0" w:line="360" w:lineRule="exact"/>
      <w:widowControl w:val="off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762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Your Company Name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atanova-av</dc:creator>
  <cp:keywords/>
  <dc:description/>
  <cp:revision>96</cp:revision>
  <dcterms:created xsi:type="dcterms:W3CDTF">2015-11-03T09:47:00Z</dcterms:created>
  <dcterms:modified xsi:type="dcterms:W3CDTF">2024-08-19T12:09:08Z</dcterms:modified>
</cp:coreProperties>
</file>