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92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12"/>
        <w:numPr>
          <w:ilvl w:val="0"/>
          <w:numId w:val="0"/>
        </w:numPr>
        <w:ind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30.08.2024 № 059-19-01-11-89</w:t>
      </w:r>
      <w:r>
        <w:rPr>
          <w:sz w:val="28"/>
          <w:szCs w:val="28"/>
        </w:rPr>
      </w:r>
    </w:p>
    <w:p>
      <w:pPr>
        <w:pStyle w:val="812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9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03.10.2024 электронного аукциона по продаже 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92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по продаже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</w:t>
      </w:r>
      <w:r>
        <w:rPr>
          <w:shd w:val="clear" w:color="auto" w:fill="ffffff"/>
        </w:rPr>
        <w:t xml:space="preserve">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</w:t>
      </w:r>
      <w:r>
        <w:rPr>
          <w:shd w:val="clear" w:color="auto" w:fill="ffffff"/>
        </w:rPr>
        <w:t xml:space="preserve">альной собственности города Перми,                   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</w:t>
      </w:r>
      <w:r>
        <w:rPr>
          <w:shd w:val="clear" w:color="auto" w:fill="ffffff"/>
        </w:rPr>
        <w:t xml:space="preserve">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                         и участков, собственность на которые не разграничена» (далее – комиссия), </w:t>
      </w:r>
      <w:r>
        <w:rPr>
          <w:rFonts w:eastAsia="Courier New"/>
          <w:color w:val="000000"/>
          <w:lang w:bidi="ru-RU"/>
        </w:rPr>
        <w:t xml:space="preserve">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bCs/>
          <w:lang w:val="en-US"/>
        </w:rPr>
        <w:t xml:space="preserve">dzo</w:t>
      </w:r>
      <w:r>
        <w:rPr>
          <w:bCs/>
        </w:rPr>
        <w:t xml:space="preserve">@</w:t>
      </w:r>
      <w:r>
        <w:rPr>
          <w:bCs/>
          <w:lang w:val="en-US"/>
        </w:rPr>
        <w:t xml:space="preserve">gorodperm</w:t>
      </w:r>
      <w:r>
        <w:rPr>
          <w:bCs/>
        </w:rPr>
        <w:t xml:space="preserve">.</w:t>
      </w:r>
      <w:r>
        <w:rPr>
          <w:bCs/>
          <w:lang w:val="en-US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департ</w:t>
      </w:r>
      <w:r>
        <w:rPr>
          <w:bCs/>
        </w:rPr>
        <w:t xml:space="preserve">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 </w:t>
      </w:r>
      <w:r>
        <w:rPr>
          <w:bCs/>
          <w:lang w:val="en-US"/>
        </w:rPr>
        <w:t xml:space="preserve">dio</w:t>
      </w:r>
      <w:r>
        <w:rPr>
          <w:bCs/>
        </w:rPr>
        <w:t xml:space="preserve">@</w:t>
      </w:r>
      <w:r>
        <w:rPr>
          <w:bCs/>
          <w:lang w:val="en-US"/>
        </w:rPr>
        <w:t xml:space="preserve">gorodperm</w:t>
      </w:r>
      <w:r>
        <w:rPr>
          <w:bCs/>
        </w:rPr>
        <w:t xml:space="preserve">.</w:t>
      </w:r>
      <w:r>
        <w:rPr>
          <w:bCs/>
          <w:lang w:val="en-US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 </w:t>
      </w:r>
      <w:r>
        <w:rPr>
          <w:sz w:val="24"/>
          <w:szCs w:val="24"/>
        </w:rPr>
        <w:t xml:space="preserve">30.08.2024 № 059-19-01-11-89.</w:t>
      </w:r>
      <w:r>
        <w:rPr>
          <w:sz w:val="24"/>
          <w:szCs w:val="24"/>
        </w:rPr>
      </w:r>
    </w:p>
    <w:p>
      <w:pPr>
        <w:pStyle w:val="939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895"/>
            <w:color w:val="000000"/>
            <w:sz w:val="24"/>
            <w:szCs w:val="24"/>
            <w:u w:val="none"/>
          </w:rPr>
          <w:t xml:space="preserve">www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gov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ru</w:t>
        </w:r>
      </w:hyperlink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895"/>
            <w:color w:val="000000"/>
            <w:sz w:val="24"/>
            <w:szCs w:val="24"/>
            <w:u w:val="none"/>
          </w:rPr>
          <w:t xml:space="preserve">www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89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895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895"/>
            <w:sz w:val="24"/>
            <w:szCs w:val="24"/>
          </w:rPr>
          <w:t xml:space="preserve">http</w:t>
        </w:r>
        <w:r>
          <w:rPr>
            <w:rStyle w:val="895"/>
            <w:sz w:val="24"/>
            <w:szCs w:val="24"/>
            <w:lang w:val="ru-RU"/>
          </w:rPr>
          <w:t xml:space="preserve">://</w:t>
        </w:r>
        <w:r>
          <w:rPr>
            <w:rStyle w:val="895"/>
            <w:sz w:val="24"/>
            <w:szCs w:val="24"/>
          </w:rPr>
          <w:t xml:space="preserve">utp</w:t>
        </w:r>
        <w:r>
          <w:rPr>
            <w:rStyle w:val="895"/>
            <w:sz w:val="24"/>
            <w:szCs w:val="24"/>
            <w:lang w:val="ru-RU"/>
          </w:rPr>
          <w:t xml:space="preserve">.</w:t>
        </w:r>
        <w:r>
          <w:rPr>
            <w:rStyle w:val="895"/>
            <w:sz w:val="24"/>
            <w:szCs w:val="24"/>
          </w:rPr>
          <w:t xml:space="preserve">sberbank</w:t>
        </w:r>
        <w:r>
          <w:rPr>
            <w:rStyle w:val="895"/>
            <w:sz w:val="24"/>
            <w:szCs w:val="24"/>
            <w:lang w:val="ru-RU"/>
          </w:rPr>
          <w:t xml:space="preserve">-</w:t>
        </w:r>
        <w:r>
          <w:rPr>
            <w:rStyle w:val="895"/>
            <w:sz w:val="24"/>
            <w:szCs w:val="24"/>
          </w:rPr>
          <w:t xml:space="preserve">ast</w:t>
        </w:r>
        <w:r>
          <w:rPr>
            <w:rStyle w:val="895"/>
            <w:sz w:val="24"/>
            <w:szCs w:val="24"/>
            <w:lang w:val="ru-RU"/>
          </w:rPr>
          <w:t xml:space="preserve">.</w:t>
        </w:r>
        <w:r>
          <w:rPr>
            <w:rStyle w:val="895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895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895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895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895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участка: </w:t>
      </w:r>
      <w:r>
        <w:rPr>
          <w:bCs/>
        </w:rPr>
        <w:t xml:space="preserve">департамент земельных отношений администрации города Перми, 614015, г. Пермь, ул.Сибирская,15, телефон 212-61-90 (отдел договоров).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12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2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8"/>
        <w:gridCol w:w="3269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contextualSpacing w:val="0"/>
              <w:ind w:right="0"/>
              <w:jc w:val="left"/>
              <w:spacing w:before="0" w:after="0" w:line="240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Наименование органа местного самоуправления, </w:t>
            </w:r>
            <w:r>
              <w:rPr>
                <w:sz w:val="20"/>
              </w:rPr>
              <w:t xml:space="preserve">принявшего решение о проведении аукциона, </w:t>
            </w:r>
            <w:r>
              <w:rPr>
                <w:sz w:val="20"/>
              </w:rPr>
              <w:t xml:space="preserve">реквизиты указанного решения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Перми, распоряжение начальника департамента земельных отношений </w:t>
            </w:r>
            <w:r>
              <w:rPr>
                <w:sz w:val="20"/>
                <w:szCs w:val="20"/>
              </w:rPr>
              <w:t xml:space="preserve">администрации города Перми </w:t>
            </w:r>
            <w:r>
              <w:rPr>
                <w:sz w:val="20"/>
                <w:szCs w:val="20"/>
              </w:rPr>
              <w:t xml:space="preserve">от 08 мая 2024 г. 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№ 21-01-03-4287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 проведении аукциона по продаже земельного участка в Свердловском районе города Перми»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Предмет аукциона по продаже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местоположение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Российская Федерация, край Пермский, городской округ Пермский, город Пермь, жилой район Ново-Бродовский, улица Ландышевая, з/у 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площадь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кв. 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59:01:5010056:23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права на земельный участок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разрешенное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под строительство индивидуального жилого дома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right="-263"/>
              <w:jc w:val="both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земли населенных пунктов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ограничение прав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прав подробно описаны: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выписке из Единого государственного реестра недвижимости об</w:t>
            </w:r>
            <w:r>
              <w:rPr>
                <w:sz w:val="20"/>
                <w:szCs w:val="20"/>
              </w:rPr>
              <w:t xml:space="preserve"> объекте недвижимости от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07.06.2024г. № КУВИ-001/2024-154601699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градостроительном плане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09.04.2024 № РФ-59-2-03-0-00-2024-0641-0</w:t>
            </w:r>
            <w:r>
              <w:rPr>
                <w:sz w:val="20"/>
                <w:szCs w:val="20"/>
              </w:rPr>
              <w:t xml:space="preserve"> (далее – ГПЗУ).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администрац</w:t>
            </w:r>
            <w:r>
              <w:rPr>
                <w:sz w:val="20"/>
                <w:szCs w:val="20"/>
              </w:rPr>
              <w:t xml:space="preserve">ии Свердловского района города Перми от 29.03.2024 № 059-39-01-29/3-247, акту обследования от 28.03.2024 на Участке объекты недвижимого и движимого имущества отсутствуют, преобладает густая растительность (деревья, кустарники), доступ на Участок свободный.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Специалистами департамента земельных отношений администрации города Перми</w:t>
            </w:r>
            <w:r>
              <w:rPr>
                <w:sz w:val="20"/>
                <w:szCs w:val="20"/>
              </w:rPr>
              <w:t xml:space="preserve"> 27.06.2024 проведен</w:t>
            </w:r>
            <w:r>
              <w:rPr>
                <w:sz w:val="20"/>
                <w:szCs w:val="20"/>
              </w:rPr>
              <w:t xml:space="preserve">о дополнительное обследование земельного участка</w:t>
            </w:r>
            <w:r>
              <w:rPr>
                <w:sz w:val="20"/>
                <w:szCs w:val="20"/>
              </w:rPr>
              <w:t xml:space="preserve">, по результа</w:t>
            </w:r>
            <w:r>
              <w:rPr>
                <w:sz w:val="20"/>
                <w:szCs w:val="20"/>
              </w:rPr>
              <w:t xml:space="preserve">там которого установлено, что </w:t>
            </w:r>
            <w:r>
              <w:rPr>
                <w:b/>
                <w:sz w:val="20"/>
                <w:szCs w:val="20"/>
              </w:rPr>
              <w:t xml:space="preserve">земельный участок не обеспечен доступом в виде проезда</w:t>
            </w:r>
            <w:r>
              <w:rPr>
                <w:sz w:val="20"/>
                <w:szCs w:val="20"/>
              </w:rPr>
              <w:t xml:space="preserve">, на территории земельного участка</w:t>
            </w:r>
            <w:r>
              <w:rPr>
                <w:sz w:val="20"/>
                <w:szCs w:val="20"/>
              </w:rPr>
              <w:t xml:space="preserve"> произрастает древесно-кустарниковая растительность.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сведениями из ЕГРН объекты капитального строительства в границах Участка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данным копии городского планшета М 1:1000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02.04.2024 (требуется корректура топографической съемки) в границах Участка частично расположен забор.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(или) с привлечением средств других лиц без отнесения соответствующих расходов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Расположение близлежащих источников противопожарного водоснабжения относительно Участк</w:t>
            </w:r>
            <w:r>
              <w:rPr>
                <w:sz w:val="20"/>
                <w:szCs w:val="20"/>
              </w:rPr>
              <w:t xml:space="preserve">а: ул. Виноградная, 22 100 куб. </w:t>
            </w:r>
            <w:r>
              <w:rPr>
                <w:sz w:val="20"/>
                <w:szCs w:val="20"/>
              </w:rPr>
              <w:t xml:space="preserve">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железо/бетонный ЖК «Янтарный» ул. Клубная, 9 Г подземный 100 куб. м., ул. Ореховая, 102 100 куб. м железо/бетонный МКУ «Благоустройство Свердловского района» исправен.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сведениям, содержащимся в ГПЗУ, ЕГРН и справке по гра</w:t>
            </w:r>
            <w:r>
              <w:rPr>
                <w:sz w:val="20"/>
                <w:szCs w:val="20"/>
              </w:rPr>
              <w:t xml:space="preserve">достроительным условиям от 22.03.2024 № 587211</w:t>
            </w:r>
            <w:r>
              <w:rPr>
                <w:sz w:val="20"/>
                <w:szCs w:val="20"/>
              </w:rPr>
              <w:t xml:space="preserve">, Участок полностью расположен в границах зоны с особыми условиями использования территории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Приаэродромной территории аэродрома аэропорта Большое Савино, реестровый номер границы 59:32-6.553.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строительство вести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соответствии с постановлением Правительства Российской Федерации от 11.03.2010 № 138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«Об утверждении Федеральных правил использования воздушного пространства Российской Федерации»: «Запрещается размещать в полосах возду</w:t>
            </w:r>
            <w:r>
              <w:rPr>
                <w:sz w:val="20"/>
                <w:szCs w:val="20"/>
              </w:rPr>
              <w:t xml:space="preserve">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управления по экологии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природопользованию администрации города Перми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от 18.04.2024 № 059-33-01-11/3-45 на Участке произрастают 27 деревьев пород – осина 22 шт., ель 1 шт., клен 4 шт. Средняя стоимость в ценах 2024 года одного дерева лиственной породы от 17 тыс. руб.,</w:t>
            </w:r>
            <w:r>
              <w:rPr>
                <w:sz w:val="20"/>
                <w:szCs w:val="20"/>
              </w:rPr>
              <w:t xml:space="preserve"> а хвойной – от 20 тыс.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Победителю аукциона необходимо соблюдать следующие условия строительства, а также проектом предусмотреть: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Нанесение существующих деревьев на стройгенплане;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Снос деревьев, попадающих в пят</w:t>
            </w:r>
            <w:r>
              <w:rPr>
                <w:sz w:val="20"/>
                <w:szCs w:val="20"/>
              </w:rPr>
              <w:t xml:space="preserve">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Восстановление зеленых насаждений вести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соответствии с решением Пермской городской Думы от 15.12.2020 № 277;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Сбор и отвод ливневых вод с использованием вариантов решений в зависимости от: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наличия централизованной системы ливневой канализации;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площади водосбора с учетом транзитных вод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прилегающей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угла наклона рельефа, включающий прилегающие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применения иных решений равномерного отвода поверхностного стока с запрашиваемой территории на прилегающей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Определение видов образующих отходов и мест их размещения на период эксплуатации;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Конкретные мероприятия по охране окружающей среды на период строительства, включая: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установку временного защитного ограждения строительной площадки;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ограждение существующих зеленых насаждений, не попадающих под пятно застройки;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прокладку коммуникаций осуществлять на расстоянии не менее 2 м. от ствола дерева, чтобы не повредить корневую систему;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использовать приствольные круги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существующих деревьев (диаметром 1м) под складирование материалов и установки временных сооружений;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определение видов и объемов образующихся отходов и мест их размещения;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систематический вывоз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недопущение загрязнения атмосферы, почвы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подземных вод;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предотвращение выноса грязи автотранспортом, выезжающим со строительной площадки.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дорог и благоустройства администрации города Перми письмом от 27.03.2024</w:t>
            </w:r>
            <w:r>
              <w:rPr>
                <w:sz w:val="20"/>
                <w:szCs w:val="20"/>
              </w:rPr>
              <w:t xml:space="preserve"> № 059-24-01-36/3-943 сообщает о возможности присоединения Участка к улично-дорожной сети города Перми при следующих условиях: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и согласовать на рабочей группе по организации и безопасности дорожного движения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(ул. Пермская, 164, тел. 236-21-84) проектное решение для примыкании территории Участка к автомобильной дороге общего пользования местного значения города Перми;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и согласовать в установленном порядке соответствующий проект организации дорожного движения на примыкание Участка к</w:t>
            </w:r>
            <w:r>
              <w:rPr>
                <w:sz w:val="20"/>
                <w:szCs w:val="20"/>
              </w:rPr>
              <w:t xml:space="preserve"> автомобильной дороге общего пользования местного значения города Перми (Приказ Минтранса России от 30.07.2020 № 274 «Об утверждении Правил подготовки документации по организации дорожного движения», постановление администрации г. Перми от 02.03.2021 № 122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«Об утверждении Перечня органов и организаций,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города Перми»);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</w:t>
            </w:r>
            <w:r>
              <w:rPr>
                <w:sz w:val="20"/>
                <w:szCs w:val="20"/>
              </w:rPr>
              <w:t xml:space="preserve">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также перечень документов, необходимых для выдачи Согласия, утверждены Постановлением администрации города Перми от 31.01.2022 № 45).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направлена информация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от 15.12.2020 № 277: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поверхностный водоотвод решить проектом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 подтопления смежных территорий, в 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действующими нормативно-правовыми актами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природоохранным законодательством;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предусмотреть электроосвещение территории объекта;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стоянку для временного транспорта разместить</w:t>
            </w:r>
            <w:r>
              <w:rPr>
                <w:sz w:val="20"/>
                <w:szCs w:val="20"/>
              </w:rPr>
              <w:t xml:space="preserve"> в границах отведенного под строительство земельного участка вне территории общего пользования;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предусмотреть устройство подъезда к Участку или ликвидацию разрушений, повреждений дорожного покрытия существующего проезда от границ Участка до существующей улично-дорожной сети, а так же наружное освещение подъезда.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бюджетом города Перми на плановый период 2024-2025 годов мероприятий по строительству, реконструкции, капитальному ремонту улично-дорожной сети на рассматриваемой территории не запланировано.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сообщается, что в соответствии</w:t>
            </w:r>
            <w:r>
              <w:rPr>
                <w:sz w:val="20"/>
                <w:szCs w:val="20"/>
              </w:rPr>
              <w:t xml:space="preserve"> с Федеральным законом от 08.11.2007 № 257-ФЗ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«Об автомобильных дорогах и о дорожной деятельности в Российской Федерации и о внесении изменений</w:t>
            </w:r>
            <w:r>
              <w:rPr>
                <w:sz w:val="20"/>
                <w:szCs w:val="20"/>
              </w:rPr>
              <w:t xml:space="preserve"> в отдельные законодательные акты Российской Федерации», расходы на строительство, реконструкцию, капитальный ремонт, ремонт пересечений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примыканий, в том числе расходы на выполнение дополнительных работ, связанных с обеспечением безопасности дорожного движения, водоотведения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департамента общественной безопасности администрации города Перми от 02.04.2024 № 059-10-01-27/3-454: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ближайшее подразделение пожарной охраны расположено по адресу: город Пермь, ул. Белинского, 52 (ПСЧ-5 10-ПСО);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общественной безопасности, отнесенный </w:t>
            </w:r>
            <w:r>
              <w:rPr>
                <w:sz w:val="20"/>
                <w:szCs w:val="20"/>
              </w:rPr>
              <w:t xml:space="preserve">к объектам полиции (участковые пункты полиции), </w:t>
            </w:r>
            <w:r>
              <w:rPr>
                <w:sz w:val="20"/>
                <w:szCs w:val="20"/>
              </w:rPr>
              <w:t xml:space="preserve">в микрорайоне Новобро</w:t>
            </w:r>
            <w:r>
              <w:rPr>
                <w:sz w:val="20"/>
                <w:szCs w:val="20"/>
              </w:rPr>
              <w:t xml:space="preserve">довский отсутствует. Ближайший участковый пункт расположен по адресу: город Пермь, ул. Казахская, 104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помещения для аварийно-спасательных формирований на указанной территории отсутствуют. </w:t>
            </w:r>
            <w:r>
              <w:rPr>
                <w:sz w:val="20"/>
                <w:szCs w:val="20"/>
              </w:rPr>
              <w:t xml:space="preserve">В настоящее время потребность в обеспечении служебными помещениями для аварийно-спасательных формирований в указанном районе отсутствует;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указанной территории источники противопожарного водоснабжения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информацией, предоставленной Министерством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территориальной безопасности Пермского края,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особый период Участок попадает в зону возможного химического заражения;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тем, что территория не попадает в зону действия региональной автоматизированной системы централизованного оповещения населения города Перми, н</w:t>
            </w:r>
            <w:r>
              <w:rPr>
                <w:sz w:val="20"/>
                <w:szCs w:val="20"/>
              </w:rPr>
              <w:t xml:space="preserve">еобходимо предусмотреть размещение дополнительных сиренно-речевых узлов системы оповещения,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</w:t>
            </w:r>
            <w:r>
              <w:rPr>
                <w:sz w:val="20"/>
                <w:szCs w:val="20"/>
              </w:rPr>
              <w:t xml:space="preserve">и от 22.07.2008 № 123-ФЗ «Технический регламент</w:t>
            </w:r>
            <w:r>
              <w:rPr>
                <w:sz w:val="20"/>
                <w:szCs w:val="20"/>
              </w:rPr>
              <w:t xml:space="preserve">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</w:t>
            </w:r>
            <w:r>
              <w:rPr>
                <w:sz w:val="20"/>
                <w:szCs w:val="20"/>
              </w:rPr>
              <w:t xml:space="preserve">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</w:t>
            </w:r>
            <w:r>
              <w:rPr>
                <w:sz w:val="20"/>
                <w:szCs w:val="20"/>
              </w:rPr>
              <w:t xml:space="preserve">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№ 288 и иной документации, касающейся норм противопожарной безопасности.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экономики и промышленной политики администрации города Перми письмом от 26.03.2024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№ 059-13-01-04-509 сообщает, что места для установки и эксплуатации рекламных конструкций, включенные</w:t>
            </w:r>
            <w:r>
              <w:rPr>
                <w:sz w:val="20"/>
                <w:szCs w:val="20"/>
              </w:rPr>
              <w:t xml:space="preserve"> в схему размещения ре</w:t>
            </w:r>
            <w:r>
              <w:rPr>
                <w:sz w:val="20"/>
                <w:szCs w:val="20"/>
              </w:rPr>
              <w:t xml:space="preserve">кламных конструкций на территории города Перми, утвержденную решением Пермской городской Думы от 23.08.2016 № 171, и места размещения НТО, включенные в схему размещения НТО на территории города Перми, утвержденную постановлением администрации города Перми </w:t>
            </w: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от 02.08.2018 № 521, в границах Участка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Договоры на размещение НТО в границах Участка не заключались.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департамента имущественных отношений администрации города Перми от 25.03.2024 № 059-19-01-35/3-470 Участок и объекты недвижимого имущества в реестре муниципального имущества города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Перми не учитываются.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инспекция по охране объектов культурного наследия Пермского края письмом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от 26.03.2024 № Исх55-01-17.2-129 сообщает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 границах Участка отсутствуют: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объекты культурного наследия, включенные</w:t>
            </w:r>
            <w:r>
              <w:rPr>
                <w:sz w:val="20"/>
                <w:szCs w:val="20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выявленные объекты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объекты, обладающие признаками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территории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зоны охраны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защитные зоны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Участок не связан с земельным участком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границах территории объекта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Сведения о режимах использования (ограничения/обременения) Участка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Данные о проведенных историко-культурных исследованиях в границах Участка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Необходимость проведения историко-культурной экспертизы в границах Участка отсутствует.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r/>
            <w:r/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720" w:right="-263" w:hanging="360"/>
              <w:rPr>
                <w:sz w:val="20"/>
              </w:rPr>
            </w:pPr>
            <w:r>
              <w:rPr>
                <w:sz w:val="20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firstLine="312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на официальном сайте муниципального образования город Пермь </w:t>
              <w:br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Проектирование и строит</w:t>
            </w:r>
            <w:r>
              <w:rPr>
                <w:sz w:val="20"/>
                <w:szCs w:val="22"/>
              </w:rPr>
              <w:t xml:space="preserve">ельство необходимо вести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</w:t>
            </w:r>
            <w:r>
              <w:rPr>
                <w:sz w:val="20"/>
                <w:szCs w:val="22"/>
              </w:rPr>
              <w:t xml:space="preserve">от 20.10.2016 № 725/пр. Дом должен включать ж</w:t>
            </w:r>
            <w:r>
              <w:rPr>
                <w:sz w:val="20"/>
                <w:szCs w:val="22"/>
              </w:rPr>
              <w:t xml:space="preserve">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в однокомнатном доме - 14 м2, общей комнаты в доме </w:t>
            </w:r>
            <w:r>
              <w:rPr>
                <w:sz w:val="20"/>
                <w:szCs w:val="22"/>
              </w:rPr>
              <w:t xml:space="preserve">            </w:t>
            </w:r>
            <w:r>
              <w:rPr>
                <w:sz w:val="20"/>
                <w:szCs w:val="22"/>
              </w:rPr>
              <w:t xml:space="preserve">с числом комнат две и более - 16 м2, спальни - 8 м2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(на двух человек - 10 м2); кухни - 8 м2; кухонной зоны</w:t>
            </w:r>
            <w:r>
              <w:rPr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 xml:space="preserve"> в кухне-столовой - 6 м2. В домах с одной комнатой допускается проектировать кухни или кухни-ниши площадью не менее 5 м2. Площадь спальни и кухни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в мансардном этаже (или этаже с наклонными ограждающими конструкциями) допускается не менее </w:t>
            </w:r>
            <w:r>
              <w:rPr>
                <w:sz w:val="20"/>
                <w:szCs w:val="22"/>
              </w:rPr>
              <w:t xml:space="preserve">7 м2 при условии, что общая жилая комната имеет площадь не менее 16 м2.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Согласно пункту 6.2 СП 55.13330.2016 высота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(от пола до потолка) комнат и кухни (кухни-столовой)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передних, антресолей должна составлять не менее 2,1 м, а высота пути эвакуации - не менее 2,2 м.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 жилых комнатах и кухнях, расположенных</w:t>
            </w:r>
            <w:r>
              <w:rPr>
                <w:sz w:val="20"/>
                <w:szCs w:val="22"/>
              </w:rPr>
              <w:t xml:space="preserve">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Согласно информации, содержащейся </w:t>
            </w:r>
            <w:r>
              <w:rPr>
                <w:sz w:val="20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t xml:space="preserve">в градостроительном плане земельного участка </w:t>
            </w:r>
            <w:r>
              <w:rPr>
                <w:sz w:val="20"/>
                <w:szCs w:val="22"/>
              </w:rPr>
              <w:t xml:space="preserve">от 09.04.2024 № РФ-59-2-03-0-00-2024-0641-0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Минимальный отступ от границ земельного участка до места допустимого размещения зданий, строений, сооружений (за исключе</w:t>
            </w:r>
            <w:r>
              <w:rPr>
                <w:sz w:val="20"/>
                <w:szCs w:val="22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pStyle w:val="812"/>
              <w:ind w:firstLine="362"/>
              <w:jc w:val="both"/>
              <w:tabs>
                <w:tab w:val="right" w:pos="6000" w:leader="none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Максимальный процент застройки в границах Участка – 30%.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ind w:firstLine="362"/>
              <w:jc w:val="both"/>
              <w:tabs>
                <w:tab w:val="clear" w:pos="708" w:leader="none"/>
                <w:tab w:val="right" w:pos="60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 уведомлением о планируемом строительстве жилого дома рекомендуется обратиться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в уполномоченный орган администрации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Merge w:val="continue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numPr>
                <w:ilvl w:val="0"/>
                <w:numId w:val="2"/>
              </w:numPr>
              <w:ind w:left="529" w:hanging="284"/>
              <w:rPr>
                <w:sz w:val="20"/>
              </w:rPr>
            </w:pPr>
            <w:r>
              <w:rPr>
                <w:sz w:val="20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на официальном сайте муниципального образования город Пермь </w:t>
              <w:br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Согласно письму Филиала ПАО «Россети Урал» - «Пермэнерго» от 29.03.2024 № ПЭ/ПГЭС/01/22/2997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 наличии технической возможности технологического присоединения энергопринимающего устройства объекта с предполагаемым электоропотреблением </w:t>
            </w:r>
            <w:r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15 кВт сообщается следующее.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sz w:val="20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Пермского края от 23.11.2023 № 121-тп (в последней редакции).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</w:r>
            <w:r>
              <w:rPr>
                <w:sz w:val="20"/>
              </w:rPr>
              <w:t xml:space="preserve">об осуществлении технологического присоединения объекта к электрическим сетям филиала «Пермэнерго».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https://портал-тп.рф или через Мобильное приложение ПАО «Россети».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Согласно письму АО «Газпром газораспределение Пермь» от 26.03.2024 № ПФ-1729 техническая возможность подключения объекта капитального строительства с предполагаемой максимальной нагрузкой (часовым расходом газа) 8м3/час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 существующим сетям газораспределения имеется.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</w:t>
            </w:r>
            <w:r>
              <w:rPr>
                <w:sz w:val="20"/>
              </w:rPr>
              <w:t xml:space="preserve">с приложением необходимых документов </w:t>
            </w:r>
            <w:r>
              <w:rPr>
                <w:sz w:val="20"/>
              </w:rPr>
              <w:t xml:space="preserve">                                 </w:t>
            </w:r>
            <w:r>
              <w:rPr>
                <w:sz w:val="20"/>
              </w:rPr>
              <w:t xml:space="preserve">в соответствии с постановлением Правительства Российской Федерации от 13.09.2021 № 1547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</w:t>
            </w:r>
            <w:r>
              <w:rPr>
                <w:sz w:val="20"/>
              </w:rPr>
              <w:t xml:space="preserve">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</w:t>
            </w:r>
            <w:r>
              <w:rPr>
                <w:sz w:val="20"/>
              </w:rPr>
              <w:t xml:space="preserve">ул. Уральская, 104, через Единый центр предоставления услуг по адресу: г. Пермь, ул. Уральская, д. 104, каб. 101.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письмом ООО «НОВОГОР-Прикамье» от 26.03.2024 № 110-4422 о наличии технической возможности подключения объекта капитального строительства к централизованным системам водоснабжения и водоотведения сообщается следующее.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районе Участка отсутствуют централизованные сети водоснабжения и водоотведения, эксплуатируемые ООО «НОВОГОР-Прикамье».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Ближайшие сети водоснабжения, эксплуатируемые ООО «НОВОГОР-Прикамье», располагаются в районе здания по Бродовскому тракту, 15, ориентировочно на расстоянии – 10,0 км от Участка.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Ближайшие сети водоотведения, эксплуатируемые ООО «НОВОГОР-Прикамье», располагаются в районе зданий по ул. Героев Хасана, 109/2 ориентировочно на расстоянии – 11,0 км от Участка.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проектировании могут быть применены альтернативные способы водоснабжения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водоотведения, без подключения к централизованным системам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водопровода и канализации города Перми (снабжение водой от скважины, отвод стоков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в выгребную яму или на локальные очистные сооружения с последующим вывозом спец. машинами), которые должны соответствовать всем нормативным требованиям Российской Федерации.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связи с тем, что ООО «НОВОГОР-Прикамье» эксп</w:t>
            </w:r>
            <w:r>
              <w:rPr>
                <w:sz w:val="20"/>
              </w:rPr>
              <w:t xml:space="preserve">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ООО «НОВОГОР-Прикамье» не располагает сведениями о наличии сетей 3-х лиц в границах Участка.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АО «Ростелеком» письмом от 29.03.2024 № 01/05/44003/24</w:t>
            </w:r>
            <w:r>
              <w:rPr>
                <w:sz w:val="20"/>
              </w:rPr>
              <w:t xml:space="preserve"> сообщает, что в границах Участка сети связи ПАО «Ростелеком» отсутствуют.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подключения (технологического присоединения) вышеуказанного объекта к сетям электросвязи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ПАО «Ростелеком» необходим запрос правообладателя земельного участка на выдачу технических условий подключения или заявка </w:t>
            </w:r>
            <w:r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 xml:space="preserve">о заключении договора о подключении в порядке, определенном действующим законодательством.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Срок действия технических условий составляет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 года (при комплексном развитии территории 5 лет) со дня выдачи технических условий.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случае, если в течении 1 года (при комплексном развитии территории – 3 лет) со дня выдачи технических условий заявителем не будет подана заявка о под</w:t>
            </w:r>
            <w:r>
              <w:rPr>
                <w:sz w:val="20"/>
              </w:rPr>
              <w:t xml:space="preserve">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получения технических условий на подключение к сетям связи ПАО «Ростелеком» необходимо обратиться в отдел продаж и обслуживания по адресу: г. Пермь, ул. Крупской, 2, тел.:(342) 235-57-34 или направить запрос на perm-mail@ural.rt.ru.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письмом Филиала «Пермский ПАО «Т Плюс» от 29.03.2024 № 51000-32-00936 Участок расположен вне зоны теплоснабжения ПАО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«Т Плюс».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Департамент жилищно-коммунальн</w:t>
            </w:r>
            <w:r>
              <w:rPr>
                <w:sz w:val="20"/>
              </w:rPr>
              <w:t xml:space="preserve">ого хозяйства администрации города Перми (далее – ДЖКХ) письмом от 04.04.2024 № 059-04-25/3-40-ри сообщает, что техническая возможность подключения к сетям теплоснабжения отсутствует. Рекомендовано рассмотреть альтернативные источники теплоснабжения – газ.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firstLine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Согласно письму ДЖКХ от 28.03.2024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  <w:t xml:space="preserve"> 059-04-17/3-329-ри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Начальная цена предмета аукциона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(рыночная стоимость земельного участка)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ind w:right="-2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аукциона, иное лицо, с которым договор заключается в соответствии с п.13, п.14 или п.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0"/>
                <w:szCs w:val="20"/>
              </w:rPr>
              <w:t xml:space="preserve">в течение 15 дней</w:t>
            </w:r>
            <w:r>
              <w:rPr>
                <w:sz w:val="20"/>
                <w:szCs w:val="20"/>
              </w:rPr>
              <w:t xml:space="preserve"> </w:t>
              <w:br/>
              <w:t xml:space="preserve">со дня размещения  протокола о результатах аукциона,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</w:pPr>
            <w:r>
              <w:rPr>
                <w:sz w:val="20"/>
                <w:szCs w:val="20"/>
              </w:rPr>
              <w:t xml:space="preserve">а в случаях, определенных п.13, п.14, ст. 39.12 ЗК РФ, протокола рассмотрения заявок, </w:t>
            </w:r>
            <w:r>
              <w:rPr>
                <w:b/>
                <w:sz w:val="20"/>
                <w:szCs w:val="20"/>
              </w:rPr>
              <w:t xml:space="preserve">перечислить денежные средства </w:t>
            </w:r>
            <w:r>
              <w:rPr>
                <w:sz w:val="20"/>
                <w:szCs w:val="20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2 800 000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«Шаг аукциона» (3%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84 000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Форма заявки на участие в аукционе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Размер задатка (50% от начальной цены)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1 400 000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Проект договора купли-продажи земельного участка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</w:t>
              <w:br/>
              <w:t xml:space="preserve">Приложением </w:t>
            </w:r>
            <w:r>
              <w:rPr>
                <w:sz w:val="20"/>
                <w:szCs w:val="20"/>
                <w:lang w:eastAsia="en-US"/>
              </w:rPr>
              <w:t xml:space="preserve">2 к настоящему извещению и </w:t>
            </w:r>
            <w:r>
              <w:rPr>
                <w:sz w:val="20"/>
                <w:szCs w:val="20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 xml:space="preserve">Муниципальная собственность/ Торговая площадка</w:t>
              <w:br/>
              <w:t xml:space="preserve">Вид торгов Продажа и аренда земельных участков)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textDirection w:val="lrTb"/>
            <w:noWrap w:val="false"/>
          </w:tcPr>
          <w:p>
            <w:pPr>
              <w:pStyle w:val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textDirection w:val="lrTb"/>
            <w:noWrap w:val="false"/>
          </w:tcPr>
          <w:p>
            <w:pPr>
              <w:pStyle w:val="812"/>
              <w:ind w:right="-263"/>
              <w:rPr>
                <w:sz w:val="20"/>
              </w:rPr>
            </w:pPr>
            <w:r>
              <w:rPr>
                <w:sz w:val="20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8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12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bookmarkStart w:id="1" w:name="_GoBack"/>
      <w:r/>
      <w:bookmarkEnd w:id="1"/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31.08.2024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01.10.2024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 </w:t>
      </w:r>
      <w:r>
        <w:rPr>
          <w:rFonts w:eastAsia="Courier New"/>
          <w:b/>
          <w:bCs/>
          <w:lang w:bidi="ru-RU"/>
        </w:rPr>
        <w:t xml:space="preserve">02.</w:t>
      </w:r>
      <w:r>
        <w:rPr>
          <w:rFonts w:eastAsia="Courier New"/>
          <w:b/>
          <w:lang w:bidi="ru-RU"/>
        </w:rPr>
        <w:t xml:space="preserve">10.2024</w:t>
      </w:r>
      <w:r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lang w:bidi="ru-RU"/>
        </w:rPr>
        <w:br w:type="textWrapping" w:clear="all"/>
      </w:r>
      <w:r>
        <w:rPr>
          <w:rFonts w:eastAsia="Courier New"/>
          <w:b/>
          <w:lang w:bidi="ru-RU"/>
        </w:rPr>
        <w:t xml:space="preserve">от участников аукциона)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b/>
          <w:bCs/>
          <w:lang w:bidi="ru-RU"/>
        </w:rPr>
        <w:t xml:space="preserve">03.</w:t>
      </w:r>
      <w:r>
        <w:rPr>
          <w:rFonts w:eastAsia="Courier New"/>
          <w:b/>
          <w:lang w:bidi="ru-RU"/>
        </w:rPr>
        <w:t xml:space="preserve">10.2024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12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12"/>
        <w:jc w:val="both"/>
        <w:widowControl w:val="off"/>
      </w:pPr>
      <w:r/>
      <w:r/>
    </w:p>
    <w:p>
      <w:pPr>
        <w:pStyle w:val="812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812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2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812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812"/>
        <w:ind w:left="-567" w:firstLine="709"/>
        <w:jc w:val="both"/>
        <w:widowControl w:val="off"/>
      </w:pPr>
      <w:r/>
      <w:r/>
    </w:p>
    <w:p>
      <w:pPr>
        <w:pStyle w:val="81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18" w:tooltip="http://utp.sberbank-ast.ru/AP/Notice/653/Requisites" w:history="1">
        <w:r>
          <w:rPr>
            <w:rStyle w:val="895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12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31.08.2024 по 01.10.2024.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</w:t>
      </w:r>
      <w:r>
        <w:rPr>
          <w:lang w:bidi="ru-RU"/>
        </w:rPr>
        <w:t xml:space="preserve">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 xml:space="preserve">в аукционе участника.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установленные сроки формирует поручение Оператору:</w:t>
      </w:r>
      <w:r>
        <w:rPr>
          <w:lang w:bidi="ru-RU"/>
        </w:rPr>
      </w:r>
      <w:r>
        <w:rPr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lang w:bidi="ru-RU"/>
        </w:rPr>
        <w:t xml:space="preserve">- о</w:t>
      </w:r>
      <w:r>
        <w:rPr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</w:t>
      </w:r>
      <w:r>
        <w:rPr>
          <w:bCs/>
          <w:lang w:bidi="ru-RU"/>
        </w:rPr>
        <w:t xml:space="preserve">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20, 25 ст. 39.12 Земельного Кодекса Российской Федерации, засчитываются в оплату приобретаемого земельного участка или в </w:t>
      </w:r>
      <w:r>
        <w:rPr>
          <w:bCs/>
          <w:lang w:bidi="ru-RU"/>
        </w:rPr>
        <w:t xml:space="preserve">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jc w:val="center"/>
        <w:widowControl w:val="off"/>
        <w:rPr>
          <w:rFonts w:eastAsia="Courier New"/>
          <w:lang w:bidi="ru-RU"/>
        </w:rPr>
      </w:pPr>
      <w:r>
        <w:rPr>
          <w:b/>
        </w:rPr>
        <w:t xml:space="preserve">Организатор аукциона вправе: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567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о проведении аукциона. </w:t>
      </w:r>
      <w:r/>
    </w:p>
    <w:p>
      <w:pPr>
        <w:pStyle w:val="812"/>
        <w:ind w:left="-567" w:firstLine="567"/>
        <w:jc w:val="both"/>
        <w:widowControl w:val="off"/>
      </w:pPr>
      <w:r>
        <w:t xml:space="preserve">Принять решение об отказе в проведении аукциона в случае выявления обстоятел</w:t>
      </w:r>
      <w:r>
        <w:t xml:space="preserve">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 xml:space="preserve">и на электронной площадке в течение трех дней со дня принятия данного решения.</w:t>
      </w:r>
      <w:r/>
    </w:p>
    <w:p>
      <w:pPr>
        <w:pStyle w:val="812"/>
        <w:ind w:left="-567" w:firstLine="567"/>
        <w:jc w:val="both"/>
        <w:widowControl w:val="off"/>
      </w:pPr>
      <w: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/>
    </w:p>
    <w:p>
      <w:pPr>
        <w:pStyle w:val="812"/>
        <w:ind w:left="-567" w:firstLine="567"/>
        <w:jc w:val="both"/>
        <w:widowControl w:val="off"/>
      </w:pPr>
      <w:r>
        <w:t xml:space="preserve">В случае отмены аукциона организатором аукциона (в т. ч. одного или нескольких лотов) </w:t>
      </w:r>
      <w:r>
        <w:br w:type="textWrapping" w:clear="all"/>
      </w:r>
      <w:r>
        <w:t xml:space="preserve"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/>
    </w:p>
    <w:p>
      <w:pPr>
        <w:pStyle w:val="812"/>
        <w:jc w:val="both"/>
        <w:widowControl w:val="off"/>
      </w:pPr>
      <w:r/>
      <w:r/>
    </w:p>
    <w:p>
      <w:pPr>
        <w:pStyle w:val="812"/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 xml:space="preserve">Порядок регистрации на электронной площадке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31.08.2024 по 01.10.2024 с 9.00 до 18.00 по местному времени (7:00 – 16:00 МСК).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40"/>
        <w:jc w:val="center"/>
        <w:rPr>
          <w:bCs/>
          <w:lang w:bidi="ru-RU"/>
        </w:rPr>
      </w:pPr>
      <w:r>
        <w:rPr>
          <w:b/>
          <w:color w:val="000000"/>
        </w:rPr>
        <w:t xml:space="preserve">Разъяснение положений извещения о проведении аукциона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907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907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ind w:left="-567" w:firstLine="709"/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12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содержанию и составу заявки на участие в аукционе, инструкция </w:t>
      </w:r>
      <w:r>
        <w:rPr>
          <w:b/>
          <w:bCs/>
        </w:rPr>
        <w:br w:type="textWrapping" w:clear="all"/>
      </w:r>
      <w:r>
        <w:rPr>
          <w:b/>
          <w:bCs/>
        </w:rPr>
        <w:t xml:space="preserve">по её заполнению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rFonts w:eastAsia="Courier New"/>
          <w:lang w:bidi="ru-RU"/>
        </w:rPr>
        <w:outlineLvl w:val="0"/>
      </w:pPr>
      <w: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br w:type="textWrapping" w:clear="all"/>
      </w:r>
      <w:r>
        <w:t xml:space="preserve">о проведении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о проведении аукциона срок следующие документы: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jc w:val="both"/>
        <w:rPr>
          <w:rFonts w:eastAsia="Calibri"/>
        </w:rPr>
      </w:pPr>
      <w:r>
        <w:rPr>
          <w:rFonts w:eastAsia="Calibri"/>
        </w:rPr>
        <w:t xml:space="preserve">2) копии документов, удостоверяющих личность заявителя (для граждан), всех страниц;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jc w:val="both"/>
        <w:rPr>
          <w:rFonts w:eastAsia="Calibri"/>
        </w:rPr>
      </w:pPr>
      <w:r>
        <w:rPr>
          <w:rFonts w:eastAsia="Calibri"/>
        </w:rPr>
        <w:t xml:space="preserve">4) документы, подтверждающие внесение задатка.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firstLine="708"/>
        <w:jc w:val="center"/>
        <w:rPr>
          <w:b/>
        </w:rPr>
      </w:pPr>
      <w:r>
        <w:rPr>
          <w:b/>
        </w:rPr>
        <w:t xml:space="preserve">Инструкция по заполнению и подаче заявки, порядок приема заявки</w:t>
      </w:r>
      <w:r>
        <w:rPr>
          <w:b/>
        </w:rPr>
      </w:r>
      <w:r>
        <w:rPr>
          <w:b/>
        </w:rPr>
      </w:r>
    </w:p>
    <w:p>
      <w:pPr>
        <w:pStyle w:val="812"/>
        <w:ind w:firstLine="70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2"/>
        <w:ind w:left="-567" w:firstLine="567"/>
        <w:jc w:val="both"/>
      </w:pPr>
      <w: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/>
    </w:p>
    <w:p>
      <w:pPr>
        <w:pStyle w:val="812"/>
        <w:ind w:left="-567" w:firstLine="567"/>
        <w:jc w:val="both"/>
      </w:pPr>
      <w: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/>
    </w:p>
    <w:p>
      <w:pPr>
        <w:pStyle w:val="812"/>
        <w:ind w:left="-567" w:firstLine="567"/>
        <w:jc w:val="both"/>
      </w:pPr>
      <w:r>
        <w:t xml:space="preserve">Подача заявки осуществляется заявителем, зарегистрированным в торговой секции, </w:t>
      </w:r>
      <w:r>
        <w:br w:type="textWrapping" w:clear="all"/>
      </w:r>
      <w: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/>
    </w:p>
    <w:p>
      <w:pPr>
        <w:pStyle w:val="812"/>
        <w:ind w:left="-567" w:firstLine="567"/>
        <w:jc w:val="both"/>
      </w:pPr>
      <w:r>
        <w:t xml:space="preserve">Заявитель вправе подать заявку в любое время с момента размещения извещения </w:t>
      </w:r>
      <w:r>
        <w:br w:type="textWrapping" w:clear="all"/>
      </w:r>
      <w:r>
        <w:t xml:space="preserve">о проведении аукциона до предусмотренных указанным извещением даты и времени окончания срока подачи заявок.</w:t>
      </w:r>
      <w:r/>
    </w:p>
    <w:p>
      <w:pPr>
        <w:pStyle w:val="812"/>
        <w:ind w:left="-567" w:firstLine="567"/>
        <w:jc w:val="both"/>
      </w:pPr>
      <w:r>
        <w:t xml:space="preserve">Один заявитель вправе подать только одну заявку на участие в аукционе в отношении каждого лота.</w:t>
      </w:r>
      <w:r/>
    </w:p>
    <w:p>
      <w:pPr>
        <w:pStyle w:val="812"/>
        <w:ind w:left="-567" w:firstLine="567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/>
    </w:p>
    <w:p>
      <w:pPr>
        <w:pStyle w:val="812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 w:type="textWrapping" w:clear="all"/>
      </w:r>
      <w:r>
        <w:t xml:space="preserve">в размере не менее чем размер задатка на участие в аукционе, предусмотренный извещением </w:t>
      </w:r>
      <w:r>
        <w:br w:type="textWrapping" w:clear="all"/>
      </w:r>
      <w:r>
        <w:t xml:space="preserve">о проведении аукциона.</w:t>
      </w:r>
      <w:r/>
    </w:p>
    <w:p>
      <w:pPr>
        <w:pStyle w:val="812"/>
        <w:ind w:left="-567" w:firstLine="567"/>
        <w:jc w:val="both"/>
      </w:pPr>
      <w:r>
        <w:t xml:space="preserve">Все документы, входящие в состав заявки, должны иметь четко читаемый текст.</w:t>
      </w:r>
      <w:r/>
    </w:p>
    <w:p>
      <w:pPr>
        <w:pStyle w:val="812"/>
        <w:ind w:left="-567" w:firstLine="567"/>
        <w:jc w:val="both"/>
        <w:rPr>
          <w:bCs/>
        </w:rPr>
      </w:pPr>
      <w:r>
        <w:t xml:space="preserve">Заявка предоставляется организатору аукциона через Оператора.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 xml:space="preserve">в размере задатка;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 xml:space="preserve">в течение одн</w:t>
      </w:r>
      <w:r>
        <w:rPr>
          <w:bCs/>
        </w:rPr>
        <w:t xml:space="preserve">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 xml:space="preserve">Заявителям, признанным участниками аукциона, и зая</w:t>
      </w:r>
      <w:r>
        <w:rPr>
          <w:bCs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12"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Порядок и срок изменения, отзыва заявки на участие в аукционе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ind w:left="502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12"/>
        <w:ind w:left="-567" w:firstLine="567"/>
        <w:jc w:val="both"/>
        <w:widowControl w:val="off"/>
        <w:rPr>
          <w:rFonts w:eastAsia="Courier New"/>
          <w:lang w:bidi="ru-RU"/>
        </w:rPr>
      </w:pPr>
      <w:r>
        <w:t xml:space="preserve">Заявитель имеет право отозвать принятую организатором аукциона заявку на участие </w:t>
      </w:r>
      <w:r>
        <w:br w:type="textWrapping" w:clear="all"/>
      </w:r>
      <w:r>
        <w:t xml:space="preserve">в аукционе до дня окончания срока приема заявок, путем направлен</w:t>
      </w:r>
      <w: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2"/>
        <w:ind w:left="-567" w:firstLine="567"/>
        <w:jc w:val="both"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 xml:space="preserve">к участию в аукционе или об отказе в допуске к участию в аукционе.</w:t>
      </w:r>
      <w:r/>
    </w:p>
    <w:p>
      <w:pPr>
        <w:pStyle w:val="812"/>
        <w:jc w:val="both"/>
        <w:rPr>
          <w:sz w:val="20"/>
        </w:rPr>
      </w:pPr>
      <w:r>
        <w:t xml:space="preserve">Заявитель не допускается к участию в аукционе в следующих случаях:</w:t>
      </w:r>
      <w:r>
        <w:rPr>
          <w:sz w:val="20"/>
        </w:rPr>
      </w:r>
      <w:r>
        <w:rPr>
          <w:sz w:val="20"/>
        </w:rPr>
      </w:r>
    </w:p>
    <w:p>
      <w:pPr>
        <w:pStyle w:val="812"/>
        <w:ind w:left="-567" w:firstLine="567"/>
        <w:jc w:val="both"/>
        <w:widowControl w:val="off"/>
      </w:pPr>
      <w:r>
        <w:rPr>
          <w:sz w:val="20"/>
        </w:rPr>
        <w:t xml:space="preserve">1) </w:t>
      </w:r>
      <w:r>
        <w:t xml:space="preserve">непредставление необходимых для участия в аукционе документов или представление недостоверных сведений;</w:t>
      </w:r>
      <w:r/>
    </w:p>
    <w:p>
      <w:pPr>
        <w:pStyle w:val="812"/>
        <w:jc w:val="both"/>
        <w:widowControl w:val="off"/>
      </w:pPr>
      <w:r>
        <w:t xml:space="preserve">2) непоступление задатка на дату рассмотрения заявок на участие в аукционе;</w:t>
      </w:r>
      <w:r/>
    </w:p>
    <w:p>
      <w:pPr>
        <w:pStyle w:val="812"/>
        <w:ind w:left="-567" w:firstLine="567"/>
        <w:jc w:val="both"/>
        <w:widowControl w:val="off"/>
      </w:pPr>
      <w:r>
        <w:t xml:space="preserve">3) подача заяв</w:t>
      </w:r>
      <w: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/>
    </w:p>
    <w:p>
      <w:pPr>
        <w:pStyle w:val="812"/>
        <w:ind w:left="-567" w:firstLine="567"/>
        <w:jc w:val="both"/>
        <w:widowControl w:val="off"/>
      </w:pPr>
      <w:r>
        <w:t xml:space="preserve">4) наличие свед</w:t>
      </w:r>
      <w: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pStyle w:val="812"/>
        <w:ind w:left="-567" w:firstLine="567"/>
        <w:jc w:val="both"/>
        <w:widowControl w:val="off"/>
      </w:pPr>
      <w:r>
        <w:t xml:space="preserve">В день при</w:t>
      </w:r>
      <w: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/>
    </w:p>
    <w:p>
      <w:pPr>
        <w:pStyle w:val="812"/>
        <w:ind w:left="-567" w:firstLine="567"/>
        <w:jc w:val="both"/>
        <w:widowControl w:val="off"/>
      </w:pPr>
      <w:r>
        <w:t xml:space="preserve">По результатам рассмотрения заявок и докуме</w:t>
      </w:r>
      <w:r>
        <w:t xml:space="preserve">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</w:t>
      </w:r>
      <w:r>
        <w:t xml:space="preserve">ния заявок на участие в аукционе подписывается организатором аукциона не позднее чем в течение одного дня со дня их рассмотрения </w:t>
        <w:br/>
        <w:t xml:space="preserve">и размещается на официальных сайтах и на электронной площадке не позднее чем на следующий день после дня подписания протокола.</w:t>
      </w:r>
      <w:r/>
    </w:p>
    <w:p>
      <w:pPr>
        <w:pStyle w:val="812"/>
        <w:ind w:left="-567" w:firstLine="567"/>
        <w:jc w:val="both"/>
        <w:widowControl w:val="off"/>
      </w:pPr>
      <w:r>
        <w:t xml:space="preserve">Заявитель приобретает статус участника аукциона с момента подписания протокола </w:t>
      </w:r>
      <w:r>
        <w:br w:type="textWrapping" w:clear="all"/>
      </w:r>
      <w:r>
        <w:t xml:space="preserve">о признании претендентов участниками аукциона.</w:t>
      </w:r>
      <w:r/>
    </w:p>
    <w:p>
      <w:pPr>
        <w:pStyle w:val="812"/>
        <w:ind w:left="-567" w:firstLine="567"/>
        <w:jc w:val="both"/>
        <w:widowControl w:val="off"/>
      </w:pPr>
      <w:r>
        <w:t xml:space="preserve">Не позднее следующего рабочего дня после дня подписания протокола о признании претен</w:t>
      </w:r>
      <w:r>
        <w:t xml:space="preserve">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  <w:r/>
    </w:p>
    <w:p>
      <w:pPr>
        <w:pStyle w:val="812"/>
        <w:ind w:left="-567" w:firstLine="567"/>
        <w:jc w:val="both"/>
        <w:spacing w:line="276" w:lineRule="auto"/>
        <w:widowControl w:val="off"/>
      </w:pPr>
      <w:r/>
      <w:r/>
    </w:p>
    <w:p>
      <w:pPr>
        <w:pStyle w:val="812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 xml:space="preserve">Порядок проведения аукциона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о цене предмета аукциона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для подачи предложений о цене аукциона определяется в следующем порядке: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</w:t>
      </w:r>
      <w:r>
        <w:rPr>
          <w:rFonts w:eastAsia="Calibri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ниже начальной цены;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равно нулю;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ind w:left="-567"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12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</w:t>
      </w:r>
      <w:r>
        <w:rPr>
          <w:b/>
          <w:bCs/>
        </w:rPr>
        <w:br w:type="textWrapping" w:clear="all"/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</w:t>
      </w:r>
      <w:r>
        <w:rPr>
          <w:bCs/>
        </w:rPr>
        <w:t xml:space="preserve">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</w:t>
      </w:r>
      <w:r>
        <w:rPr>
          <w:bCs/>
        </w:rPr>
        <w:t xml:space="preserve">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</w:t>
      </w:r>
      <w:r>
        <w:rPr>
          <w:bCs/>
        </w:rPr>
        <w:t xml:space="preserve">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 xml:space="preserve">в государственной или муниципальной собственности, либо подписанный проект договора аренды такого участка.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догов</w:t>
      </w:r>
      <w:r>
        <w:rPr>
          <w:bCs/>
        </w:rPr>
        <w:t xml:space="preserve">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bCs/>
        </w:rPr>
      </w:r>
      <w:r>
        <w:rPr>
          <w:bCs/>
        </w:rPr>
      </w:r>
    </w:p>
    <w:p>
      <w:pPr>
        <w:pStyle w:val="812"/>
        <w:ind w:left="-567" w:firstLine="567"/>
        <w:jc w:val="both"/>
        <w:rPr>
          <w:bCs/>
        </w:rPr>
      </w:pPr>
      <w:r>
        <w:rPr>
          <w:bCs/>
        </w:rPr>
        <w:t xml:space="preserve">Проект договора является частью извещения и представлен в Приложении 2  </w:t>
      </w:r>
      <w:r>
        <w:rPr>
          <w:bCs/>
        </w:rPr>
        <w:br w:type="textWrapping" w:clear="all"/>
      </w:r>
      <w:r>
        <w:rPr>
          <w:bCs/>
        </w:rPr>
        <w:t xml:space="preserve">к настоящему извещению.</w:t>
        <w:tab/>
      </w:r>
      <w:r>
        <w:rPr>
          <w:bCs/>
        </w:rPr>
      </w:r>
      <w:r>
        <w:rPr>
          <w:bCs/>
        </w:rPr>
      </w:r>
    </w:p>
    <w:p>
      <w:pPr>
        <w:pStyle w:val="812"/>
        <w:ind w:left="-567" w:firstLine="567"/>
        <w:jc w:val="both"/>
        <w:rPr>
          <w:bCs/>
        </w:rPr>
      </w:pPr>
      <w:r>
        <w:rPr>
          <w:bCs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</w:t>
      </w:r>
      <w:r>
        <w:rPr>
          <w:bCs/>
        </w:rPr>
        <w:t xml:space="preserve">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bCs/>
        </w:rPr>
      </w:r>
      <w:r>
        <w:rPr>
          <w:bCs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rFonts w:eastAsia="Courier New"/>
          <w:lang w:bidi="ru-RU"/>
        </w:rPr>
        <w:outlineLvl w:val="0"/>
      </w:pPr>
      <w:r>
        <w:rPr>
          <w:bCs/>
        </w:rPr>
        <w:tab/>
        <w:t xml:space="preserve">В </w:t>
      </w:r>
      <w:r>
        <w:rPr>
          <w:bCs/>
        </w:rPr>
        <w:t xml:space="preserve">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</w:t>
      </w:r>
      <w:r>
        <w:rPr>
          <w:bCs/>
        </w:rPr>
        <w:t xml:space="preserve">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12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rFonts w:eastAsia="Courier New"/>
          <w:lang w:bidi="ru-RU"/>
        </w:rPr>
        <w:outlineLvl w:val="0"/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</w:t>
      </w:r>
      <w:r>
        <w:rPr>
          <w:rFonts w:eastAsia="Courier New"/>
          <w:lang w:bidi="ru-RU"/>
        </w:rPr>
        <w:t xml:space="preserve">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 xml:space="preserve"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813">
    <w:name w:val="Heading 1"/>
    <w:basedOn w:val="812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814">
    <w:name w:val="Heading 2"/>
    <w:basedOn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5">
    <w:name w:val="Heading 3"/>
    <w:basedOn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6">
    <w:name w:val="Heading 4"/>
    <w:basedOn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18">
    <w:name w:val="Heading 6"/>
    <w:basedOn w:val="81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19">
    <w:name w:val="Heading 7"/>
    <w:basedOn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1 Char"/>
    <w:basedOn w:val="839"/>
    <w:uiPriority w:val="9"/>
    <w:qFormat/>
    <w:rPr>
      <w:rFonts w:ascii="Arial" w:hAnsi="Arial" w:eastAsia="Arial" w:cs="Arial"/>
      <w:sz w:val="40"/>
      <w:szCs w:val="40"/>
    </w:rPr>
  </w:style>
  <w:style w:type="character" w:styleId="823">
    <w:name w:val="Heading 2 Char"/>
    <w:basedOn w:val="839"/>
    <w:uiPriority w:val="9"/>
    <w:qFormat/>
    <w:rPr>
      <w:rFonts w:ascii="Arial" w:hAnsi="Arial" w:eastAsia="Arial" w:cs="Arial"/>
      <w:sz w:val="34"/>
    </w:rPr>
  </w:style>
  <w:style w:type="character" w:styleId="824">
    <w:name w:val="Heading 3 Char"/>
    <w:basedOn w:val="839"/>
    <w:uiPriority w:val="9"/>
    <w:qFormat/>
    <w:rPr>
      <w:rFonts w:ascii="Arial" w:hAnsi="Arial" w:eastAsia="Arial" w:cs="Arial"/>
      <w:sz w:val="30"/>
      <w:szCs w:val="30"/>
    </w:rPr>
  </w:style>
  <w:style w:type="character" w:styleId="825">
    <w:name w:val="Heading 4 Char"/>
    <w:basedOn w:val="83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6">
    <w:name w:val="Heading 5 Char"/>
    <w:basedOn w:val="83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7">
    <w:name w:val="Heading 6 Char"/>
    <w:basedOn w:val="83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8">
    <w:name w:val="Heading 7 Char"/>
    <w:basedOn w:val="83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8 Char"/>
    <w:basedOn w:val="83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0">
    <w:name w:val="Heading 9 Char"/>
    <w:basedOn w:val="83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1">
    <w:name w:val="Title Char"/>
    <w:basedOn w:val="839"/>
    <w:uiPriority w:val="10"/>
    <w:qFormat/>
    <w:rPr>
      <w:sz w:val="48"/>
      <w:szCs w:val="48"/>
    </w:rPr>
  </w:style>
  <w:style w:type="character" w:styleId="832">
    <w:name w:val="Subtitle Char"/>
    <w:basedOn w:val="839"/>
    <w:uiPriority w:val="11"/>
    <w:qFormat/>
    <w:rPr>
      <w:sz w:val="24"/>
      <w:szCs w:val="24"/>
    </w:rPr>
  </w:style>
  <w:style w:type="character" w:styleId="833">
    <w:name w:val="Quote Char"/>
    <w:uiPriority w:val="29"/>
    <w:qFormat/>
    <w:rPr>
      <w:i/>
    </w:rPr>
  </w:style>
  <w:style w:type="character" w:styleId="834">
    <w:name w:val="Intense Quote Char"/>
    <w:uiPriority w:val="30"/>
    <w:qFormat/>
    <w:rPr>
      <w:i/>
    </w:rPr>
  </w:style>
  <w:style w:type="character" w:styleId="835">
    <w:name w:val="Header Char"/>
    <w:basedOn w:val="839"/>
    <w:uiPriority w:val="99"/>
    <w:qFormat/>
  </w:style>
  <w:style w:type="character" w:styleId="836">
    <w:name w:val="Caption Char"/>
    <w:uiPriority w:val="99"/>
    <w:qFormat/>
  </w:style>
  <w:style w:type="character" w:styleId="837">
    <w:name w:val="Footnote Text Char"/>
    <w:uiPriority w:val="99"/>
    <w:qFormat/>
    <w:rPr>
      <w:sz w:val="18"/>
    </w:rPr>
  </w:style>
  <w:style w:type="character" w:styleId="838">
    <w:name w:val="Endnote Text Char"/>
    <w:uiPriority w:val="99"/>
    <w:qFormat/>
    <w:rPr>
      <w:sz w:val="20"/>
    </w:rPr>
  </w:style>
  <w:style w:type="character" w:styleId="839" w:default="1">
    <w:name w:val="Default Paragraph Font"/>
    <w:uiPriority w:val="1"/>
    <w:semiHidden/>
    <w:unhideWhenUsed/>
    <w:qFormat/>
  </w:style>
  <w:style w:type="character" w:styleId="84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84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84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84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5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9" w:customStyle="1">
    <w:name w:val="Заголовок Знак1"/>
    <w:uiPriority w:val="10"/>
    <w:qFormat/>
    <w:rPr>
      <w:sz w:val="48"/>
      <w:szCs w:val="48"/>
    </w:rPr>
  </w:style>
  <w:style w:type="character" w:styleId="850" w:customStyle="1">
    <w:name w:val="Подзаголовок Знак"/>
    <w:uiPriority w:val="11"/>
    <w:qFormat/>
    <w:rPr>
      <w:sz w:val="24"/>
      <w:szCs w:val="24"/>
    </w:rPr>
  </w:style>
  <w:style w:type="character" w:styleId="851" w:customStyle="1">
    <w:name w:val="Цитата 2 Знак"/>
    <w:uiPriority w:val="29"/>
    <w:qFormat/>
    <w:rPr>
      <w:i/>
    </w:rPr>
  </w:style>
  <w:style w:type="character" w:styleId="852" w:customStyle="1">
    <w:name w:val="Выделенная цитата Знак"/>
    <w:uiPriority w:val="30"/>
    <w:qFormat/>
    <w:rPr>
      <w:i/>
    </w:rPr>
  </w:style>
  <w:style w:type="character" w:styleId="853" w:customStyle="1">
    <w:name w:val="Верхний колонтитул Знак1"/>
    <w:uiPriority w:val="99"/>
    <w:qFormat/>
  </w:style>
  <w:style w:type="character" w:styleId="854" w:customStyle="1">
    <w:name w:val="Footer Char"/>
    <w:uiPriority w:val="99"/>
    <w:qFormat/>
  </w:style>
  <w:style w:type="character" w:styleId="855" w:customStyle="1">
    <w:name w:val="Нижний колонтитул Знак1"/>
    <w:uiPriority w:val="99"/>
    <w:qFormat/>
  </w:style>
  <w:style w:type="character" w:styleId="856" w:customStyle="1">
    <w:name w:val="Текст сноски Знак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 w:customStyle="1">
    <w:name w:val="Текст концевой сноски Знак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 w:customStyle="1">
    <w:name w:val="WW8Num2z0"/>
    <w:qFormat/>
    <w:rPr>
      <w:rFonts w:ascii="Symbol" w:hAnsi="Symbol" w:cs="Symbol"/>
    </w:rPr>
  </w:style>
  <w:style w:type="character" w:styleId="863" w:customStyle="1">
    <w:name w:val="WW8Num3z0"/>
    <w:qFormat/>
  </w:style>
  <w:style w:type="character" w:styleId="864" w:customStyle="1">
    <w:name w:val="WW8Num4z0"/>
    <w:qFormat/>
  </w:style>
  <w:style w:type="character" w:styleId="865" w:customStyle="1">
    <w:name w:val="WW8Num5z0"/>
    <w:qFormat/>
    <w:rPr>
      <w:sz w:val="16"/>
      <w:szCs w:val="16"/>
    </w:rPr>
  </w:style>
  <w:style w:type="character" w:styleId="866" w:customStyle="1">
    <w:name w:val="WW8Num6z0"/>
    <w:qFormat/>
  </w:style>
  <w:style w:type="character" w:styleId="867" w:customStyle="1">
    <w:name w:val="WW8Num7z0"/>
    <w:qFormat/>
  </w:style>
  <w:style w:type="character" w:styleId="868" w:customStyle="1">
    <w:name w:val="WW8Num8z0"/>
    <w:qFormat/>
  </w:style>
  <w:style w:type="character" w:styleId="869" w:customStyle="1">
    <w:name w:val="WW8Num9z0"/>
    <w:qFormat/>
  </w:style>
  <w:style w:type="character" w:styleId="870" w:customStyle="1">
    <w:name w:val="WW8Num10z0"/>
    <w:qFormat/>
  </w:style>
  <w:style w:type="character" w:styleId="871" w:customStyle="1">
    <w:name w:val="WW8Num11z0"/>
    <w:qFormat/>
  </w:style>
  <w:style w:type="character" w:styleId="872" w:customStyle="1">
    <w:name w:val="WW8Num12z0"/>
    <w:qFormat/>
  </w:style>
  <w:style w:type="character" w:styleId="873" w:customStyle="1">
    <w:name w:val="WW8Num13z0"/>
    <w:qFormat/>
  </w:style>
  <w:style w:type="character" w:styleId="874" w:customStyle="1">
    <w:name w:val="WW8Num14z0"/>
    <w:qFormat/>
  </w:style>
  <w:style w:type="character" w:styleId="875" w:customStyle="1">
    <w:name w:val="WW8Num15z0"/>
    <w:qFormat/>
  </w:style>
  <w:style w:type="character" w:styleId="876" w:customStyle="1">
    <w:name w:val="WW8Num18z0"/>
    <w:qFormat/>
  </w:style>
  <w:style w:type="character" w:styleId="877" w:customStyle="1">
    <w:name w:val="WW8Num19z0"/>
    <w:qFormat/>
  </w:style>
  <w:style w:type="character" w:styleId="878" w:customStyle="1">
    <w:name w:val="WW8Num20z0"/>
    <w:qFormat/>
  </w:style>
  <w:style w:type="character" w:styleId="879" w:customStyle="1">
    <w:name w:val="WW8Num21z0"/>
    <w:qFormat/>
  </w:style>
  <w:style w:type="character" w:styleId="880" w:customStyle="1">
    <w:name w:val="WW8Num22z0"/>
    <w:qFormat/>
  </w:style>
  <w:style w:type="character" w:styleId="881" w:customStyle="1">
    <w:name w:val="WW8Num23z0"/>
    <w:qFormat/>
  </w:style>
  <w:style w:type="character" w:styleId="882" w:customStyle="1">
    <w:name w:val="WW8Num25z0"/>
    <w:qFormat/>
  </w:style>
  <w:style w:type="character" w:styleId="883" w:customStyle="1">
    <w:name w:val="WW8Num26z0"/>
    <w:qFormat/>
  </w:style>
  <w:style w:type="character" w:styleId="884" w:customStyle="1">
    <w:name w:val="WW8Num27z0"/>
    <w:qFormat/>
  </w:style>
  <w:style w:type="character" w:styleId="885" w:customStyle="1">
    <w:name w:val="WW8Num29z0"/>
    <w:qFormat/>
    <w:rPr>
      <w:rFonts w:ascii="Symbol" w:hAnsi="Symbol" w:cs="Symbol"/>
    </w:rPr>
  </w:style>
  <w:style w:type="character" w:styleId="886" w:customStyle="1">
    <w:name w:val="WW8Num30z0"/>
    <w:qFormat/>
  </w:style>
  <w:style w:type="character" w:styleId="887" w:customStyle="1">
    <w:name w:val="WW8Num31z0"/>
    <w:qFormat/>
  </w:style>
  <w:style w:type="character" w:styleId="888" w:customStyle="1">
    <w:name w:val="WW8Num32z0"/>
    <w:qFormat/>
  </w:style>
  <w:style w:type="character" w:styleId="889" w:customStyle="1">
    <w:name w:val="WW8Num33z0"/>
    <w:qFormat/>
  </w:style>
  <w:style w:type="character" w:styleId="890" w:customStyle="1">
    <w:name w:val="WW8Num34z0"/>
    <w:qFormat/>
  </w:style>
  <w:style w:type="character" w:styleId="891">
    <w:name w:val="page number"/>
    <w:basedOn w:val="839"/>
    <w:qFormat/>
  </w:style>
  <w:style w:type="character" w:styleId="892" w:customStyle="1">
    <w:name w:val="Текст Знак"/>
    <w:qFormat/>
    <w:rPr>
      <w:rFonts w:ascii="Courier New" w:hAnsi="Courier New" w:cs="Courier New"/>
    </w:rPr>
  </w:style>
  <w:style w:type="character" w:styleId="893" w:customStyle="1">
    <w:name w:val="Верхний колонтитул Знак"/>
    <w:qFormat/>
    <w:rPr>
      <w:sz w:val="16"/>
      <w:lang w:val="ru-RU" w:bidi="ar-SA"/>
    </w:rPr>
  </w:style>
  <w:style w:type="character" w:styleId="894" w:customStyle="1">
    <w:name w:val="Основной текст с отступом 3 Знак"/>
    <w:qFormat/>
    <w:rPr>
      <w:sz w:val="16"/>
      <w:szCs w:val="16"/>
    </w:rPr>
  </w:style>
  <w:style w:type="character" w:styleId="895">
    <w:name w:val="Hyperlink"/>
    <w:rPr>
      <w:color w:val="0563c1"/>
      <w:u w:val="single"/>
    </w:rPr>
  </w:style>
  <w:style w:type="character" w:styleId="896" w:customStyle="1">
    <w:name w:val="Абзац списка Знак"/>
    <w:qFormat/>
    <w:rPr>
      <w:sz w:val="24"/>
      <w:szCs w:val="24"/>
    </w:rPr>
  </w:style>
  <w:style w:type="character" w:styleId="897" w:customStyle="1">
    <w:name w:val="Заголовок 6 Знак"/>
    <w:qFormat/>
    <w:rPr>
      <w:b/>
      <w:bCs/>
      <w:sz w:val="22"/>
      <w:szCs w:val="22"/>
    </w:rPr>
  </w:style>
  <w:style w:type="character" w:styleId="898" w:customStyle="1">
    <w:name w:val="Название Знак"/>
    <w:qFormat/>
    <w:rPr>
      <w:sz w:val="28"/>
      <w:lang w:val="ru-RU" w:bidi="ar-SA"/>
    </w:rPr>
  </w:style>
  <w:style w:type="character" w:styleId="899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0" w:customStyle="1">
    <w:name w:val="Нижний колонтитул Знак"/>
    <w:qFormat/>
  </w:style>
  <w:style w:type="character" w:styleId="901">
    <w:name w:val="FollowedHyperlink"/>
    <w:rPr>
      <w:color w:val="954f72"/>
      <w:u w:val="single"/>
    </w:rPr>
  </w:style>
  <w:style w:type="paragraph" w:styleId="902">
    <w:name w:val="Заголовок"/>
    <w:basedOn w:val="812"/>
    <w:next w:val="90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03">
    <w:name w:val="Body Text"/>
    <w:basedOn w:val="812"/>
    <w:pPr>
      <w:jc w:val="right"/>
    </w:pPr>
    <w:rPr>
      <w:sz w:val="28"/>
    </w:rPr>
  </w:style>
  <w:style w:type="paragraph" w:styleId="904">
    <w:name w:val="List"/>
    <w:basedOn w:val="903"/>
    <w:rPr>
      <w:rFonts w:cs="Lohit Devanagari"/>
    </w:rPr>
  </w:style>
  <w:style w:type="paragraph" w:styleId="905">
    <w:name w:val="Caption"/>
    <w:basedOn w:val="812"/>
    <w:qFormat/>
    <w:pPr>
      <w:spacing w:before="120" w:after="120"/>
      <w:suppressLineNumbers/>
    </w:pPr>
    <w:rPr>
      <w:rFonts w:cs="Lohit Devanagari"/>
      <w:i/>
      <w:iCs/>
    </w:rPr>
  </w:style>
  <w:style w:type="paragraph" w:styleId="906">
    <w:name w:val="Указатель"/>
    <w:basedOn w:val="812"/>
    <w:qFormat/>
    <w:pPr>
      <w:suppressLineNumbers/>
    </w:pPr>
    <w:rPr>
      <w:rFonts w:cs="Lohit Devanagari"/>
    </w:rPr>
  </w:style>
  <w:style w:type="paragraph" w:styleId="907">
    <w:name w:val="List Paragraph"/>
    <w:basedOn w:val="812"/>
    <w:qFormat/>
    <w:pPr>
      <w:ind w:left="708"/>
    </w:pPr>
  </w:style>
  <w:style w:type="paragraph" w:styleId="90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909">
    <w:name w:val="Title"/>
    <w:basedOn w:val="812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910">
    <w:name w:val="Subtitle"/>
    <w:basedOn w:val="812"/>
    <w:uiPriority w:val="11"/>
    <w:qFormat/>
    <w:pPr>
      <w:spacing w:before="200" w:after="200"/>
    </w:pPr>
  </w:style>
  <w:style w:type="paragraph" w:styleId="911">
    <w:name w:val="Quote"/>
    <w:basedOn w:val="812"/>
    <w:uiPriority w:val="29"/>
    <w:qFormat/>
    <w:pPr>
      <w:ind w:left="720" w:right="720"/>
    </w:pPr>
    <w:rPr>
      <w:i/>
    </w:rPr>
  </w:style>
  <w:style w:type="paragraph" w:styleId="912">
    <w:name w:val="Intense Quote"/>
    <w:basedOn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3">
    <w:name w:val="footnote text"/>
    <w:basedOn w:val="812"/>
    <w:uiPriority w:val="99"/>
    <w:semiHidden/>
    <w:unhideWhenUsed/>
    <w:pPr>
      <w:spacing w:before="0" w:after="40"/>
    </w:pPr>
    <w:rPr>
      <w:sz w:val="18"/>
    </w:rPr>
  </w:style>
  <w:style w:type="paragraph" w:styleId="914">
    <w:name w:val="endnote text"/>
    <w:basedOn w:val="812"/>
    <w:uiPriority w:val="99"/>
    <w:semiHidden/>
    <w:unhideWhenUsed/>
    <w:rPr>
      <w:sz w:val="20"/>
    </w:rPr>
  </w:style>
  <w:style w:type="paragraph" w:styleId="915">
    <w:name w:val="toc 1"/>
    <w:basedOn w:val="812"/>
    <w:uiPriority w:val="39"/>
    <w:unhideWhenUsed/>
    <w:pPr>
      <w:spacing w:before="0" w:after="57"/>
    </w:pPr>
  </w:style>
  <w:style w:type="paragraph" w:styleId="916">
    <w:name w:val="toc 2"/>
    <w:basedOn w:val="812"/>
    <w:uiPriority w:val="39"/>
    <w:unhideWhenUsed/>
    <w:pPr>
      <w:ind w:left="283"/>
      <w:spacing w:before="0" w:after="57"/>
    </w:pPr>
  </w:style>
  <w:style w:type="paragraph" w:styleId="917">
    <w:name w:val="toc 3"/>
    <w:basedOn w:val="812"/>
    <w:uiPriority w:val="39"/>
    <w:unhideWhenUsed/>
    <w:pPr>
      <w:ind w:left="567"/>
      <w:spacing w:before="0" w:after="57"/>
    </w:pPr>
  </w:style>
  <w:style w:type="paragraph" w:styleId="918">
    <w:name w:val="toc 4"/>
    <w:basedOn w:val="812"/>
    <w:uiPriority w:val="39"/>
    <w:unhideWhenUsed/>
    <w:pPr>
      <w:ind w:left="850"/>
      <w:spacing w:before="0" w:after="57"/>
    </w:pPr>
  </w:style>
  <w:style w:type="paragraph" w:styleId="919">
    <w:name w:val="toc 5"/>
    <w:basedOn w:val="812"/>
    <w:uiPriority w:val="39"/>
    <w:unhideWhenUsed/>
    <w:pPr>
      <w:ind w:left="1134"/>
      <w:spacing w:before="0" w:after="57"/>
    </w:pPr>
  </w:style>
  <w:style w:type="paragraph" w:styleId="920">
    <w:name w:val="toc 6"/>
    <w:basedOn w:val="812"/>
    <w:uiPriority w:val="39"/>
    <w:unhideWhenUsed/>
    <w:pPr>
      <w:ind w:left="1417"/>
      <w:spacing w:before="0" w:after="57"/>
    </w:pPr>
  </w:style>
  <w:style w:type="paragraph" w:styleId="921">
    <w:name w:val="toc 7"/>
    <w:basedOn w:val="812"/>
    <w:uiPriority w:val="39"/>
    <w:unhideWhenUsed/>
    <w:pPr>
      <w:ind w:left="1701"/>
      <w:spacing w:before="0" w:after="57"/>
    </w:pPr>
  </w:style>
  <w:style w:type="paragraph" w:styleId="922">
    <w:name w:val="toc 8"/>
    <w:basedOn w:val="812"/>
    <w:uiPriority w:val="39"/>
    <w:unhideWhenUsed/>
    <w:pPr>
      <w:ind w:left="1984"/>
      <w:spacing w:before="0" w:after="57"/>
    </w:pPr>
  </w:style>
  <w:style w:type="paragraph" w:styleId="923">
    <w:name w:val="toc 9"/>
    <w:basedOn w:val="812"/>
    <w:uiPriority w:val="39"/>
    <w:unhideWhenUsed/>
    <w:pPr>
      <w:ind w:left="2268"/>
      <w:spacing w:before="0" w:after="57"/>
    </w:pPr>
  </w:style>
  <w:style w:type="paragraph" w:styleId="924">
    <w:name w:val="Index Heading"/>
    <w:basedOn w:val="902"/>
  </w:style>
  <w:style w:type="paragraph" w:styleId="92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926">
    <w:name w:val="table of figures"/>
    <w:basedOn w:val="812"/>
    <w:uiPriority w:val="99"/>
    <w:unhideWhenUsed/>
  </w:style>
  <w:style w:type="paragraph" w:styleId="927">
    <w:name w:val="index heading1"/>
    <w:basedOn w:val="812"/>
    <w:qFormat/>
    <w:pPr>
      <w:suppressLineNumbers/>
    </w:pPr>
    <w:rPr>
      <w:rFonts w:cs="Lohit Devanagari"/>
    </w:rPr>
  </w:style>
  <w:style w:type="paragraph" w:styleId="928" w:customStyle="1">
    <w:name w:val="Caption1"/>
    <w:basedOn w:val="812"/>
    <w:qFormat/>
    <w:pPr>
      <w:spacing w:before="120" w:after="120"/>
      <w:suppressLineNumbers/>
    </w:pPr>
    <w:rPr>
      <w:rFonts w:cs="Lohit Devanagari"/>
      <w:i/>
      <w:iCs/>
    </w:rPr>
  </w:style>
  <w:style w:type="paragraph" w:styleId="929">
    <w:name w:val="Plain Text"/>
    <w:basedOn w:val="812"/>
    <w:qFormat/>
    <w:rPr>
      <w:rFonts w:ascii="Courier New" w:hAnsi="Courier New" w:cs="Courier New"/>
      <w:sz w:val="20"/>
      <w:szCs w:val="20"/>
      <w:lang w:val="en-US"/>
    </w:rPr>
  </w:style>
  <w:style w:type="paragraph" w:styleId="930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931">
    <w:name w:val="Body Text 2"/>
    <w:basedOn w:val="812"/>
    <w:qFormat/>
    <w:pPr>
      <w:spacing w:before="0" w:after="120" w:line="480" w:lineRule="auto"/>
    </w:pPr>
  </w:style>
  <w:style w:type="paragraph" w:styleId="932">
    <w:name w:val="Body Text 3"/>
    <w:basedOn w:val="812"/>
    <w:qFormat/>
    <w:pPr>
      <w:spacing w:before="0" w:after="120"/>
    </w:pPr>
    <w:rPr>
      <w:sz w:val="16"/>
      <w:szCs w:val="16"/>
    </w:rPr>
  </w:style>
  <w:style w:type="paragraph" w:styleId="933" w:customStyle="1">
    <w:name w:val="Колонтитул"/>
    <w:basedOn w:val="81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34">
    <w:name w:val="Footer"/>
    <w:basedOn w:val="812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35">
    <w:name w:val="Balloon Text"/>
    <w:basedOn w:val="812"/>
    <w:qFormat/>
    <w:rPr>
      <w:rFonts w:ascii="Tahoma" w:hAnsi="Tahoma" w:cs="Tahoma"/>
      <w:sz w:val="16"/>
      <w:szCs w:val="16"/>
    </w:rPr>
  </w:style>
  <w:style w:type="paragraph" w:styleId="936" w:customStyle="1">
    <w:name w:val="Знак Знак Знак Знак Знак Знак Знак Знак Знак Знак Знак Знак"/>
    <w:basedOn w:val="812"/>
    <w:qFormat/>
    <w:rPr>
      <w:rFonts w:ascii="Verdana" w:hAnsi="Verdana" w:cs="Verdana"/>
      <w:sz w:val="20"/>
      <w:szCs w:val="20"/>
      <w:lang w:val="en-US"/>
    </w:rPr>
  </w:style>
  <w:style w:type="paragraph" w:styleId="93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938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939">
    <w:name w:val="Body Text Indent 3"/>
    <w:basedOn w:val="812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940">
    <w:name w:val="Normal (Web)"/>
    <w:basedOn w:val="812"/>
    <w:qFormat/>
    <w:pPr>
      <w:spacing w:before="280" w:after="280"/>
    </w:pPr>
  </w:style>
  <w:style w:type="paragraph" w:styleId="941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942" w:customStyle="1">
    <w:name w:val="Содержимое таблицы"/>
    <w:basedOn w:val="812"/>
    <w:qFormat/>
    <w:pPr>
      <w:widowControl w:val="off"/>
      <w:suppressLineNumbers/>
    </w:pPr>
  </w:style>
  <w:style w:type="paragraph" w:styleId="943" w:customStyle="1">
    <w:name w:val="Заголовок таблицы"/>
    <w:basedOn w:val="942"/>
    <w:qFormat/>
    <w:pPr>
      <w:jc w:val="center"/>
    </w:pPr>
    <w:rPr>
      <w:b/>
      <w:bCs/>
    </w:rPr>
  </w:style>
  <w:style w:type="numbering" w:styleId="944" w:default="1">
    <w:name w:val="No List"/>
    <w:uiPriority w:val="99"/>
    <w:semiHidden/>
    <w:unhideWhenUsed/>
    <w:qFormat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131</cp:revision>
  <dcterms:created xsi:type="dcterms:W3CDTF">2023-10-30T09:15:00Z</dcterms:created>
  <dcterms:modified xsi:type="dcterms:W3CDTF">2024-08-30T09:17:55Z</dcterms:modified>
</cp:coreProperties>
</file>