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3"/>
        <w:contextualSpacing w:val="0"/>
        <w:ind w:left="0" w:right="-2" w:firstLine="5244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Приложение 2 к извещению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3"/>
        <w:contextualSpacing w:val="0"/>
        <w:ind w:left="5244" w:right="-2" w:firstLine="0"/>
        <w:jc w:val="left"/>
        <w:spacing w:before="0" w:after="0" w:line="283" w:lineRule="exact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о проведении 10.10.2024 электронных аукционов </w:t>
      </w:r>
      <w:r>
        <w:rPr>
          <w:rFonts w:ascii="Times New Roman" w:hAnsi="Times New Roman" w:cs="Times New Roman"/>
        </w:rPr>
        <w:t xml:space="preserve">на право заключения договоров аренды земельных участков</w:t>
      </w:r>
      <w:r>
        <w:rPr>
          <w:rFonts w:ascii="Times New Roman" w:hAnsi="Times New Roman" w:cs="Times New Roman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5244" w:right="-2" w:firstLine="0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5244" w:right="-2" w:firstLine="0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5244" w:right="-2" w:firstLine="0"/>
        <w:jc w:val="left"/>
        <w:spacing w:before="0" w:after="0" w:line="283" w:lineRule="exac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22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/>
      <w:bookmarkStart w:id="0" w:name="_GoBack"/>
      <w:r/>
      <w:bookmarkEnd w:id="0"/>
      <w:r>
        <w:rPr>
          <w:sz w:val="18"/>
          <w:szCs w:val="18"/>
          <w:lang w:val="en-US"/>
        </w:rPr>
        <w:t xml:space="preserve">id</w:t>
      </w:r>
      <w:r>
        <w:rPr>
          <w:sz w:val="18"/>
          <w:szCs w:val="18"/>
        </w:rPr>
        <w:t xml:space="preserve"> 77710</w:t>
      </w:r>
      <w:r>
        <w:rPr>
          <w:sz w:val="18"/>
          <w:szCs w:val="18"/>
        </w:rPr>
      </w:r>
      <w:r>
        <w:rPr>
          <w:sz w:val="18"/>
          <w:szCs w:val="18"/>
          <w:highlight w:val="none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 на торгах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форме аукциона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________________ г.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дальнейшем Арендодатель, </w:t>
      </w:r>
      <w:r>
        <w:rPr>
          <w:rFonts w:ascii="Times New Roman" w:hAnsi="Times New Roman" w:cs="Times New Roman"/>
          <w:b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первого заместителя начальника департамента – начальника юридического управления департамента земельных отношений администрации города Перми Погадаевой Елены Александровны, действующего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на основании доверенности от 06.02.2024 № 059-21-01-09-327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, именуемый в дальнейшем Арендатор, действующ</w:t>
      </w:r>
      <w:r>
        <w:rPr>
          <w:rFonts w:ascii="Times New Roman" w:hAnsi="Times New Roman" w:cs="Times New Roman"/>
          <w:sz w:val="24"/>
          <w:szCs w:val="24"/>
        </w:rPr>
        <w:t xml:space="preserve">ий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________,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совместно именуемые «Стороны»,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 основании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протокола о результатах электронного аукциона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договоров аренды земельных участков 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 по лоту №________(далее – протокол),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59:01:4510603:71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sz w:val="24"/>
          <w:szCs w:val="24"/>
        </w:rPr>
        <w:t xml:space="preserve">5609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находящийся 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край Пермский, городской округ Пермский, город Пермь, улица Фоминская, з/у 58а </w:t>
      </w:r>
      <w:r>
        <w:rPr>
          <w:rFonts w:ascii="Times New Roman" w:hAnsi="Times New Roman" w:cs="Times New Roman"/>
          <w:sz w:val="24"/>
          <w:szCs w:val="24"/>
        </w:rPr>
        <w:t xml:space="preserve">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 склады</w:t>
      </w:r>
      <w:r>
        <w:rPr>
          <w:rFonts w:ascii="Times New Roman" w:hAnsi="Times New Roman" w:cs="Times New Roman"/>
          <w:sz w:val="24"/>
          <w:szCs w:val="24"/>
        </w:rPr>
        <w:t xml:space="preserve">, в границах,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сведения о которых содержатся в Едином государственном реестре недвижимости, и в качественном состоянии как он есть согласно приложению 1 к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территориальной зоне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производственно-</w:t>
      </w:r>
      <w:r>
        <w:rPr>
          <w:rFonts w:ascii="Times New Roman" w:hAnsi="Times New Roman" w:cs="Times New Roman"/>
          <w:sz w:val="24"/>
          <w:szCs w:val="24"/>
        </w:rPr>
        <w:t xml:space="preserve">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sz w:val="24"/>
          <w:szCs w:val="24"/>
        </w:rPr>
        <w:t xml:space="preserve"> класса вредности (ПК-3).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</w:t>
      </w:r>
      <w:r>
        <w:rPr>
          <w:rFonts w:ascii="Times New Roman" w:hAnsi="Times New Roman" w:cs="Times New Roman"/>
          <w:sz w:val="24"/>
          <w:szCs w:val="24"/>
        </w:rPr>
        <w:t xml:space="preserve">асток расположен в санитарно-</w:t>
      </w:r>
      <w:r>
        <w:rPr>
          <w:rFonts w:ascii="Times New Roman" w:hAnsi="Times New Roman" w:cs="Times New Roman"/>
          <w:sz w:val="24"/>
          <w:szCs w:val="24"/>
        </w:rPr>
        <w:t xml:space="preserve">защитных</w:t>
      </w:r>
      <w:r>
        <w:rPr>
          <w:rFonts w:ascii="Times New Roman" w:hAnsi="Times New Roman" w:cs="Times New Roman"/>
          <w:sz w:val="24"/>
          <w:szCs w:val="24"/>
        </w:rPr>
        <w:t xml:space="preserve"> зонах: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частично ООО Торговый дом </w:t>
      </w:r>
      <w:r>
        <w:rPr>
          <w:rFonts w:ascii="Times New Roman" w:hAnsi="Times New Roman" w:cs="Times New Roman"/>
          <w:sz w:val="24"/>
          <w:szCs w:val="24"/>
        </w:rPr>
        <w:t xml:space="preserve">Хашин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частично ООО «Порт Пермь».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</w:t>
      </w:r>
      <w:r>
        <w:rPr>
          <w:rFonts w:ascii="Times New Roman" w:hAnsi="Times New Roman" w:cs="Times New Roman"/>
          <w:sz w:val="24"/>
          <w:szCs w:val="24"/>
        </w:rPr>
        <w:t xml:space="preserve">асток расположен в зонах </w:t>
      </w:r>
      <w:r>
        <w:rPr>
          <w:rFonts w:ascii="Times New Roman" w:hAnsi="Times New Roman" w:cs="Times New Roman"/>
          <w:sz w:val="24"/>
          <w:szCs w:val="24"/>
        </w:rPr>
        <w:t xml:space="preserve">с особыми условиями использования территории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зона затопления территорий, прилегающих к зарегулированной р. Кама (</w:t>
      </w:r>
      <w:r>
        <w:rPr>
          <w:rFonts w:ascii="Times New Roman" w:hAnsi="Times New Roman" w:cs="Times New Roman"/>
          <w:sz w:val="24"/>
          <w:szCs w:val="24"/>
        </w:rPr>
        <w:t xml:space="preserve">Воткинскому</w:t>
      </w:r>
      <w:r>
        <w:rPr>
          <w:rFonts w:ascii="Times New Roman" w:hAnsi="Times New Roman" w:cs="Times New Roman"/>
          <w:sz w:val="24"/>
          <w:szCs w:val="24"/>
        </w:rPr>
        <w:t xml:space="preserve"> водохранилищу) в нижнем бьефе Камского гидроузла а г. Перми Пермского края, затапливаемых при пропуске Камским гидроузлом паводков расчетной обеспеченности 1%.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</w:t>
      </w:r>
      <w:r>
        <w:rPr>
          <w:rFonts w:ascii="Times New Roman" w:hAnsi="Times New Roman" w:cs="Times New Roman"/>
          <w:sz w:val="24"/>
          <w:szCs w:val="24"/>
        </w:rPr>
        <w:t xml:space="preserve"> территория аэродрома аэропорта Большое </w:t>
      </w:r>
      <w:r>
        <w:rPr>
          <w:rFonts w:ascii="Times New Roman" w:hAnsi="Times New Roman" w:cs="Times New Roman"/>
          <w:sz w:val="24"/>
          <w:szCs w:val="24"/>
        </w:rPr>
        <w:t xml:space="preserve">Савино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</w:t>
      </w:r>
      <w:r>
        <w:rPr>
          <w:rFonts w:ascii="Times New Roman" w:hAnsi="Times New Roman" w:cs="Times New Roman"/>
          <w:sz w:val="24"/>
          <w:szCs w:val="24"/>
        </w:rPr>
        <w:t xml:space="preserve">асток не огорожен, самовольно установленных и незаконно размещенных движимых объектов, самовольных капитальных построек не зафиксировано, участок зарос дикорастущей порослью.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sz w:val="24"/>
          <w:szCs w:val="24"/>
        </w:rPr>
        <w:t xml:space="preserve">склады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отступ от границ земельного участка до места допустимого размещения зданий, строений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выступ за красную линию нависающих частей здания наземных уровней, выступающих из плоскости наружной стены фасада здан</w:t>
      </w:r>
      <w:r>
        <w:rPr>
          <w:rFonts w:ascii="Times New Roman" w:hAnsi="Times New Roman" w:cs="Times New Roman"/>
          <w:sz w:val="24"/>
          <w:szCs w:val="24"/>
        </w:rPr>
        <w:t xml:space="preserve">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</w:r>
      <w:r>
        <w:rPr>
          <w:rFonts w:ascii="Times New Roman" w:hAnsi="Times New Roman" w:cs="Times New Roman"/>
          <w:sz w:val="24"/>
          <w:szCs w:val="24"/>
        </w:rPr>
        <w:t xml:space="preserve"> Максимальный класс опасности (В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санитарно-эпидемиологическими правилами)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размещаемых на земельных участках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 Арендодатель имеет право: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2.1.1. осуществлять контроль за использованием земельного участка, предоставленного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2.1.3. требовать досрочного расторжени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 договора в случаях, предусмот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2.1.5. осуществлять осмотр арендованног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 земельного участка без предва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рительного уведомления Арендатора.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 Арендодатель обязан: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2.2.3. не вмешиваться в хозяйственную деятельность Арендатора, если она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2.2.4. в 3-дневный срок после получения уведомления, указанного в пункте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3.2.2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настоящего договора, провести осмотр земельного участка, составить акт осмотра земельного участка, подтверждающий снос самовольной постройки.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3.1. Арендатор имеет право: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3.1.1. использовать земельный участок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соответствии с условиями настоя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щего договора.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 Арендатор обязан: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3.2.1. выполнять в полном объеме все условия настоящего договора;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3.2.2. использовать земельный участок в границах, сведения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 которых содержатся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Едином государственном реестре недвижимости, в соответствии с целевым назначением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видом разрешенного использования, указанными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3.2.3. сохранять межевые, геодезические и другие специальные знаки, установленные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3.2.4. своевременно вносить арендную плату;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обеспечивать Арендодателю, пред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ставителям органов контроля сво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бодный доступ на земельный участок с целью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его осмотра на предмет соблюде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ния условий договора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требований земельного законодательства;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обеспечивать доступ на земельный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участок представителей собствен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ника линейного объекта или представителей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организации, осуществляющей экс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плуатацию линейного объекта,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целях обеспечения его безопасности в случае, если земельный участок расположен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охранной зоне линейного объекта;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Перми;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 допускать строительства 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 в установленном порядке, в случае если получение такого разрешения предусмотрено действующим законодательством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 в случае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на земельном участке объектов индивидуального жилищного строительства или садового дома.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уставный капитал юридических лиц и другое) без письменного согласия Арендодателя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Стороны договорились, что сделки, сле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дствием которых является или мо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жет являться какое-либо обременение предоставленных Арендатору по договору имущественных прав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соответств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Арендатор не вправе уступать права и ос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уществлять перевод долга по обя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зательствам, возникшим из договора аренды.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в случае изменения адреса или иных реквизитов в 5-дневный срок направить Арендодателю письменное уведомление об этом.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случае неисполнения Арендатором это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го условия извещение, направлен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ное по адресу, указанному в настоящем догов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оре, является надлежащим уведом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лением Арендодателем Арендатора о соответствующих изменениях;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соблюдать при использовании зе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мельных участков требования гра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достроительных регламентов, строительных, экологических, санитарно-гигиенических, противопожарных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иных правил, нормативов;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 допускать загрязнение, истощение, деградацию, порчу, уничтожение земель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почв и иное негативное воздействие на земли и почвы;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за свой счет и (или) с привлечением средств друг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их лиц осуществить снос самовольной постройки в срок, не превышающий 12 месяцев, в случае если на земельном участке расположены здание, сооружение, объект незавершенного строительства, в отношении которых было принято решение о сносе самовольной постройки;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в течение 3 дней после осуществления сноса самовольной постройки в срок, установленный пунктом 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16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настоящего договора, направить Арендодателю письменное уведомление об этом для составления акта осмотра земельного участка в соответствии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 пунктом 2.2.4 настоящего договора;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правила охраны коммунальных тепловых сетей, утвержденные Приказом Министерства архитектуры, строительства и жилищно-коммунального хозяйства Российской Федерации от 17.08.1992 № 197 «О типовых правилах охраны коммунальных тепловых сетей»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3.2.2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соблюдать Правила благоустройства территории города Перми, утвержденные решением Пермской городской Думы от 15 декабря 2020 г. № 277;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облюдать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риказ Камского бассейнового водного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Федерального агентства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водных ресурсов от 21.11.2022 № 239 "Об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установлении границ зон затопления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территориях, прилегающих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зарегулированной р. Кама (</w:t>
      </w:r>
      <w:r>
        <w:rPr>
          <w:rFonts w:ascii="Times New Roman" w:hAnsi="Times New Roman" w:cs="Times New Roman"/>
          <w:sz w:val="24"/>
          <w:szCs w:val="24"/>
        </w:rPr>
        <w:t xml:space="preserve">Воткинскому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водохранилищу)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нижнем бьефе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Камского гидроузла в г. Перми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Пермского края, затапливаемых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пропуске Камским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гидроузлом паводков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расчетной обеспеченности 1%";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Ограничения использования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недвижимости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частью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статьи 67.1 Водного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 следующие условия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</w:t>
      </w:r>
      <w:r>
        <w:rPr>
          <w:rFonts w:ascii="Times New Roman" w:hAnsi="Times New Roman" w:cs="Times New Roman"/>
          <w:sz w:val="24"/>
          <w:szCs w:val="24"/>
        </w:rPr>
        <w:t xml:space="preserve">бор и отвод ливневых вод с использованием вариантов решений в зависимости 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наличия централизованной системы ливневой канализации;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площади вод</w:t>
      </w:r>
      <w:r>
        <w:rPr>
          <w:rFonts w:ascii="Times New Roman" w:hAnsi="Times New Roman" w:cs="Times New Roman"/>
          <w:sz w:val="24"/>
          <w:szCs w:val="24"/>
        </w:rPr>
        <w:t xml:space="preserve">осбора с учетом транзитных вод </w:t>
      </w:r>
      <w:r>
        <w:rPr>
          <w:rFonts w:ascii="Times New Roman" w:hAnsi="Times New Roman" w:cs="Times New Roman"/>
          <w:sz w:val="24"/>
          <w:szCs w:val="24"/>
        </w:rPr>
        <w:t xml:space="preserve">с прилегающей территории;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угла наклона рельефа, включающий прилегающие территории;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применения иных решений равномерн</w:t>
      </w:r>
      <w:r>
        <w:rPr>
          <w:rFonts w:ascii="Times New Roman" w:hAnsi="Times New Roman" w:cs="Times New Roman"/>
          <w:sz w:val="24"/>
          <w:szCs w:val="24"/>
        </w:rPr>
        <w:t xml:space="preserve">ого отвода поверхностного стока </w:t>
      </w:r>
      <w:r>
        <w:rPr>
          <w:rFonts w:ascii="Times New Roman" w:hAnsi="Times New Roman" w:cs="Times New Roman"/>
          <w:sz w:val="24"/>
          <w:szCs w:val="24"/>
        </w:rPr>
        <w:br/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запрашиваемой территории на прилегающие территории.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</w:t>
      </w:r>
      <w:r>
        <w:rPr>
          <w:rFonts w:ascii="Times New Roman" w:hAnsi="Times New Roman" w:cs="Times New Roman"/>
          <w:sz w:val="24"/>
          <w:szCs w:val="24"/>
        </w:rPr>
        <w:t xml:space="preserve">онкретные мероприятия по охране окружающей среды на период строительства, включая: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установку временного защитного ограждения строительной площадки;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ограждение существующих зеленых насаждений, не попадающих под пятно застройки;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прокладку коммуникаций осуществлять на расстоянии не менее 2 м. от ствола дерева, чтобы не повредить корневую систему;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не использовать приствольные круги существующих деревьев (диаметром 1м)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под складирование материалов и установки временных сооружений;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видов и объемов образующихся отходов и мест их размещения;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 xml:space="preserve">систематический вывоз отходов;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>
        <w:rPr>
          <w:rFonts w:ascii="Times New Roman" w:hAnsi="Times New Roman" w:cs="Times New Roman"/>
          <w:sz w:val="24"/>
          <w:szCs w:val="24"/>
        </w:rPr>
        <w:t xml:space="preserve">недопущени</w:t>
      </w:r>
      <w:r>
        <w:rPr>
          <w:rFonts w:ascii="Times New Roman" w:hAnsi="Times New Roman" w:cs="Times New Roman"/>
          <w:sz w:val="24"/>
          <w:szCs w:val="24"/>
        </w:rPr>
        <w:t xml:space="preserve">е загрязнения атмосферы, почвы </w:t>
      </w:r>
      <w:r>
        <w:rPr>
          <w:rFonts w:ascii="Times New Roman" w:hAnsi="Times New Roman" w:cs="Times New Roman"/>
          <w:sz w:val="24"/>
          <w:szCs w:val="24"/>
        </w:rPr>
        <w:t xml:space="preserve">и подземных вод;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>
        <w:rPr>
          <w:rFonts w:ascii="Times New Roman" w:hAnsi="Times New Roman" w:cs="Times New Roman"/>
          <w:sz w:val="24"/>
          <w:szCs w:val="24"/>
        </w:rPr>
        <w:t xml:space="preserve">предотвращение выноса грязи автотранспортом, выезжающим со строительной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департамента дорог и благоустройства админи</w:t>
      </w:r>
      <w:r>
        <w:rPr>
          <w:rFonts w:ascii="Times New Roman" w:hAnsi="Times New Roman" w:cs="Times New Roman"/>
          <w:sz w:val="24"/>
          <w:szCs w:val="24"/>
        </w:rPr>
        <w:t xml:space="preserve">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города Перми: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разработать </w:t>
      </w:r>
      <w:r>
        <w:rPr>
          <w:rFonts w:ascii="Times New Roman" w:hAnsi="Times New Roman" w:cs="Times New Roman"/>
          <w:sz w:val="24"/>
          <w:szCs w:val="24"/>
        </w:rPr>
        <w:t xml:space="preserve">проект организации дорожного движения и согласовать в установленном порядке с ГКУ «Центр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дорожного движения Пермского края» </w:t>
      </w:r>
      <w:r>
        <w:rPr>
          <w:rFonts w:ascii="Times New Roman" w:hAnsi="Times New Roman" w:cs="Times New Roman"/>
          <w:sz w:val="24"/>
          <w:szCs w:val="24"/>
        </w:rPr>
        <w:t xml:space="preserve">(ул. Пермская, </w:t>
      </w:r>
      <w:r>
        <w:rPr>
          <w:rFonts w:ascii="Times New Roman" w:hAnsi="Times New Roman" w:cs="Times New Roman"/>
          <w:sz w:val="24"/>
          <w:szCs w:val="24"/>
        </w:rPr>
        <w:t xml:space="preserve">164</w:t>
      </w:r>
      <w:r>
        <w:rPr>
          <w:rFonts w:ascii="Times New Roman" w:hAnsi="Times New Roman" w:cs="Times New Roman"/>
          <w:sz w:val="24"/>
          <w:szCs w:val="24"/>
        </w:rPr>
        <w:t xml:space="preserve">, 2</w:t>
      </w:r>
      <w:r>
        <w:rPr>
          <w:rFonts w:ascii="Times New Roman" w:hAnsi="Times New Roman" w:cs="Times New Roman"/>
          <w:sz w:val="24"/>
          <w:szCs w:val="24"/>
        </w:rPr>
        <w:t xml:space="preserve">36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84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8"/>
        <w:ind w:firstLine="567"/>
        <w:jc w:val="both"/>
        <w:rPr>
          <w:rFonts w:eastAsia="Times New Roman"/>
          <w:color w:val="auto"/>
          <w:lang w:eastAsia="ru-RU"/>
        </w:rPr>
      </w:pPr>
      <w:r>
        <w:t xml:space="preserve">-</w:t>
      </w:r>
      <w:r>
        <w:rPr>
          <w:rFonts w:eastAsia="Times New Roman"/>
          <w:color w:val="auto"/>
          <w:lang w:eastAsia="ru-RU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</w:t>
      </w:r>
      <w:r>
        <w:rPr>
          <w:rFonts w:eastAsia="Times New Roman"/>
          <w:color w:val="auto"/>
          <w:lang w:eastAsia="ru-RU"/>
        </w:rPr>
        <w:t xml:space="preserve">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</w:t>
      </w:r>
      <w:r>
        <w:rPr>
          <w:rFonts w:eastAsia="Times New Roman"/>
          <w:color w:val="auto"/>
          <w:lang w:eastAsia="ru-RU"/>
        </w:rPr>
        <w:br/>
      </w:r>
      <w:r>
        <w:rPr>
          <w:rFonts w:eastAsia="Times New Roman"/>
          <w:color w:val="auto"/>
          <w:lang w:eastAsia="ru-RU"/>
        </w:rPr>
        <w:t xml:space="preserve">для выдачи Согласия, утверждены Постановлением администрации города Перми от 31.01.2022 </w:t>
      </w:r>
      <w:r>
        <w:rPr>
          <w:rFonts w:eastAsia="Times New Roman"/>
          <w:color w:val="auto"/>
          <w:lang w:eastAsia="ru-RU"/>
        </w:rPr>
        <w:br/>
      </w:r>
      <w:r>
        <w:rPr>
          <w:rFonts w:eastAsia="Times New Roman"/>
          <w:color w:val="auto"/>
          <w:lang w:eastAsia="ru-RU"/>
        </w:rPr>
        <w:t xml:space="preserve">№</w:t>
      </w:r>
      <w:r>
        <w:rPr>
          <w:rFonts w:eastAsia="Times New Roman"/>
          <w:color w:val="auto"/>
          <w:lang w:eastAsia="ru-RU"/>
        </w:rPr>
        <w:t xml:space="preserve"> 45).</w:t>
      </w:r>
      <w:r>
        <w:rPr>
          <w:rFonts w:eastAsia="Times New Roman"/>
          <w:color w:val="auto"/>
          <w:lang w:eastAsia="ru-RU"/>
        </w:rPr>
      </w:r>
      <w:r>
        <w:rPr>
          <w:rFonts w:eastAsia="Times New Roman"/>
          <w:color w:val="auto"/>
          <w:lang w:eastAsia="ru-RU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3.2.2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общественной безопасности администрации города Перми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 w:eastAsiaTheme="minorHAnsi"/>
          <w:color w:val="000000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color w:val="000000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размещении объектов на вышеуказанной территории необходимо соблюдать нормы и требования действующего законодательства: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законов от 21.12.1994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69-ФЗ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пожарной безопасности» и от 22.07.2008 № 123-ФЗ «Технический регламент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градостроительной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противопожарной защиты. </w:t>
      </w:r>
      <w:r>
        <w:rPr>
          <w:rFonts w:ascii="Times New Roman" w:hAnsi="Times New Roman" w:cs="Times New Roman"/>
          <w:sz w:val="24"/>
          <w:szCs w:val="24"/>
        </w:rPr>
        <w:t xml:space="preserve"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</w:t>
      </w:r>
      <w:r>
        <w:rPr>
          <w:rFonts w:ascii="Times New Roman" w:hAnsi="Times New Roman" w:cs="Times New Roman"/>
          <w:sz w:val="24"/>
          <w:szCs w:val="24"/>
        </w:rPr>
        <w:t xml:space="preserve">рм противопожарной безопасности;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3.2.2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Срок аренды земельного участка устанавливается с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/>
      <w:bookmarkStart w:id="1" w:name="P51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4.2. Ежегодный размер арендной платы составляет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 рублей (__________________________________________________________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__</w:t>
      </w:r>
      <w:r>
        <w:rPr>
          <w:rFonts w:ascii="Times New Roman" w:hAnsi="Times New Roman" w:cs="Times New Roman"/>
          <w:b/>
          <w:sz w:val="24"/>
          <w:szCs w:val="24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8"/>
        <w:jc w:val="both"/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8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/>
      <w:bookmarkStart w:id="2" w:name="P54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Арендатор обязан в течен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ие 15 дней со дня размещения протокола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</w:t>
      </w:r>
      <w:r>
        <w:rPr>
          <w:rFonts w:ascii="Times New Roman" w:hAnsi="Times New Roman" w:eastAsia="Calibri" w:cs="Times New Roman"/>
          <w:sz w:val="24"/>
          <w:szCs w:val="24"/>
        </w:rPr>
        <w:t xml:space="preserve">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досрочном расторжении договора,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в связи с выкупом зе</w:t>
      </w:r>
      <w:r>
        <w:rPr>
          <w:rFonts w:ascii="Times New Roman" w:hAnsi="Times New Roman" w:cs="Times New Roman"/>
          <w:sz w:val="24"/>
          <w:szCs w:val="24"/>
        </w:rPr>
        <w:t xml:space="preserve">мельного участка, в соответствии с действующим законодательством, ежегодная арендная плата за первый год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Договору, не воз</w:t>
      </w:r>
      <w:r>
        <w:rPr>
          <w:rFonts w:ascii="Times New Roman" w:hAnsi="Times New Roman" w:cs="Times New Roman"/>
          <w:sz w:val="24"/>
          <w:szCs w:val="24"/>
        </w:rPr>
        <w:t xml:space="preserve">вращается.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eastAsia="Calibri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исчисляется помесячно с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 и вносится в следующем порядке: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года, а также подлежит индексации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уровень инфля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ции, установленный </w:t>
      </w: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</w:t>
      </w:r>
      <w:r>
        <w:rPr>
          <w:rFonts w:ascii="Times New Roman" w:hAnsi="Times New Roman" w:eastAsia="Calibri" w:cs="Times New Roman"/>
          <w:sz w:val="24"/>
          <w:szCs w:val="24"/>
        </w:rPr>
        <w:br/>
      </w:r>
      <w:r>
        <w:rPr>
          <w:rFonts w:ascii="Times New Roman" w:hAnsi="Times New Roman" w:eastAsia="Calibri" w:cs="Times New Roman"/>
          <w:sz w:val="24"/>
          <w:szCs w:val="24"/>
        </w:rPr>
        <w:t xml:space="preserve">на очередной финансовый год и плановый период.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 случае возникновения у Арендатор</w:t>
      </w:r>
      <w:r>
        <w:rPr>
          <w:rFonts w:ascii="Times New Roman" w:hAnsi="Times New Roman" w:cs="Times New Roman"/>
          <w:sz w:val="24"/>
          <w:szCs w:val="24"/>
        </w:rPr>
        <w:t xml:space="preserve">а права собственности на земель</w:t>
      </w:r>
      <w:r>
        <w:rPr>
          <w:rFonts w:ascii="Times New Roman" w:hAnsi="Times New Roman" w:cs="Times New Roman"/>
          <w:sz w:val="24"/>
          <w:szCs w:val="24"/>
        </w:rPr>
        <w:t xml:space="preserve">ный участок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арендн</w:t>
      </w:r>
      <w:r>
        <w:rPr>
          <w:rFonts w:ascii="Times New Roman" w:hAnsi="Times New Roman" w:cs="Times New Roman"/>
          <w:sz w:val="24"/>
          <w:szCs w:val="24"/>
        </w:rPr>
        <w:t xml:space="preserve">ая плата начисляется за весь те</w:t>
      </w:r>
      <w:r>
        <w:rPr>
          <w:rFonts w:ascii="Times New Roman" w:hAnsi="Times New Roman" w:cs="Times New Roman"/>
          <w:sz w:val="24"/>
          <w:szCs w:val="24"/>
        </w:rPr>
        <w:t xml:space="preserve">кущий месяц.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4.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 3.2.1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 арендной плате за каждый день просрочки.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Если Арендатор не возвратил земельный участок либо возвратил его несвоевременно арендная плата начисляется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5.3. Во всем остальном, что не предусмотрено настоящим договором, сто-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роны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руководствуются действующим законодательством.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настоящем договоре.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6.1. Арендатор в течение 15 дней со дня размещения протокола оплачивает арендную плату в размере и порядке, установленных пунктом 4.3 настоящего договора.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6.2. Арендодатель в течение 5 дней со дня истечения 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-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дневного срока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 дня размещения протокола направляет Арендатору подписанный проект договора.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6.3. После подписания Арендатором про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екта договора Арендодатель в те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чение 5 дней направляет Арендатору подписа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нный акт приема-передачи земель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ного участка.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случае нарушения срока, установленно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го в пункте 6.1 настоящего дого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вора, Арендатор уплачивает Арендодателю неустойку в размере 0,03 % от суммы, указанной в пункте 4.2 настоящего договора, за каждый день просрочки.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новленном зако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ном порядке для осуществления его государственной регистрации.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7.1. Настоящий договор может быть ра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сторгнут по письменному соглаше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нию сторон,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договором, а также в случаях, указанных в пункте 7.5 настоящего Договора.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случае невнесения двух раз подряд (в том числе внесения не в полном объеме) Арендатором арендной платы в срок,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установленный пунктом 4.4 насто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твом (загрязнение или иное нега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тивное воздействие на земли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 почву);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 использовании земельного участка с нарушением границ, сведения о которых содержатся в государственном кадастре недвижимости.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Расторжение настоящего договора не 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свобождает Арендатора от необхо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неустранения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Арендатором указанного в предупреждении нарушения по истечении 15-дневного срока со дня направления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Арендодателем письменного предупреждения.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7.4. Настоящий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при создании или возведении на 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емельном участке самовольной по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ийской Федерации, в сроки, уста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5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 невыполнения Арендатором обязательств, предусмотренных пунктом 3.2.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17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настоящего договора,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7.5.5. по иным основаниям, предусмот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ренным законодательством Россий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ской Федерации.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7.6. </w:t>
      </w:r>
      <w:r>
        <w:rPr>
          <w:rFonts w:ascii="Times New Roman" w:hAnsi="Times New Roman" w:cs="Times New Roman"/>
          <w:sz w:val="24"/>
          <w:szCs w:val="24"/>
        </w:rPr>
        <w:t xml:space="preserve">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8.1. 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срок, не превышающий срока дей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8.3. При досрочном прекращении действия настоящего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договора соглаше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ние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об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 договором субаренды.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</w:t>
      </w:r>
      <w:r>
        <w:rPr>
          <w:rFonts w:ascii="Times New Roman" w:hAnsi="Times New Roman" w:cs="Times New Roman"/>
          <w:b/>
          <w:sz w:val="24"/>
          <w:szCs w:val="24"/>
        </w:rPr>
        <w:t xml:space="preserve">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br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за неисполнение этих обязательств.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9.2. Об этих обс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Несвоевременное извещение о насту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плении форс-мажора, военных дей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ствий лишает соответствующую сторону права ссылаться в дальнейшем на указанные выше обстоятельства.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9.3. При продолжительности особых обстоятельств, делающих невоз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мож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акт приема-передачи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земельного участка (приложение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ind w:firstLine="567"/>
        <w:jc w:val="both"/>
        <w:spacing w:line="276" w:lineRule="auto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Оплата за земельный участок в размере, установленном в соответствии с абзацем первым пункта 4.3 настоящего договора, произведена полностью. Реквизиты документа(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ов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), подтверждающего(их) перечисление денежных средств Арендодателю ____________________.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52"/>
        <w:gridCol w:w="49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2" w:type="dxa"/>
            <w:textDirection w:val="lrTb"/>
            <w:noWrap w:val="false"/>
          </w:tcPr>
          <w:p>
            <w:pPr>
              <w:pStyle w:val="90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614000,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7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907"/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r>
          </w:p>
          <w:p>
            <w:pPr>
              <w:pStyle w:val="90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/>
            <w:bookmarkStart w:id="3" w:name="P133"/>
            <w:r/>
            <w:bookmarkEnd w:id="3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76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Е.А.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Погадаева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76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108"/>
              <w:jc w:val="both"/>
              <w:spacing w:line="276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Дата _______________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jc w:val="both"/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spacing w:line="276" w:lineRule="auto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07"/>
        <w:ind w:firstLine="540"/>
        <w:jc w:val="both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8" w:orient="portrait"/>
      <w:pgMar w:top="851" w:right="851" w:bottom="851" w:left="1134" w:header="0" w:footer="55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41167879"/>
      <w:docPartObj>
        <w:docPartGallery w:val="Page Numbers (Top of Page)"/>
        <w:docPartUnique w:val="true"/>
      </w:docPartObj>
      <w:rPr/>
    </w:sdtPr>
    <w:sdtContent>
      <w:p>
        <w:pPr>
          <w:pStyle w:val="914"/>
          <w:jc w:val="center"/>
        </w:pPr>
        <w:r/>
        <w:r/>
      </w:p>
      <w:p>
        <w:pPr>
          <w:pStyle w:val="9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03"/>
    <w:next w:val="903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basedOn w:val="904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03"/>
    <w:next w:val="903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basedOn w:val="904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4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4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4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4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3"/>
    <w:next w:val="903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4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3"/>
    <w:next w:val="903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4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3"/>
    <w:next w:val="903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4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03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03"/>
    <w:next w:val="903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basedOn w:val="904"/>
    <w:link w:val="754"/>
    <w:uiPriority w:val="10"/>
    <w:rPr>
      <w:sz w:val="48"/>
      <w:szCs w:val="48"/>
    </w:rPr>
  </w:style>
  <w:style w:type="paragraph" w:styleId="756">
    <w:name w:val="Subtitle"/>
    <w:basedOn w:val="903"/>
    <w:next w:val="903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basedOn w:val="904"/>
    <w:link w:val="756"/>
    <w:uiPriority w:val="11"/>
    <w:rPr>
      <w:sz w:val="24"/>
      <w:szCs w:val="24"/>
    </w:rPr>
  </w:style>
  <w:style w:type="paragraph" w:styleId="758">
    <w:name w:val="Quote"/>
    <w:basedOn w:val="903"/>
    <w:next w:val="903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03"/>
    <w:next w:val="903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character" w:styleId="762">
    <w:name w:val="Header Char"/>
    <w:basedOn w:val="904"/>
    <w:link w:val="914"/>
    <w:uiPriority w:val="99"/>
  </w:style>
  <w:style w:type="character" w:styleId="763">
    <w:name w:val="Footer Char"/>
    <w:basedOn w:val="904"/>
    <w:link w:val="916"/>
    <w:uiPriority w:val="99"/>
  </w:style>
  <w:style w:type="character" w:styleId="764">
    <w:name w:val="Caption Char"/>
    <w:basedOn w:val="927"/>
    <w:link w:val="916"/>
    <w:uiPriority w:val="99"/>
  </w:style>
  <w:style w:type="table" w:styleId="765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Footnote Text Char"/>
    <w:link w:val="910"/>
    <w:uiPriority w:val="99"/>
    <w:rPr>
      <w:sz w:val="18"/>
    </w:rPr>
  </w:style>
  <w:style w:type="character" w:styleId="891">
    <w:name w:val="Endnote Text Char"/>
    <w:link w:val="918"/>
    <w:uiPriority w:val="99"/>
    <w:rPr>
      <w:sz w:val="20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909">
    <w:name w:val="Table Grid"/>
    <w:basedOn w:val="90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>
    <w:name w:val="footnote text"/>
    <w:basedOn w:val="903"/>
    <w:link w:val="91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1" w:customStyle="1">
    <w:name w:val="Текст сноски Знак"/>
    <w:basedOn w:val="904"/>
    <w:link w:val="910"/>
    <w:uiPriority w:val="99"/>
    <w:semiHidden/>
    <w:rPr>
      <w:sz w:val="20"/>
      <w:szCs w:val="20"/>
    </w:rPr>
  </w:style>
  <w:style w:type="character" w:styleId="912">
    <w:name w:val="footnote reference"/>
    <w:semiHidden/>
    <w:unhideWhenUsed/>
    <w:rPr>
      <w:vertAlign w:val="superscript"/>
    </w:rPr>
  </w:style>
  <w:style w:type="table" w:styleId="913" w:customStyle="1">
    <w:name w:val="Сетка таблицы1"/>
    <w:basedOn w:val="90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4">
    <w:name w:val="Header"/>
    <w:basedOn w:val="903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Верхний колонтитул Знак"/>
    <w:basedOn w:val="904"/>
    <w:link w:val="914"/>
    <w:uiPriority w:val="99"/>
  </w:style>
  <w:style w:type="paragraph" w:styleId="916">
    <w:name w:val="Footer"/>
    <w:basedOn w:val="903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"/>
    <w:basedOn w:val="904"/>
    <w:link w:val="916"/>
    <w:uiPriority w:val="99"/>
  </w:style>
  <w:style w:type="paragraph" w:styleId="918">
    <w:name w:val="endnote text"/>
    <w:basedOn w:val="903"/>
    <w:link w:val="91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9" w:customStyle="1">
    <w:name w:val="Текст концевой сноски Знак"/>
    <w:basedOn w:val="904"/>
    <w:link w:val="918"/>
    <w:uiPriority w:val="99"/>
    <w:semiHidden/>
    <w:rPr>
      <w:sz w:val="20"/>
      <w:szCs w:val="20"/>
    </w:rPr>
  </w:style>
  <w:style w:type="character" w:styleId="920">
    <w:name w:val="endnote reference"/>
    <w:basedOn w:val="904"/>
    <w:uiPriority w:val="99"/>
    <w:semiHidden/>
    <w:unhideWhenUsed/>
    <w:rPr>
      <w:vertAlign w:val="superscript"/>
    </w:rPr>
  </w:style>
  <w:style w:type="character" w:styleId="921">
    <w:name w:val="Strong"/>
    <w:basedOn w:val="904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2">
    <w:name w:val="Body Text Indent 2"/>
    <w:basedOn w:val="903"/>
    <w:link w:val="923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Основной текст с отступом 2 Знак"/>
    <w:basedOn w:val="904"/>
    <w:link w:val="92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>
    <w:name w:val="Hyperlink"/>
    <w:semiHidden/>
    <w:unhideWhenUsed/>
    <w:rPr>
      <w:color w:val="0000ff"/>
      <w:u w:val="single"/>
    </w:rPr>
  </w:style>
  <w:style w:type="paragraph" w:styleId="925">
    <w:name w:val="Balloon Text"/>
    <w:basedOn w:val="903"/>
    <w:link w:val="92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basedOn w:val="904"/>
    <w:link w:val="925"/>
    <w:uiPriority w:val="99"/>
    <w:semiHidden/>
    <w:rPr>
      <w:rFonts w:ascii="Tahoma" w:hAnsi="Tahoma" w:cs="Tahoma"/>
      <w:sz w:val="16"/>
      <w:szCs w:val="16"/>
    </w:rPr>
  </w:style>
  <w:style w:type="paragraph" w:styleId="927">
    <w:name w:val="Caption"/>
    <w:basedOn w:val="903"/>
    <w:next w:val="903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2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revision>4</cp:revision>
  <dcterms:created xsi:type="dcterms:W3CDTF">2024-08-26T07:50:00Z</dcterms:created>
  <dcterms:modified xsi:type="dcterms:W3CDTF">2024-08-28T06:35:56Z</dcterms:modified>
</cp:coreProperties>
</file>