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670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2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5670"/>
        <w:spacing w:after="0" w:line="24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распоряжению начальника 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5670"/>
        <w:spacing w:after="0" w:line="240" w:lineRule="exact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Cs w:val="28"/>
        </w:rPr>
      </w:r>
      <w:r>
        <w:rPr>
          <w:rFonts w:ascii="Times New Roman" w:hAnsi="Times New Roman"/>
          <w:szCs w:val="28"/>
        </w:rPr>
        <w:t xml:space="preserve">20.09.2024 № 059-19-01-10-1346</w:t>
      </w:r>
      <w:r/>
      <w:r>
        <w:rPr>
          <w:rFonts w:ascii="Times New Roman" w:hAnsi="Times New Roman"/>
          <w:szCs w:val="28"/>
        </w:rPr>
      </w:r>
      <w:r>
        <w:rPr>
          <w:rFonts w:ascii="Times New Roman" w:hAnsi="Times New Roman"/>
          <w:szCs w:val="28"/>
        </w:rPr>
      </w:r>
    </w:p>
    <w:p>
      <w:pPr>
        <w:pStyle w:val="860"/>
        <w:ind w:left="5400"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</w:r>
      <w:r>
        <w:rPr>
          <w:b w:val="0"/>
          <w:sz w:val="28"/>
          <w:szCs w:val="28"/>
        </w:rPr>
      </w:r>
      <w:r>
        <w:rPr>
          <w:b w:val="0"/>
          <w:sz w:val="28"/>
          <w:szCs w:val="28"/>
        </w:rPr>
      </w:r>
    </w:p>
    <w:p>
      <w:pPr>
        <w:pStyle w:val="860"/>
        <w:ind w:left="5400"/>
        <w:jc w:val="center"/>
        <w:rPr>
          <w:b w:val="0"/>
          <w:sz w:val="28"/>
          <w:szCs w:val="28"/>
        </w:rPr>
      </w:pPr>
      <w:r/>
      <w:bookmarkStart w:id="0" w:name="_GoBack"/>
      <w:r/>
      <w:bookmarkEnd w:id="0"/>
      <w:r>
        <w:rPr>
          <w:b w:val="0"/>
          <w:sz w:val="28"/>
          <w:szCs w:val="28"/>
        </w:rPr>
      </w:r>
      <w:r>
        <w:rPr>
          <w:b w:val="0"/>
          <w:sz w:val="28"/>
          <w:szCs w:val="28"/>
        </w:rPr>
      </w:r>
    </w:p>
    <w:p>
      <w:pPr>
        <w:pStyle w:val="860"/>
        <w:jc w:val="center"/>
      </w:pPr>
      <w:r>
        <w:t xml:space="preserve">ИЗВЕЩЕНИЕ О ПРОВЕДЕНИИ АУКЦИОНА </w:t>
      </w:r>
      <w:r/>
    </w:p>
    <w:p>
      <w:pPr>
        <w:pStyle w:val="860"/>
        <w:spacing w:line="240" w:lineRule="exact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150"/>
        <w:gridCol w:w="6195"/>
      </w:tblGrid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адрес в пределах места нахождения, адрес электронной почты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 номер контактного телефона организатора аукциона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Департамент имущественных отношений администрации города Перми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614015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г. Пермь, ул. Сибирская, д. 14.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ind w:left="0" w:right="0" w:firstLine="0"/>
              <w:jc w:val="left"/>
              <w:spacing w:after="0" w:afterAutospacing="0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e-mail: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dio@perm.permkrai.ru</w:t>
            </w:r>
            <w:r>
              <w:rPr>
                <w:sz w:val="26"/>
              </w:rPr>
            </w:r>
            <w:r/>
          </w:p>
          <w:p>
            <w:pPr>
              <w:spacing w:after="0" w:afterAutospacing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тел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. +7 (342) 212-77-24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(отдел по распоряжению муниципальным имуществом)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Почтовый адрес: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614015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г. Пермь, ул. Сибирская, д. 14.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Адрес электронной площадки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 информационно-телекоммуникационной сети «Интернет»,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 которой проводится аукцион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http://utp.sberbank-ast.ru</w:t>
            </w: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  <w:t xml:space="preserve"> (торговая секция «Приватизация, аренда и продажа прав») </w:t>
            </w: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</w: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</w:r>
          </w:p>
          <w:p>
            <w:pPr>
              <w:pStyle w:val="859"/>
              <w:ind w:left="0"/>
              <w:spacing w:after="0" w:line="240" w:lineRule="exact"/>
              <w:widowControl w:val="off"/>
              <w:rPr>
                <w:rStyle w:val="857"/>
                <w:rFonts w:eastAsia="Times New Roman"/>
                <w:bCs/>
                <w:i/>
                <w:color w:val="auto"/>
                <w:sz w:val="24"/>
                <w:szCs w:val="24"/>
                <w:u w:val="none"/>
                <w:lang w:eastAsia="ru-RU" w:bidi="ru-RU"/>
              </w:rPr>
            </w:pPr>
            <w:r>
              <w:rPr>
                <w:rFonts w:eastAsia="Times New Roman"/>
                <w:bCs/>
                <w:i/>
                <w:color w:val="auto"/>
                <w:sz w:val="24"/>
                <w:szCs w:val="24"/>
                <w:u w:val="none"/>
                <w:lang w:eastAsia="ru-RU" w:bidi="ru-RU"/>
              </w:rPr>
            </w:r>
            <w:r>
              <w:rPr>
                <w:rStyle w:val="857"/>
                <w:rFonts w:eastAsia="Times New Roman"/>
                <w:bCs/>
                <w:i/>
                <w:color w:val="auto"/>
                <w:sz w:val="24"/>
                <w:szCs w:val="24"/>
                <w:u w:val="none"/>
                <w:lang w:eastAsia="ru-RU" w:bidi="ru-RU"/>
              </w:rPr>
            </w:r>
            <w:r>
              <w:rPr>
                <w:rStyle w:val="857"/>
                <w:rFonts w:eastAsia="Times New Roman"/>
                <w:bCs/>
                <w:i/>
                <w:color w:val="auto"/>
                <w:sz w:val="24"/>
                <w:szCs w:val="24"/>
                <w:u w:val="none"/>
                <w:lang w:eastAsia="ru-RU" w:bidi="ru-RU"/>
              </w:rPr>
            </w:r>
          </w:p>
          <w:p>
            <w:pPr>
              <w:pStyle w:val="859"/>
              <w:ind w:left="0"/>
              <w:spacing w:after="0" w:line="240" w:lineRule="exact"/>
              <w:widowControl w:val="off"/>
              <w:rPr>
                <w:rStyle w:val="857"/>
                <w:rFonts w:eastAsia="Times New Roman"/>
                <w:bCs/>
                <w:color w:val="auto"/>
                <w:sz w:val="24"/>
                <w:szCs w:val="24"/>
                <w:u w:val="none"/>
                <w:lang w:val="ru-RU" w:eastAsia="ru-RU" w:bidi="ru-RU"/>
              </w:rPr>
            </w:pPr>
            <w:r>
              <w:rPr>
                <w:rStyle w:val="857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Регламент </w:t>
            </w:r>
            <w:r>
              <w:rPr>
                <w:rStyle w:val="857"/>
                <w:rFonts w:eastAsia="Times New Roman"/>
                <w:bCs/>
                <w:color w:val="auto"/>
                <w:sz w:val="24"/>
                <w:szCs w:val="24"/>
                <w:u w:val="none"/>
                <w:lang w:val="ru-RU" w:eastAsia="ru-RU" w:bidi="ru-RU"/>
              </w:rPr>
              <w:t xml:space="preserve">универсальной торговой платформы </w:t>
            </w:r>
            <w:r>
              <w:rPr>
                <w:rStyle w:val="857"/>
                <w:rFonts w:eastAsia="Times New Roman"/>
                <w:bCs/>
                <w:color w:val="auto"/>
                <w:sz w:val="24"/>
                <w:szCs w:val="24"/>
                <w:u w:val="none"/>
                <w:lang w:val="ru-RU" w:eastAsia="ru-RU" w:bidi="ru-RU"/>
              </w:rPr>
            </w:r>
            <w:r>
              <w:rPr>
                <w:rStyle w:val="857"/>
                <w:rFonts w:eastAsia="Times New Roman"/>
                <w:bCs/>
                <w:color w:val="auto"/>
                <w:sz w:val="24"/>
                <w:szCs w:val="24"/>
                <w:u w:val="none"/>
                <w:lang w:val="ru-RU" w:eastAsia="ru-RU" w:bidi="ru-RU"/>
              </w:rPr>
            </w:r>
          </w:p>
          <w:p>
            <w:pPr>
              <w:pStyle w:val="859"/>
              <w:ind w:left="0"/>
              <w:spacing w:after="0" w:line="240" w:lineRule="exac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АО «Сбербанк-АСТ»: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859"/>
              <w:ind w:left="0"/>
              <w:spacing w:after="0" w:line="240" w:lineRule="exac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/>
            <w:hyperlink r:id="rId11" w:tooltip="https://utp.sberbank-ast.ru/Main/Notice/988/Reglament" w:history="1">
              <w:r>
                <w:rPr>
                  <w:rStyle w:val="857"/>
                  <w:sz w:val="24"/>
                  <w:szCs w:val="24"/>
                </w:rPr>
                <w:t xml:space="preserve">https://utp.sberbank-ast.ru/Main/Notice/988/Reglament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859"/>
              <w:ind w:left="0"/>
              <w:spacing w:after="0" w:line="240" w:lineRule="exact"/>
              <w:widowControl w:val="off"/>
              <w:rPr>
                <w:rFonts w:ascii="Times New Roman" w:hAnsi="Times New Roman" w:eastAsia="Times New Roman"/>
                <w:bCs/>
                <w:i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eastAsia="ru-RU" w:bidi="ru-RU"/>
              </w:rPr>
              <w:t xml:space="preserve">Для организации электронного документооборота 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val="ru-RU" w:eastAsia="ru-RU" w:bidi="ru-RU"/>
              </w:rPr>
              <w:t xml:space="preserve">З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eastAsia="ru-RU" w:bidi="ru-RU"/>
              </w:rPr>
              <w:t xml:space="preserve">аявитель 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val="ru-RU" w:eastAsia="ru-RU" w:bidi="ru-RU"/>
              </w:rPr>
              <w:t xml:space="preserve">и Пользователь 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eastAsia="ru-RU" w:bidi="ru-RU"/>
              </w:rPr>
              <w:t xml:space="preserve">должн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val="ru-RU" w:eastAsia="ru-RU" w:bidi="ru-RU"/>
              </w:rPr>
              <w:t xml:space="preserve">ы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eastAsia="ru-RU" w:bidi="ru-RU"/>
              </w:rPr>
              <w:t xml:space="preserve"> установить необходимые аппаратные средства, лицензионное клиентское программное и информационное обеспечение и получить сертификат ключа проверки 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val="ru-RU" w:eastAsia="ru-RU" w:bidi="ru-RU"/>
              </w:rPr>
              <w:t xml:space="preserve">усиленной квалифицированной 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eastAsia="ru-RU" w:bidi="ru-RU"/>
              </w:rPr>
              <w:t xml:space="preserve">электронной подписи в аккредитованном в соответствии со статьей 16 Федерального закона от 06.04.2011 № 63-ФЗ «Об электронной подписи» удостоверяющем центре.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val="ru-RU" w:eastAsia="ru-RU" w:bidi="ru-RU"/>
              </w:rPr>
              <w:t xml:space="preserve"> (п. 10.2.1. Регламента)</w:t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val="ru-RU" w:eastAsia="ru-RU" w:bidi="ru-RU"/>
              </w:rPr>
            </w:r>
            <w:r>
              <w:rPr>
                <w:rFonts w:ascii="Times New Roman" w:hAnsi="Times New Roman" w:eastAsia="Times New Roman"/>
                <w:bCs/>
                <w:i/>
                <w:sz w:val="24"/>
                <w:szCs w:val="24"/>
                <w:lang w:val="ru-RU" w:eastAsia="ru-RU" w:bidi="ru-RU"/>
              </w:rPr>
            </w:r>
          </w:p>
          <w:p>
            <w:pPr>
              <w:pStyle w:val="859"/>
              <w:ind w:left="0"/>
              <w:spacing w:after="0" w:line="240" w:lineRule="exact"/>
              <w:widowControl w:val="off"/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</w:r>
          </w:p>
          <w:p>
            <w:pPr>
              <w:pStyle w:val="859"/>
              <w:ind w:left="0"/>
              <w:spacing w:after="0" w:line="240" w:lineRule="exac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857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Регламент торговой секции </w:t>
            </w: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  <w:t xml:space="preserve">«Приватизация, аренда и продажа прав»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12" w:tooltip="https://utp.sberbank-ast.ru/AP/Notice/1027/Instructions" w:history="1">
              <w:r>
                <w:rPr>
                  <w:rStyle w:val="857"/>
                  <w:sz w:val="24"/>
                  <w:szCs w:val="24"/>
                </w:rPr>
                <w:t xml:space="preserve">https://utp.sberbank-ast.ru/AP/Notice/1027/Instructions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859"/>
              <w:ind w:left="0"/>
              <w:spacing w:after="0" w:line="240" w:lineRule="exact"/>
              <w:widowControl w:val="off"/>
              <w:rPr>
                <w:rFonts w:ascii="Times New Roman" w:hAnsi="Times New Roman" w:eastAsia="Times New Roman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  <w:t xml:space="preserve">Инструкция по работе в торговой секци</w:t>
            </w: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val="ru-RU" w:eastAsia="ru-RU" w:bidi="ru-RU"/>
              </w:rPr>
              <w:t xml:space="preserve">и</w:t>
            </w: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  <w:t xml:space="preserve"> «Приватизация, аренда и продажа прав»</w:t>
            </w:r>
            <w:r>
              <w:rPr>
                <w:rStyle w:val="857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: </w:t>
            </w:r>
            <w:hyperlink r:id="rId13" w:tooltip="http://utp.sberbank-ast.ru/AP/Notice/652/Instructions" w:history="1">
              <w:r>
                <w:rPr>
                  <w:rStyle w:val="857"/>
                  <w:sz w:val="24"/>
                  <w:szCs w:val="24"/>
                </w:rPr>
                <w:t xml:space="preserve">http://utp.sberbank-ast.ru/AP/Notice/652/Instructions</w:t>
              </w:r>
            </w:hyperlink>
            <w:r>
              <w:rPr>
                <w:rStyle w:val="857"/>
                <w:rFonts w:eastAsia="Times New Roman"/>
                <w:bCs/>
                <w:color w:val="auto"/>
                <w:sz w:val="24"/>
                <w:szCs w:val="24"/>
                <w:u w:val="none"/>
                <w:lang w:eastAsia="ru-RU" w:bidi="ru-RU"/>
              </w:rPr>
              <w:t xml:space="preserve">.</w:t>
            </w:r>
            <w:r>
              <w:rPr>
                <w:rFonts w:ascii="Times New Roman" w:hAnsi="Times New Roman" w:eastAsia="Times New Roman"/>
                <w:bCs/>
                <w:sz w:val="24"/>
                <w:szCs w:val="24"/>
                <w:lang w:eastAsia="ru-RU" w:bidi="ru-RU"/>
              </w:rPr>
            </w:r>
            <w:r>
              <w:rPr>
                <w:rFonts w:ascii="Times New Roman" w:hAnsi="Times New Roman" w:eastAsia="Times New Roman"/>
                <w:bCs/>
                <w:sz w:val="24"/>
                <w:szCs w:val="24"/>
                <w:lang w:eastAsia="ru-RU" w:bidi="ru-RU"/>
              </w:rPr>
            </w:r>
          </w:p>
          <w:p>
            <w:pPr>
              <w:ind w:firstLine="1"/>
              <w:jc w:val="both"/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  <w:outlineLvl w:val="0"/>
            </w:pP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  <w:t xml:space="preserve">Оператор электронной площадки: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АО «Сбербанк-АСТ»</w:t>
            </w: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</w:r>
            <w:r>
              <w:rPr>
                <w:rFonts w:ascii="Times New Roman" w:hAnsi="Times New Roman" w:eastAsia="Courier New"/>
                <w:color w:val="000000"/>
                <w:sz w:val="24"/>
                <w:szCs w:val="24"/>
                <w:lang w:eastAsia="ru-RU" w:bidi="ru-RU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официального сайта муниципального образования город Пермь в информационно-телекоммуникационной сети «Интернет»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/>
            <w:hyperlink r:id="rId14" w:tooltip="http://www.gorodperm.ru" w:history="1">
              <w:r>
                <w:rPr>
                  <w:rStyle w:val="857"/>
                  <w:sz w:val="24"/>
                  <w:szCs w:val="24"/>
                  <w:lang w:val="en-US"/>
                </w:rPr>
                <w:t xml:space="preserve">www</w:t>
              </w:r>
              <w:r>
                <w:rPr>
                  <w:rStyle w:val="857"/>
                  <w:sz w:val="24"/>
                  <w:szCs w:val="24"/>
                </w:rPr>
                <w:t xml:space="preserve">.</w:t>
              </w:r>
              <w:r>
                <w:rPr>
                  <w:rStyle w:val="857"/>
                  <w:sz w:val="24"/>
                  <w:szCs w:val="24"/>
                  <w:lang w:val="en-US"/>
                </w:rPr>
                <w:t xml:space="preserve">gorodperm</w:t>
              </w:r>
              <w:r>
                <w:rPr>
                  <w:rStyle w:val="857"/>
                  <w:sz w:val="24"/>
                  <w:szCs w:val="24"/>
                </w:rPr>
                <w:t xml:space="preserve">.</w:t>
              </w:r>
              <w:r>
                <w:rPr>
                  <w:rStyle w:val="857"/>
                  <w:sz w:val="24"/>
                  <w:szCs w:val="24"/>
                  <w:lang w:val="en-US"/>
                </w:rPr>
                <w:t xml:space="preserve">ru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Адрес государственной информационной системы «Официальный сайт Российской Федерации» в информационно-телекоммуникационной сети «Интернет»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(далее – официальный сайт)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  <w:u w:val="single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  <w:u w:val="single"/>
                <w:lang w:val="en-US"/>
              </w:rPr>
              <w:t xml:space="preserve">www.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torgi.gov.ru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Дата и время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начала срока подачи заявок на участие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 аукционе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27.09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.202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09:00 местного времени (07:00 МСК)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место подачи заявок на участие в аукционе – электронная площадка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trHeight w:val="750"/>
        </w:trPr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Порядок подачи заявок на участие в аукционе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Заявка на участие в аукционе в сроки, указанные в извещении о проведении аукциона, направляется оператору электронной площадки в форме электронного документа и подписывается усиленной квалифицированной подписью заявителя.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r>
          </w:p>
          <w:p>
            <w:pPr>
              <w:pStyle w:val="856"/>
              <w:ind w:firstLine="0"/>
              <w:jc w:val="both"/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pStyle w:val="856"/>
              <w:ind w:firstLine="0"/>
              <w:jc w:val="both"/>
              <w:spacing w:line="240" w:lineRule="exac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Каждая заявка на участие в аукционе, поступившая в срок, указанный в извещении о проведении аукциона, регистрируется оператором электронной площадки с указанием даты, времени ее получения и порядкового номера заявки. </w:t>
            </w:r>
            <w:r/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Заявитель вправе подать только одну заявку в отношении каждого предмета аукциона (лота).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Заявка на участие в аукционе подается в срок и по форме, которые установлены 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документацией об аукционе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Прием заявок на участие в аукционе осуществляется до даты и времени окончания срока подачи таких заявок.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Полученные после окончания установ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ленного срока приема заявок на участие в аукционе заявки не рассматриваются и в тот же день возвращаются оператором электронной площадки заявителям. Задаток возвращается указанным заявителям в течение пяти рабочих дней с даты окончания срока приема заявок.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Срок и порядок внесения задатка, реквизиты счета для перечисления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Задаток перечисляется до даты и времени окончания срока подачи заявок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Задаток перечисляется на счет электронной площадки: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получатель АО «Сбербанк-АСТ»,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ИНН 7707308480, КПП 770401001,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Банк получателя ПАО «СБЕРБАНК РОССИИ» Г. МОСКВА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Сч.№ 40702810300020038047, БИК 044525225,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корреспондентский счет 30101810400000000225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Назначение платежа: оплата задатка по процедуре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SBR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_______ (лот № __)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от участника _____________ ИНН __________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(НДС не облагается)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 и время окончания срока подачи заявок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shd w:val="clear" w:color="auto" w:fill="c0c0c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участие в аукционе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c0c0c0"/>
              </w:rPr>
            </w:r>
            <w:r>
              <w:rPr>
                <w:rFonts w:ascii="Times New Roman" w:hAnsi="Times New Roman"/>
                <w:sz w:val="24"/>
                <w:szCs w:val="24"/>
                <w:shd w:val="clear" w:color="auto" w:fill="c0c0c0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20.10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.202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18:00 местного времени (16:00 МСК)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 и время начала рассмотрения заявок на участие в аукционе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jc w:val="both"/>
              <w:spacing w:after="0" w:line="240" w:lineRule="exact"/>
              <w:tabs>
                <w:tab w:val="num" w:pos="1440" w:leader="none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21.10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.202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09:00 местного времени (07:00 МСК)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Дата и время начала проведения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22.10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.2024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09:00 местного времени (07:00 МСК)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Срок, в течение которого должен быть подписан проект договора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jc w:val="both"/>
              <w:spacing w:after="0" w:line="240" w:lineRule="exact"/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Договор должен быть подписан сторонами не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ранее чем через десять дней со дня размещения информации о результатах аукциона на официальном сайте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ind w:firstLine="709"/>
              <w:jc w:val="both"/>
              <w:spacing w:after="0" w:line="240" w:lineRule="exact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856"/>
              <w:ind w:firstLine="0"/>
              <w:jc w:val="both"/>
              <w:spacing w:line="240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/>
            <w:bookmarkStart w:id="1" w:name="Par0"/>
            <w:r/>
            <w:bookmarkEnd w:id="1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случае, если аукцион признан несостоявшимся по причине подачи заявки на участие в аукционе только одним з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аявителем (далее - единственный заявитель на участие в аукционе), либо признания участником аукциона только одного заявителя (далее - единственный участник аукциона), с единственным заявителем на участие в аукционе, в случае, если его заявка соответствует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требованиям и условиям, предусмотренным документацией об аукционе, либо с единственным участником аукциона организатор аукциона обязан заключить договор на условиях и по цене, которые предусмотрены заявкой на участие в аукционе и документацией об 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укционе, но по цене не менее начальной (минимальной) цены договора (лота), указанной в извещении о проведении аукциона. При этом заключение договора для единственного заявителя на участие в аукционе, единственного участника аукциона, является обязательным.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В случае, если победитель аукциона уклонился от заключения договора, заключение договора осуществляется с участником аукциона, сделавшим предпоследнее предложение о цене договора.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shd w:val="clear" w:color="auto" w:fill="auto"/>
            <w:tcW w:w="9853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Цена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заключенного договора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не может быть пересмотрена сторонами в сторону уменьшения. 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Цена договора (цена лота) - арендная плата по договору может быть увеличена при увеличении стоимости 1 кв.м, но не чаще, чем 1 раз в год.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Увеличение (индексация) арендной платы на следующий календарный год (с 01 января) происходит на ос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i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tabs>
                <w:tab w:val="left" w:pos="1134" w:leader="none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 письменного согласия арендодателя арендатор вправе сдавать муниципальное имущество, право на которое передается по договору, или его часть в субаренду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3.2.13 договора, и при отсутствии задолженности по штрафам и пеням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        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за нарушение или ненадлежащее исполнение условий настоящего договора.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3227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рок, в течение которого организатор аукциона вправе отказаться от проведения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6626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Извещение 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отказе от проведения аукциона формируется организатором аукциона с использованием официального сайта, подписывается усиленной квалифицированной подписью лица, уполномоченного действовать от имени организатора аукциона, и размещается на официальном сайте н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е позднее чем за пять дней до даты окончания срока подачи заявок на участие в аукционе.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pStyle w:val="856"/>
              <w:ind w:firstLine="0"/>
              <w:jc w:val="both"/>
              <w:spacing w:line="240" w:lineRule="exac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Денежные средства, внесенные в качестве задатка, возвращаются заявителю в течение пяти рабочих дней с даты размещения извещения об отказе от проведения аукциона на официальном сайте.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</w:tbl>
    <w:p>
      <w:pPr>
        <w:pStyle w:val="860"/>
        <w:spacing w:line="240" w:lineRule="exact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122"/>
        <w:gridCol w:w="6223"/>
      </w:tblGrid>
      <w:tr>
        <w:tblPrEx/>
        <w:trPr>
          <w:jc w:val="center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904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Лот № 1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154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3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51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302,4 кв.м (кадастровый номер 59:01:3810197:271) в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двале жилого дома по адресу: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г. Пермь, Орджоникидзевский район,                        ул. Генерала Черняховского, д. 21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Фотографии – Приложение 1 (лот № 1) к извещению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3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51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3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Сроки и порядок оплаты по договору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договора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51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2 к извещению 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3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51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Любой вид деятельности, не запрещенный действующим законодательством.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3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51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450 000,00 руб.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–арендная плата по договору)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определена без учета коммунальных платежей, с учетом платы за долю земельного участка, без учета страховых взносов, без учета НДС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3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Величина повышения начальной цены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(«шаг аукциона»)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51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22 500,00 руб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5% начальной (минимальной) цены договора (цены лота)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3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Требование о внесении задатка, размер задатка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51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90 000,00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руб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начальной (минимальной) цены договора (цены лота)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253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Условия допуска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651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Заявителем может быть любое ю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860"/>
        <w:spacing w:line="240" w:lineRule="exact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tbl>
      <w:tblPr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1E0" w:firstRow="1" w:lastRow="1" w:firstColumn="1" w:lastColumn="1" w:noHBand="0" w:noVBand="0"/>
      </w:tblPr>
      <w:tblGrid>
        <w:gridCol w:w="3100"/>
        <w:gridCol w:w="6245"/>
      </w:tblGrid>
      <w:tr>
        <w:tblPrEx/>
        <w:trPr>
          <w:jc w:val="center"/>
        </w:trPr>
        <w:tc>
          <w:tcPr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345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Лот № 2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154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 расположения, описание и технические характеристики муниципального имущества, право на которое передается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45" w:type="dxa"/>
            <w:textDirection w:val="lrTb"/>
            <w:noWrap w:val="false"/>
          </w:tcPr>
          <w:p>
            <w:pPr>
              <w:pStyle w:val="852"/>
              <w:spacing w:before="0"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Нежилые помещения площадью 18,3 кв.м (в т.ч. 13,0 кв.м – основной, 5,3 кв.м – доля СИП) (кадастровый номер 59:01:4211197:1536) на первом этаже жилого дома по адресу: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г. Пермь, Мотовилихинский район,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before="0" w:after="0" w:line="240" w:lineRule="exact"/>
              <w:rPr>
                <w:rFonts w:ascii="Times New Roman" w:hAnsi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Постаногова, д. 7.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</w:r>
          </w:p>
          <w:p>
            <w:pPr>
              <w:spacing w:after="0" w:line="240" w:lineRule="exact"/>
              <w:rPr>
                <w:rFonts w:ascii="Times New Roman" w:hAnsi="Times New Roman" w:eastAsia="TimesNewRomanPSMT"/>
                <w:sz w:val="24"/>
                <w:szCs w:val="24"/>
              </w:rPr>
            </w:pPr>
            <w:r>
              <w:rPr>
                <w:rFonts w:ascii="Times New Roman" w:hAnsi="Times New Roman" w:eastAsia="TimesNewRomanPSMT"/>
                <w:sz w:val="24"/>
                <w:szCs w:val="24"/>
              </w:rPr>
            </w:r>
            <w:r>
              <w:rPr>
                <w:rFonts w:ascii="Times New Roman" w:hAnsi="Times New Roman" w:eastAsia="TimesNewRomanPSMT"/>
                <w:sz w:val="24"/>
                <w:szCs w:val="24"/>
              </w:rPr>
            </w:r>
            <w:r>
              <w:rPr>
                <w:rFonts w:ascii="Times New Roman" w:hAnsi="Times New Roman" w:eastAsia="TimesNewRomanPSMT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отографии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Приложение 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(лот № 2)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извещению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Срок действия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5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379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роки и порядок оплаты по договору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Проект договора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Раздел 4 проекта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извещению о проведении аукциона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Целевое назначение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Любой вид деятельности, не запрещенный действующим законодательством.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Начальная (минимальная)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цена договора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(цена лота)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муниципального имущества,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право на которое передается по договору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37 210,00 руб.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(размер годового платежа за право владения или пользования – арендная плата по договору)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определена без учета коммунальных платежей, с учетом платы за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долю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земельн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ого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участк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без учета страховых взносов, без учета НДС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еличин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повышения начальной цены договора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шаг аукциона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1 860,50 руб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jc w:val="both"/>
              <w:spacing w:after="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5% начальной (минимальной) цены договора (цены лота)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Требование о 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несении задатка, размер задатка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  <w:p>
            <w:pPr>
              <w:spacing w:after="0" w:line="240" w:lineRule="exact"/>
              <w:tabs>
                <w:tab w:val="center" w:pos="5076" w:leader="none"/>
              </w:tabs>
              <w:rPr>
                <w:rFonts w:ascii="Times New Roman" w:hAnsi="Times New Roman"/>
                <w:bCs/>
                <w:sz w:val="24"/>
                <w:szCs w:val="24"/>
              </w:rPr>
              <w:outlineLvl w:val="0"/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45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Требуется внесение задатка в размере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7 442,00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руб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20%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начальной (минимальной) цены договора (цены лота)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>
          <w:jc w:val="center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100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Условия допуска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245" w:type="dxa"/>
            <w:textDirection w:val="lrTb"/>
            <w:noWrap w:val="false"/>
          </w:tcPr>
          <w:p>
            <w:pPr>
              <w:jc w:val="both"/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Заявителем может быть любое ю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ридическое лицо независимо от организационно-правовой формы, места нахождения и места происхождения капитала или любое физическое лицо, в том числе индивидуальный предприниматель, претендующие на заключение договора и подавшие заявку на участие в аукционе.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</w:r>
          </w:p>
        </w:tc>
      </w:tr>
    </w:tbl>
    <w:p>
      <w:pPr>
        <w:pStyle w:val="860"/>
        <w:spacing w:line="240" w:lineRule="exact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p>
      <w:pPr>
        <w:pStyle w:val="860"/>
        <w:spacing w:line="240" w:lineRule="exact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p>
      <w:pPr>
        <w:pStyle w:val="856"/>
        <w:jc w:val="both"/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Организатор аукциона вправе принять решение о внесении изменений в извещение о проведении аукциона. Такие изменения формируются организатором аукциона с использованием официального сайта, подписываются усиленной квали</w:t>
      </w:r>
      <w:r>
        <w:rPr>
          <w:rFonts w:ascii="Times New Roman" w:hAnsi="Times New Roman" w:cs="Times New Roman"/>
          <w:sz w:val="24"/>
          <w:szCs w:val="24"/>
        </w:rPr>
        <w:t xml:space="preserve">фицированной подписью лица, уполномоченного действовать от имени организатора аукциона, и размещаются организатором аукциона на официальном сайте не позднее чем за пять дней до даты окончания подачи заявок на участие в аукционе. В течение одного часа с мом</w:t>
      </w:r>
      <w:r>
        <w:rPr>
          <w:rFonts w:ascii="Times New Roman" w:hAnsi="Times New Roman" w:cs="Times New Roman"/>
          <w:sz w:val="24"/>
          <w:szCs w:val="24"/>
        </w:rPr>
        <w:t xml:space="preserve">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площадке. При внесении изменений в извещение о проведении аукциона срок подачи зая</w:t>
      </w:r>
      <w:r>
        <w:rPr>
          <w:rFonts w:ascii="Times New Roman" w:hAnsi="Times New Roman" w:cs="Times New Roman"/>
          <w:sz w:val="24"/>
          <w:szCs w:val="24"/>
        </w:rPr>
        <w:t xml:space="preserve">вок на участие в аукционе должен быть продлен таким образом,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дней.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160" w:line="259" w:lineRule="auto"/>
      </w:pPr>
      <w:r>
        <w:br w:type="page" w:clear="all"/>
      </w:r>
      <w:r/>
    </w:p>
    <w:p>
      <w:pPr>
        <w:ind w:left="4955" w:firstLine="709"/>
        <w:jc w:val="both"/>
        <w:spacing w:after="0" w:line="240" w:lineRule="exac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 xml:space="preserve">1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</w:r>
      <w:r>
        <w:rPr>
          <w:rFonts w:ascii="Times New Roman" w:hAnsi="Times New Roman"/>
          <w:sz w:val="24"/>
          <w:szCs w:val="24"/>
          <w:lang w:eastAsia="ru-RU"/>
        </w:rPr>
      </w:r>
    </w:p>
    <w:p>
      <w:pPr>
        <w:ind w:left="5670"/>
        <w:spacing w:after="0" w:line="240" w:lineRule="exact"/>
        <w:widowControl w:val="off"/>
        <w:rPr>
          <w:rFonts w:ascii="Times New Roman" w:hAnsi="Times New Roman" w:eastAsia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извещению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о проведении аукциона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</w:p>
    <w:p>
      <w:pPr>
        <w:ind w:left="-709"/>
        <w:spacing w:after="0" w:line="240" w:lineRule="exact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</w:r>
    </w:p>
    <w:tbl>
      <w:tblPr>
        <w:tblStyle w:val="863"/>
        <w:tblW w:w="10620" w:type="dxa"/>
        <w:tblInd w:w="-709" w:type="dxa"/>
        <w:tblLook w:val="04A0" w:firstRow="1" w:lastRow="0" w:firstColumn="1" w:lastColumn="0" w:noHBand="0" w:noVBand="1"/>
      </w:tblPr>
      <w:tblGrid>
        <w:gridCol w:w="571"/>
        <w:gridCol w:w="3396"/>
        <w:gridCol w:w="3404"/>
        <w:gridCol w:w="3277"/>
      </w:tblGrid>
      <w:tr>
        <w:tblPrEx/>
        <w:trPr>
          <w:trHeight w:val="283"/>
        </w:trPr>
        <w:tc>
          <w:tcPr>
            <w:tcW w:w="571" w:type="dxa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Лот № 1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</w:tc>
        <w:tc>
          <w:tcPr>
            <w:tcW w:w="3396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bCs/>
                <w:i/>
                <w:highlight w:val="none"/>
                <w:lang w:eastAsia="ru-RU"/>
              </w:rPr>
            </w:pPr>
            <w:r>
              <w:rPr>
                <w:i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8970" cy="2160000"/>
                      <wp:effectExtent l="0" t="0" r="0" b="0"/>
                      <wp:docPr id="1" name="Рисунок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8970" cy="21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128.27pt;height:170.08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bCs/>
                <w:i/>
                <w:highlight w:val="none"/>
                <w:lang w:eastAsia="ru-RU"/>
              </w:rPr>
            </w:r>
            <w:r>
              <w:rPr>
                <w:bCs/>
                <w:i/>
                <w:highlight w:val="none"/>
                <w:lang w:eastAsia="ru-RU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i/>
                <w:highlight w:val="none"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340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i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8970" cy="2160000"/>
                      <wp:effectExtent l="0" t="0" r="0" b="0"/>
                      <wp:docPr id="2" name="Рисунок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8970" cy="21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28.27pt;height:170.08pt;mso-wrap-distance-left:0.00pt;mso-wrap-distance-top:0.00pt;mso-wrap-distance-right:0.00pt;mso-wrap-distance-bottom:0.00pt;" stroked="f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</w:tc>
        <w:tc>
          <w:tcPr>
            <w:tcW w:w="3277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i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8971" cy="2160000"/>
                      <wp:effectExtent l="0" t="0" r="0" b="0"/>
                      <wp:docPr id="3" name="Рисунок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8971" cy="21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miter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28.27pt;height:170.08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</w:r>
          </w:p>
          <w:p>
            <w:pPr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</w:r>
            <w:r>
              <w:rPr>
                <w:rFonts w:ascii="Times New Roman" w:hAnsi="Times New Roman"/>
                <w:lang w:eastAsia="ru-RU"/>
              </w:rPr>
            </w:r>
            <w:r>
              <w:rPr>
                <w:rFonts w:ascii="Times New Roman" w:hAnsi="Times New Roman"/>
                <w:lang w:eastAsia="ru-RU"/>
              </w:rPr>
            </w:r>
          </w:p>
        </w:tc>
      </w:tr>
      <w:tr>
        <w:tblPrEx/>
        <w:trPr>
          <w:trHeight w:val="3675"/>
        </w:trPr>
        <w:tc>
          <w:tcPr>
            <w:tcW w:w="571" w:type="dxa"/>
            <w:vMerge w:val="restart"/>
            <w:textDirection w:val="lrTb"/>
            <w:noWrap w:val="false"/>
          </w:tcPr>
          <w:p>
            <w:pPr>
              <w:spacing w:after="0" w:line="240" w:lineRule="exact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Лот № 2</w:t>
            </w:r>
            <w:r>
              <w:rPr>
                <w:rFonts w:ascii="Times New Roman" w:hAnsi="Times New Roman"/>
                <w:bCs/>
              </w:rPr>
            </w:r>
            <w:r>
              <w:rPr>
                <w:rFonts w:ascii="Times New Roman" w:hAnsi="Times New Roman"/>
                <w:bCs/>
              </w:rPr>
            </w:r>
          </w:p>
        </w:tc>
        <w:tc>
          <w:tcPr>
            <w:tcW w:w="3396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highlight w:val="none"/>
                <w:lang w:eastAsia="ru-RU"/>
              </w:rPr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highlight w:val="none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82417" cy="1411812"/>
                      <wp:effectExtent l="0" t="0" r="0" b="0"/>
                      <wp:docPr id="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80329725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882416" cy="14118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48.22pt;height:111.17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highlight w:val="none"/>
                <w:lang w:eastAsia="ru-RU"/>
              </w:rPr>
            </w:r>
            <w:r>
              <w:rPr>
                <w:rFonts w:ascii="Times New Roman" w:hAnsi="Times New Roman"/>
                <w:b/>
                <w:bCs/>
                <w:highlight w:val="none"/>
                <w:lang w:eastAsia="ru-RU"/>
              </w:rPr>
            </w:r>
          </w:p>
        </w:tc>
        <w:tc>
          <w:tcPr>
            <w:tcW w:w="340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highlight w:val="none"/>
              </w:rPr>
            </w:pPr>
            <w:r>
              <w:rPr>
                <w:rFonts w:ascii="Times New Roman" w:hAnsi="Times New Roman"/>
                <w:b/>
                <w:bCs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82417" cy="1411812"/>
                      <wp:effectExtent l="0" t="0" r="0" b="0"/>
                      <wp:docPr id="5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8011371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882416" cy="14118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48.22pt;height:111.17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highlight w:val="none"/>
              </w:rPr>
            </w:r>
            <w:r>
              <w:rPr>
                <w:rFonts w:ascii="Times New Roman" w:hAnsi="Times New Roman"/>
                <w:b/>
                <w:bCs/>
                <w:highlight w:val="none"/>
              </w:rPr>
            </w:r>
          </w:p>
        </w:tc>
        <w:tc>
          <w:tcPr>
            <w:tcW w:w="3277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highlight w:val="none"/>
                <w:lang w:eastAsia="ru-RU"/>
              </w:rPr>
            </w:r>
            <w:r>
              <w:rPr>
                <w:rFonts w:ascii="Times New Roman" w:hAnsi="Times New Roman"/>
                <w:b/>
                <w:bCs/>
              </w:rPr>
            </w:r>
            <w:r>
              <w:rPr>
                <w:rFonts w:ascii="Times New Roman" w:hAnsi="Times New Roman"/>
                <w:b/>
                <w:bCs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bCs/>
                <w:highlight w:val="none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eastAsia="ru-RU"/>
              </w:rPr>
            </w:r>
            <w:r>
              <w:rPr>
                <w:rFonts w:ascii="Times New Roman" w:hAnsi="Times New Roman"/>
                <w:b/>
                <w:bCs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80949" cy="1411812"/>
                      <wp:effectExtent l="0" t="0" r="0" b="0"/>
                      <wp:docPr id="6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6129011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1880948" cy="14118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48.11pt;height:111.17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bCs/>
                <w:highlight w:val="none"/>
                <w:lang w:eastAsia="ru-RU"/>
              </w:rPr>
            </w:r>
            <w:r>
              <w:rPr>
                <w:rFonts w:ascii="Times New Roman" w:hAnsi="Times New Roman"/>
                <w:b/>
                <w:bCs/>
                <w:highlight w:val="none"/>
                <w:lang w:eastAsia="ru-RU"/>
              </w:rPr>
            </w:r>
          </w:p>
        </w:tc>
      </w:tr>
    </w:tbl>
    <w:p>
      <w:pPr>
        <w:ind w:firstLine="5670"/>
        <w:spacing w:after="0" w:line="240" w:lineRule="exact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bCs/>
        </w:rPr>
        <w:br w:type="page" w:clear="all"/>
      </w:r>
      <w:r>
        <w:rPr>
          <w:rFonts w:ascii="Times New Roman" w:hAnsi="Times New Roman"/>
          <w:i/>
          <w:sz w:val="16"/>
          <w:szCs w:val="16"/>
        </w:rPr>
      </w:r>
      <w:r>
        <w:rPr>
          <w:rFonts w:ascii="Times New Roman" w:hAnsi="Times New Roman"/>
          <w:i/>
          <w:sz w:val="16"/>
          <w:szCs w:val="16"/>
        </w:rPr>
      </w:r>
    </w:p>
    <w:p>
      <w:pPr>
        <w:ind w:firstLine="5670"/>
        <w:spacing w:after="0" w:line="240" w:lineRule="exact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2</w:t>
      </w:r>
      <w:r>
        <w:rPr>
          <w:rFonts w:ascii="Times New Roman" w:hAnsi="Times New Roman"/>
          <w:i/>
          <w:sz w:val="16"/>
          <w:szCs w:val="16"/>
        </w:rPr>
      </w:r>
      <w:r>
        <w:rPr>
          <w:rFonts w:ascii="Times New Roman" w:hAnsi="Times New Roman"/>
          <w:i/>
          <w:sz w:val="16"/>
          <w:szCs w:val="16"/>
        </w:rPr>
      </w:r>
    </w:p>
    <w:p>
      <w:pPr>
        <w:ind w:left="5670"/>
        <w:spacing w:after="0" w:line="240" w:lineRule="exact"/>
        <w:widowControl w:val="off"/>
        <w:rPr>
          <w:rFonts w:ascii="Times New Roman" w:hAnsi="Times New Roman" w:eastAsia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извещению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о проведении аукциона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Зарегистрирован в департаменте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имущественных отношений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администрации города Перми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№  _______________________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“____”____________________ г.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                               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(Ф.И.О. исполнителя)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ДОГОВОР N _______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953"/>
        <w:gridCol w:w="3118"/>
      </w:tblGrid>
      <w:tr>
        <w:tblPrEx/>
        <w:trPr/>
        <w:tc>
          <w:tcPr>
            <w:tcW w:w="5953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679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09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вместе именуемые "Стороны", на основании __________________ заключили настоящий договор о следующем: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I. Предмет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9071"/>
      </w:tblGrid>
      <w:tr>
        <w:tblPrEx/>
        <w:trPr/>
        <w:tc>
          <w:tcPr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1.1. Арендодатель обязуется предоставить Арендатору за плату во временное владение и пользование или во временное пользование </w:t>
            </w:r>
            <w:hyperlink w:tooltip="&lt;1&gt; В зависимости от вида предоставления указывается формулировка &quot;во временное владение и пользование&quot; либо &quot;во временное пользование&quot;." w:anchor="Par415" w:history="1">
              <w:r>
                <w:rPr>
                  <w:rFonts w:ascii="Times New Roman" w:hAnsi="Times New Roman" w:eastAsiaTheme="minorEastAsia"/>
                  <w:sz w:val="24"/>
                  <w:szCs w:val="24"/>
                  <w:lang w:eastAsia="ru-RU"/>
                </w:rPr>
                <w:t xml:space="preserve">&lt;1&gt;</w:t>
              </w:r>
            </w:hyperlink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объект муниципального недвижимого имущества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виде нежилых помещений, расположенных в подвале жилого дома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адресу: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 Пермь,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Орджоникидзевский район,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ул. Генерала Черняховского, д. 21,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основной площадью 302,4 кв. м (кадастровый номер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59:01:3810197:271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и площадью помещений, предоставляемых Арендатору в совместное пользование с третьими лицами, ______ кв. м (када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стровый номер (при наличии), что для цели исчисления арендной платы составляет ______ кв. м (______ кв. м - основная площадь, ______ кв. м - доля от площади помещений, предоставляемых Арендатору в совместное пользование с третьими лицами) (далее - Объект).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являются неотъемлемой частью настоящего договора (приложение 1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1.2.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Цель использования Объекта: любой вид деятельности, не запрещенный действующим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1.3. Настоящий договор вступает в силу с момента его подписания. Срок аренды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с "___" __________ г. по "___" ________ г.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 считается переданным с даты подписания Сторонами акта приема-передачи.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II. Права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 Арендодатель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2.1.1. требовать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 Арендатор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6. своевременно и в полном объеме вносить арендную плату за пользование Объектом в порядке, на условиях и в сроки, установленные настоящим договором;" w:anchor="Par27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</w:t>
      </w:r>
      <w:hyperlink w:tooltip="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" w:anchor="Par28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 при отсутствии задолженности по штрафам и пеням за нарушение или ненадлежащее исполнение условий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Перми, за свой счет производить 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2.2.5. требовать досрочного расторжения настоящего договора в порядке и по основаниям, предусмотренным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III. Обязанности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 Арендодатель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3.1.1. передать Арендатору Объект по акту приема-передачи в течение 5 рабочих дней с даты исполнения Арендатором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" w:anchor="Par41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3.1.2. в те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3.1.3. контролировать выполнение Арендатором условий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3.1.5. принять Объект у Арендатора по акту приема-передачи в течение 5 рабочих дней с даты прекращения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 Арендатор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3.2.1. исполнить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в течение 5 рабочих дней с даты подписания настоящего договора </w:t>
      </w:r>
      <w:hyperlink w:tooltip="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" w:anchor="Par42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3.2.2. принять от Арендодателя Объект по акту приема-передачи в течение 5 рабочих дней с даты исполнения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" w:anchor="Par42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3.2.4. нести расходы, связанные с государственной регистрацией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3.2.5. использовать Объект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в течение 10 дней с даты заключения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3.2.11. исполнять обязанности по оплате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3.2.12. представить Арендодателю акт сверки расчетов с поставщиками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Арендодатель требует взыскания их с Арендатора в порядке, предусмотренном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3.2.13. нести расходы по содержанию общего имущества многоквартирног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3.2.14. обеспечивать учет потребления коммунальных услуг на Объекте.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3.2.16. в течение всего срока действия настоящего договора нест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ателя производить капитальный ремонт Объекта в случае, если он вызван неотложной необходимостью, а также в иных случаях, предусмотренных настоящим договором. Расходы Арендатора на производство текущего и капитального ремонта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со дня завершения указанных работ письменно уведомить об этом Арендодателя;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3.2.19. восстановить Объект з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которой Объект передан по настоящему договору,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3.2.23. не позднее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3.2.24. при прекраще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IV. Порядок расчетов и платежей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4.1. Арендная плата за пользование Объектом устанавливается в размере, указанном в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приложении 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к настоящему договору.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____________________________________________________________ </w:t>
      </w:r>
      <w:hyperlink w:tooltip="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" w:anchor="Par42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8&gt; В случаях, предусмотренных Налоговым кодексом Российской Федерации, размер арендной платы указывается с учетом налога на добавленную стоимость (НДС)." w:anchor="Par42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&lt;8&gt;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4.3. В течение 5 рабочих дней с даты подписания настоящего договора Арендатор обязан внести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месяц, следующий за месяцем,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 </w:t>
      </w:r>
      <w:hyperlink w:tooltip="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договора не предусматривается." w:anchor="Par42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&lt;9&gt;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досрочного прекращения настоящего договора обеспечительный платеж подлежит возврату Арендатору путем перечисления по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реквизитам Арендатора, указанным в настоящем договоре, в течение 30 дней 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 </w:t>
      </w:r>
      <w:hyperlink w:tooltip="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пункт 4.4 не предусматривается." w:anchor="Par4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&lt;10&gt;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4.5. Размер арендной платы может быть изменен в порядке, предусмотренном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Увеличение (индексация) арендной платы на следующий календарный год (с 01 января) происходит на ос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V. Иные условия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5.1. В случае необходимости производства капи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приступает к производству капитального ремонта, перепланировки и переустройства, реконструкции, 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 </w:t>
      </w:r>
      <w:hyperlink w:tooltip="&lt;11&gt;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&quot;Пермский краевой научно-производственный центр по охране п" w:anchor="Par43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&lt;11&gt;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5.4. Стоимость отделимых и неотделимых улучшений Объекта, произведенных Арендатором (субарендатором), Арендодателем не возмещается.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Произведенные Арендатором неотделимые улучшения Объекта являются собственностью муниципального образования город Пермь </w:t>
      </w:r>
      <w:hyperlink w:tooltip="&lt;12&gt; В случае если в аренду передается Объект, являющийся защитным сооружением гражданской обороны, абзац второй пункта 5.4 договора излагается в следующей редакции:" w:anchor="Par4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5.5. В случае производства без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"__" _______ 20__ г., назначение платежа).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21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эк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22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23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проводить в отношении Объекта, являющегося защитным сооружением гражданской обороны, в том числе ин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если при исполнении Арендатором обязанностей, пред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обороны, нового(-ых) инженерно-технического и специального оборудования, защитных устройств, инженерных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систем, технических систем, средств связи и оповещения или их частей, Арендатор обязан предоставить Арендодателю копии документов о приобретении такого имущества в течение 14 дней с даты устройства (монтажа, установки) </w:t>
      </w:r>
      <w:hyperlink w:tooltip="&lt;13&gt; Пункт 5.9 договора предусматривается в случае, если в аренду передается Объект, являющийся защитным сооружением гражданской обороны." w:anchor="Par43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пункт 5.9 договор" w:anchor="Par43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5.10. Арендатор не вправе сдавать в субаренду Объект, являющийся защитным сооружением гражданской обороны </w:t>
      </w:r>
      <w:hyperlink w:tooltip="&lt;15&gt; Пункт 5.10 договора предусматривается в случае, если в аренду передается Объект, являющийся защитным сооружением гражданской обороны." w:anchor="Par4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5.11.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5.12. К отношениям по настоящему договору применяются положения правовых актов города Перми, в том числе </w:t>
      </w:r>
      <w:hyperlink r:id="rId24" w:tooltip="https://login.consultant.ru/link/?req=doc&amp;base=RLAW368&amp;n=166268&amp;date=02.07.2024&amp;dst=101188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Порядок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предоставления в аренду имущества, принадлежащего на праве собственности муниципальному образованию город Пермь, утвержденный решением Пермской городской Думы от 28 мая 2002 г. N 61.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VI. Ответственность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6.2. Стороны осв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Сторона, ссылающаяся на обстоятельства непреодолимой силы, обязана 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0,1% от просроченной суммы.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6.5. В случае нарушения Арендатором срока возврата Объекта,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пеню в размере 0,1% от арендной платы за квартал за каждый день пользования Объектом по истечении срока,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6.6. В случае неисполнения или ненадлежащего исполнения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6.7. В случае неисполнения, ненадлежащего исполнения обязанностей, предусмотренных </w:t>
      </w:r>
      <w:hyperlink w:tooltip="3.2.5. использовать Объект в соответствии с пунктом 1.2 настоящего договора;" w:anchor="Par27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6.8. В случае неисполнения, ненадлежащего исполнения обязанностей,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предусмотренных </w:t>
      </w:r>
      <w:hyperlink w:tooltip="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" w:anchor="Par27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" w:anchor="Par28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5. обеспечить Арендодателю доступ в Объект в любое время в целях контроля за соблюдением условий (исполнением обязательств) настоящего договора;" w:anchor="Par28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" w:anchor="Par29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" w:anchor="Par29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3.2.22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6.10. В случае неисполнения, ненадлежащего исполнения обязанности, предусмотренной </w:t>
      </w:r>
      <w:hyperlink w:tooltip="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" w:anchor="Par32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6.12. В 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лучае передачи арендных прав в залог и (или) внесения их в качестве вклада в уставный капитал хозяйственных товариществ и обществ или паевого взноса в производственный кооператив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6.13. В случае неисполнения, ненадлежащего исполнения обязанностей, предусмотренных </w:t>
      </w:r>
      <w:hyperlink w:tooltip="Арендатор обязан проводить в отношении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" w:anchor="Par3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абзацем вторым пункта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год, определенной по 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езультатам оценки рыночной стоимости арендной платы, проводимой в соответствии с законодательством, регулирующим оценочную деятельность в Российской Федерации, исходя из того, что Объект находится в состоянии, соответствующем требованиям нормативных актов </w:t>
      </w:r>
      <w:hyperlink w:tooltip="&lt;16&gt; Пункт 6.13 договора 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" w:anchor="Par44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.14.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VII. Изменения и прекращение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 По требованию Арендодателя настоящий договор может быть досрочно расторгнут в следующих случаях: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7.2.1. неисполнение Арендатором в нарушение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обязанности по внесению арендной платы и (или) обеспечительного платежа либо внесение их не в полном объеме;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7.2.2. наличие у Арендатора задолженности по настоящему договору в размере арендной платы за два месяца;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7.2.3. нарушение Арендатором систематически (два и более раза в квартал) сроков внесения арендной платы, установленных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7.2.4. неуплата Арендатором штрафов и пеней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7.2.5. неисполнение Арендатором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7.2.6. неисполнение Арендатором обязанностей, предусмотренных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7.2.9. использование Арендатором Объекта или его части не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7.2.10. передача Арендатором Объекта или его части по любым видам сделок третьим лицам, за исключением сдачи Объекта в субаренду;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7.2.13. неисполнение или ненадлежащее исполнение обязанности, предусмотренной </w:t>
      </w:r>
      <w:hyperlink w:tooltip="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" w:anchor="Par29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 том числе подтвержденные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7.2.14. неисполнение Арендатором обязанностей, предусмотренных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17&gt; Пункт 7.2.14 договора предусматривается в случае, если в аренду передается Объект, являющийся защитным сооружением гражданской обороны." w:anchor="Par44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вправе отказаться от настоящего договора в случае, если Арендатор в нарушение </w:t>
      </w:r>
      <w:hyperlink w:tooltip="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" w:anchor="Par33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5.8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передал арендные права в залог и (или) внес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7.5. Настоящий Договор прекращается по основаниям, в случаях и в порядке, предусмотренном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VIII. Разрешение споров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8.1. Все споры и разногласия, возникающие из настоящего договора или связанные с ним, должны разрешаться путем переговоров между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IX. Заключительные положения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9.1. Настоящий договор составлен в 2 экземплярах, имеющих одинаковую юридическую силу, по одному для каждой из Сторон.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 Неотъемлемой частью настоящего договора являются: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9.2.1. </w:t>
      </w:r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(приложение 1 к настоящему договору);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9.2.2.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расчет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арендной платы за Объект (приложение 2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X. Адреса и реквизиты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>
        <w:tblPrEx/>
        <w:trPr/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--------------------------------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&lt;1&gt; В зависимости от вида предоставления указывается формулировка "во временное владение и пользование" либо "во временное пользование".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&lt;2&gt; В случае если договор аренды заключен на срок менее года, пункт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&lt;3&gt; В случае если в аренду передается Объект, являющийся защитным сооружением гражданской обороны, </w:t>
      </w:r>
      <w:hyperlink w:tooltip="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" w:anchor="Par2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2.2.2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1.1. передать Арендатору Объект по акту приема-передачи в течение 5 рабочих дней с даты исполнения Арендатором пункта 4.3 настоящего договора &lt;4&gt;;" w:anchor="Par26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3.1.1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"3.1.1. передать Арендатору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2. принять от Арендодателя Объект по акту приема-передачи в течение 5 рабочих дней с даты исполнения пункта 4.3 настоящего договора &lt;6&gt;;" w:anchor="Par273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"3.2.2. принять от Арендодателя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"4.2. Арендная плата без учета налога на добавленную стоимость (НДС), составляющая _____ (_____) руб. ___ коп., вносится ежемесячно не позднее 05 числа месяца, следующего за оплачиваемым месяцем по следующим реквизитам: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____________________________________________________________________.".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&lt;8&gt; В случаях, предусмотренных Налоговым </w:t>
      </w:r>
      <w:hyperlink r:id="rId25" w:tooltip="https://login.consultant.ru/link/?req=doc&amp;base=LAW&amp;n=477383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кодексом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Российской Федерации, размер арендной платы указывается с учетом налога на добавленную стоимость (НДС).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арендатором по договору аренды является территориальное общественное самоуправление,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месяц, следующий за месяцем, в котором Объект передан Арендатору.".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</w:t>
      </w:r>
      <w:hyperlink w:tooltip="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" w:anchor="Par310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&lt;11&gt; В случае проведения строительных работ на Объекте, являющемся памятником истории и культуры, работы производятся то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лько после согласования с государственным краевым бюджетным учреждением культуры "Пермский краевой научно-производственный центр по охране памятников (объектов культурного наследия)" и после осуществления мероприятий, обеспечивающих сохранность памятников.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&lt;12&gt; В случае если в аренду передается Объект, являющийся защитным сооружением гражданской обороны, </w:t>
      </w:r>
      <w:hyperlink w:tooltip="Произведенные Арендатором неотделимые улучшения Объекта являются собственностью муниципального образования город Пермь &lt;12&gt;." w:anchor="Par32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абзац второй пункта 5.4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"Произведенные Арендатором неотделимые улучшения Объекта, являющегося защитным сооружением гражданской обороны, являются собственностью муниципального образования город Пер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мь. Произведенные Арендатором отделимые улучшения Объекта, являющегося защитным сооружением гражданской обороны, при исполнении обязанностей, предусмотренных пунктом 5.9 настоящего договора, являются собственностью муниципального образования город Пермь.".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&lt;13&gt;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26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эк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27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28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обязан на основании проектной документации, переданной ему Арендодателем при заключении настоящего договора, в течение _____________ со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дня заключения договора аренды привести Объект, являющийся защитным сооружением гражданской обороны, в том числе инженерно-техническое и специальное оборудование, защитные устройства, инженерные системы, технические системы, средства связи и оповещения Объ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екта, в состояние, соответствующее требованиям нормативных актов, обеспечивающее возможность его использования по прямому назначению (к приему укрываемых), в том числе путем проведения ремонта и приобретения имущества, предусмотренного нормативными актами.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При исполнении Арендатором обязанности, предусмотренной абзацем вторы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 настоящего пункта, получение согласия Арендодателя на проведение работ, указанных в пункте 5.1 настоящего договора, на Объекте, являющемся защитным сооружением гражданской обороны, в порядке, предусмотренном пунктом 5.1 настоящего договора, не требуется.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Документом, подтверждающим выполнение Арендатором обязанности, предусмотренной абзацем вторым настоящего пункта, является акт об исполнении Арендатором указанной обязанности, составленный комиссией, созданной правовым актом Арендодателя.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после исполнения обязанности, предусмотренной абзацем вторым настоящего пункта, обязан проводить в отношении Объекта, являющегося защитным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сооружением гражданской обороны, в том числе ин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при испо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лнении Арендатором обязанностей, предусмотренных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 нового(-ых) инженерно-технического и специального оборудова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ния, защитных устройств, инженерных систем, технических систем, средств связи и оповещения или их частей, Арендатор обязан представить Арендодателю копии документов о приобретении такого имущества в течение 14 дней с даты устройства (монтажа, установки).".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&lt;15&gt; </w:t>
      </w:r>
      <w:hyperlink w:tooltip="5.10. Арендатор не вправе сдавать в субаренду Объект, являющийся защитным сооружением гражданской обороны &lt;15&gt;." w:anchor="Par337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5.10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&lt;16&gt; </w:t>
      </w:r>
      <w:hyperlink w:tooltip="6.13. В случае неисполнения, ненадлежащего исполнения обязанностей, предусмотренных абзацем вторым пункта 5.9 настоящего договора, Арендатор обязан уплатить Арендодателю штраф в размере арендной платы за год, определенной по результатам оценки рыночной стоимос" w:anchor="Par3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6.13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&lt;17&gt; </w:t>
      </w:r>
      <w:hyperlink w:tooltip="7.2.14. неисполнение Арендатором обязанностей, предусмотренных пунктом 5.9 настоящего договора &lt;17&gt;." w:anchor="Par37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7.2.14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1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ПЛАН И ЭКСПЛИКАЦИЯ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2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РАСЧЕТ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арендной платы за Объект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итогам аукциона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 право заключения договора аренды объекта муниципального недвижимого имущества от "____" ____________ 20___ г., протокола __________________ от "____" _________ 20___ г. арендная плата без учета налога 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83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добавленную сто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имость (НДС) составляет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год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квартал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месяц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r>
        <w:br w:type="page" w:clear="all"/>
      </w:r>
      <w:r/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479"/>
        <w:gridCol w:w="793"/>
        <w:gridCol w:w="3798"/>
      </w:tblGrid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приема-передачи Объекта по договору аренды объекта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муниципального недвижимого имущества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5272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798" w:type="dxa"/>
            <w:textDirection w:val="lrTb"/>
            <w:noWrap w:val="false"/>
          </w:tcPr>
          <w:p>
            <w:pPr>
              <w:jc w:val="right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396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произвели прием-передачу Объекта.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Характеристика объекта, расположенного по адресу: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Площадь объекта: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(основная);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(предоставляемая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(доля предоставляемой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(для цели исчисления арендной платы).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Вход в объект: 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Наружные стены объекта (материал и состояние) 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Наличие на объекте окон, дверей 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Высота потолков 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энергоснабжения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водоснабжения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отопления (наличие, состояние) 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канализации (наличие, состояние) 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Санузлы (наличие, состояние) 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Осветительные приборы (наличие, состояние) 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Претензии по состоянию и содержанию Объекта у Арендатора отсутствуют.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Примечания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передал (принял)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принял (передал)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(Арендатор)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(Арендодатель) 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shd w:val="nil" w:color="auto"/>
        <w:rPr>
          <w:rFonts w:ascii="Times New Roman" w:hAnsi="Times New Roman"/>
          <w:highlight w:val="none"/>
          <w:lang w:eastAsia="ru-RU"/>
        </w:rPr>
      </w:pPr>
      <w:r>
        <w:rPr>
          <w:rFonts w:ascii="Times New Roman" w:hAnsi="Times New Roman"/>
          <w:highlight w:val="none"/>
          <w:lang w:eastAsia="ru-RU"/>
        </w:rPr>
        <w:br w:type="page" w:clear="all"/>
      </w:r>
      <w:r>
        <w:rPr>
          <w:rFonts w:ascii="Times New Roman" w:hAnsi="Times New Roman"/>
          <w:highlight w:val="none"/>
          <w:lang w:eastAsia="ru-RU"/>
        </w:rPr>
      </w:r>
      <w:r>
        <w:rPr>
          <w:rFonts w:ascii="Times New Roman" w:hAnsi="Times New Roman"/>
          <w:highlight w:val="none"/>
          <w:lang w:eastAsia="ru-RU"/>
        </w:rPr>
      </w:r>
    </w:p>
    <w:p>
      <w:pPr>
        <w:ind w:firstLine="5670"/>
        <w:spacing w:after="0" w:line="240" w:lineRule="exact"/>
        <w:rPr>
          <w:rFonts w:ascii="Times New Roman" w:hAnsi="Times New Roman"/>
          <w:i/>
          <w:sz w:val="16"/>
          <w:szCs w:val="16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3</w:t>
      </w:r>
      <w:r>
        <w:rPr>
          <w:rFonts w:ascii="Times New Roman" w:hAnsi="Times New Roman"/>
          <w:i/>
          <w:sz w:val="16"/>
          <w:szCs w:val="16"/>
        </w:rPr>
      </w:r>
      <w:r>
        <w:rPr>
          <w:rFonts w:ascii="Times New Roman" w:hAnsi="Times New Roman"/>
          <w:i/>
          <w:sz w:val="16"/>
          <w:szCs w:val="16"/>
        </w:rPr>
      </w:r>
    </w:p>
    <w:p>
      <w:pPr>
        <w:ind w:left="5670"/>
        <w:spacing w:after="0" w:line="240" w:lineRule="exact"/>
        <w:widowControl w:val="off"/>
        <w:rPr>
          <w:rFonts w:ascii="Times New Roman" w:hAnsi="Times New Roman" w:eastAsia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извещению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  <w:t xml:space="preserve">о проведении аукциона</w:t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  <w:r>
        <w:rPr>
          <w:rFonts w:ascii="Times New Roman" w:hAnsi="Times New Roman" w:eastAsia="Times New Roman"/>
          <w:bCs/>
          <w:sz w:val="24"/>
          <w:szCs w:val="24"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Зарегистрирован в департаменте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имущественных отношений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администрации города Перми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№  _______________________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“____”____________________ г.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                               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exact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  <w:t xml:space="preserve">        (Ф.И.О. исполнителя)</w:t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ind w:left="5812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lang w:eastAsia="ru-RU"/>
        </w:rPr>
      </w:pP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  <w:r>
        <w:rPr>
          <w:rFonts w:ascii="Times New Roman" w:hAnsi="Times New Roman" w:eastAsia="Times New Roman"/>
          <w:bCs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ДОГОВОР N _______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5953"/>
        <w:gridCol w:w="3118"/>
      </w:tblGrid>
      <w:tr>
        <w:tblPrEx/>
        <w:trPr/>
        <w:tc>
          <w:tcPr>
            <w:tcW w:w="5953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118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679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09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вместе именуемые "Стороны", на основании __________________ заключили настоящий договор о следующем: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I. Предмет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9071"/>
      </w:tblGrid>
      <w:tr>
        <w:tblPrEx/>
        <w:trPr/>
        <w:tc>
          <w:tcPr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1.1. Арендодатель обязуется предоставить Арендатору за плату во временное владение и пользование или во временное пользование </w:t>
            </w:r>
            <w:hyperlink w:tooltip="&lt;1&gt; В зависимости от вида предоставления указывается формулировка &quot;во временное владение и пользование&quot; либо &quot;во временное пользование&quot;." w:anchor="Par415" w:history="1">
              <w:r>
                <w:rPr>
                  <w:rFonts w:ascii="Times New Roman" w:hAnsi="Times New Roman" w:eastAsiaTheme="minorEastAsia"/>
                  <w:sz w:val="24"/>
                  <w:szCs w:val="24"/>
                  <w:lang w:eastAsia="ru-RU"/>
                </w:rPr>
                <w:t xml:space="preserve">&lt;1&gt;</w:t>
              </w:r>
            </w:hyperlink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объект муниципального недвижимого имущества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виде нежилых помещений, расположенных на первом этаже жилого дома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адресу: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г.</w:t>
            </w:r>
            <w:r>
              <w:rPr>
                <w:rFonts w:ascii="Times New Roman" w:hAnsi="Times New Roman"/>
                <w:sz w:val="24"/>
                <w:szCs w:val="24"/>
                <w:highlight w:val="none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highlight w:val="none"/>
                <w:lang w:eastAsia="ru-RU"/>
              </w:rPr>
              <w:t xml:space="preserve">Пермь,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Мотовилихинский район, у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л.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 Постаногова,         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д. 7</w:t>
            </w:r>
            <w:r>
              <w:rPr>
                <w:rFonts w:ascii="Times New Roman" w:hAnsi="Times New Roman" w:eastAsiaTheme="minorEastAsia"/>
                <w:sz w:val="24"/>
                <w:szCs w:val="24"/>
                <w:highlight w:val="none"/>
                <w:lang w:eastAsia="ru-RU"/>
              </w:rPr>
              <w:t xml:space="preserve">, основной площадью 13,0 кв. м (кадастровый номер </w:t>
            </w:r>
            <w:r>
              <w:rPr>
                <w:rFonts w:ascii="Times New Roman" w:hAnsi="Times New Roman"/>
                <w:sz w:val="24"/>
                <w:szCs w:val="24"/>
                <w:highlight w:val="none"/>
              </w:rPr>
              <w:t xml:space="preserve">59:01:4211197:1536</w:t>
            </w:r>
            <w:r>
              <w:rPr>
                <w:rFonts w:ascii="Times New Roman" w:hAnsi="Times New Roman"/>
                <w:sz w:val="24"/>
                <w:szCs w:val="24"/>
                <w:highlight w:val="none"/>
                <w:lang w:eastAsia="ru-RU"/>
              </w:rPr>
              <w:t xml:space="preserve">)</w:t>
            </w:r>
            <w:r>
              <w:rPr>
                <w:rFonts w:ascii="Times New Roman" w:hAnsi="Times New Roman" w:eastAsiaTheme="minorEastAsia"/>
                <w:sz w:val="24"/>
                <w:szCs w:val="24"/>
                <w:highlight w:val="none"/>
                <w:lang w:eastAsia="ru-RU"/>
              </w:rPr>
              <w:t xml:space="preserve"> и площадью помещений, предоставляемых Арендатору в совместное пользование с третьими лицами, 5,3 кв. м (када</w:t>
            </w:r>
            <w:r>
              <w:rPr>
                <w:rFonts w:ascii="Times New Roman" w:hAnsi="Times New Roman" w:eastAsiaTheme="minorEastAsia"/>
                <w:sz w:val="24"/>
                <w:szCs w:val="24"/>
                <w:highlight w:val="none"/>
                <w:lang w:eastAsia="ru-RU"/>
              </w:rPr>
              <w:t xml:space="preserve">стров</w:t>
            </w:r>
            <w:r>
              <w:rPr>
                <w:rFonts w:ascii="Times New Roman" w:hAnsi="Times New Roman" w:eastAsiaTheme="minorEastAsia"/>
                <w:sz w:val="24"/>
                <w:szCs w:val="24"/>
                <w:highlight w:val="none"/>
                <w:lang w:eastAsia="ru-RU"/>
              </w:rPr>
              <w:t xml:space="preserve">ый номер (при налич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ии), что для цели исчисления арендной платы составляет 18,3 кв. м (13,0 кв. м - основная площадь, 5,3 кв. м - доля от площади помещений, предоставляемых Арендатору в совместное пользование с третьими лицами) (далее - Объект). </w:t>
            </w:r>
            <w:r>
              <w:rPr>
                <w:rFonts w:ascii="Times New Roman" w:hAnsi="Times New Roman" w:eastAsiaTheme="minorEastAsia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highlight w:val="none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/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являются неотъемлемой частью настоящего договора (приложение 1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1.2.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Цель использования Объекта: любой вид деятельности, не запрещенный действующим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1.3. Настоящий договор вступает в силу с момента его подписания. Срок аренды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с "___" __________ г. по "___" ________ г.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 считается переданным с даты подписания Сторонами акта приема-передачи.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II. Права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 Арендодатель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2.1.1. требовать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2.1.2. требовать досрочного расторжения настоящего договора в порядке и по основаниям, предусмотренным законодательством и (или) настоящим договором.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12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 Арендатор имеет право: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2.2.1. после принятия Объекта по акту приема-передачи представить в федеральный орган исполнительной власти, осуществляющий государственный кадастровый учет и государственную регистрацию прав, документы для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6. своевременно и в полном объеме вносить арендную плату за пользование Объектом в порядке, на условиях и в сроки, установленные настоящим договором;" w:anchor="Par27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</w:t>
      </w:r>
      <w:hyperlink w:tooltip="3.2.13. нести расходы по содержанию общего имущества многоквартирног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" w:anchor="Par28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 при отсутствии задолженности по штрафам и пеням за нарушение или ненадлежащее исполнение условий настоящего договора </w:t>
      </w:r>
      <w:hyperlink w:tooltip="&lt;3&gt; В случае если в аренду передается Объект, являющийся защитным сооружением гражданской обороны, пункт 2.2.2 договора не предусматривается." w:anchor="Par41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2.2.3. с письменного согласия Арендодателя при наличии документации, разработанной и согласованной в порядке, установленном законодательством и (или) правовыми актами города Перми, за свой счет производить 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апитальный ремонт, перепланировку и переустройство, реконструкцию, неотделимые улучшения Объекта. Расходы Арендатора на производство капитального ремонта, перепланировки и переустройства, реконструкции, неотделимых улучшений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2.2.4. с письменного согласия Арендодателя в установленном законом и техническими нормами порядке установить приборы учета потребления коммунальных услуг на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2.2.5. требовать досрочного расторжения настоящего договора в порядке и по основаниям, предусмотренным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III. Обязанности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 Арендодатель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3.1.1. передать Арендатору Объект по акту приема-передачи в течение 5 рабочих дней с даты исполнения Арендатором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1.1 договора излагается в следующей редакции:" w:anchor="Par41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3.1.2. в те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чение 5 рабочих дней с даты подписания настоящего договора направить в федеральный орган исполнительной власти, осуществляющий государственный кадастровый учет и государственную регистрацию прав, заявление о государственной регистрации настоящего договора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3.1.3. контролировать выполнение Арендатором условий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3.1.4. извещать Арендатора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3.1.5. принять Объект у Арендатора по акту приема-передачи в течение 5 рабочих дней с даты прекращения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 Арендатор обязан: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3.2.1. исполнить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в течение 5 рабочих дней с даты подписания настоящего договора </w:t>
      </w:r>
      <w:hyperlink w:tooltip="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1 не предусматривается." w:anchor="Par42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3.2.2. принять от Арендодателя Объект по акту приема-передачи в течение 5 рабочих дней с даты исполнения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3.2.2 договора излагается в следующей редакции:" w:anchor="Par42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3.2.3. обеспечить осуществление действий, необходимых и достаточных для оформления государственной регистрации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3.2.4. нести расходы, связанные с государственной регистрацией настоящего договора, в случаях, предусмотренных законодательством </w:t>
      </w:r>
      <w:hyperlink w:tooltip="&lt;2&gt; В случае если договор аренды заключен на срок менее года, пункт не предусматривается." w:anchor="Par41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3.2.5. использовать Объект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3.2.6. своевременно и в полном объеме вносить арендную плату за пользование Объектом в порядке, на условиях и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пидемиологический надзор, и иных органов и их должностных лиц по устранению выявленных нарушений на Объекте. Ответственность за невыполнение требований указанных органов и их должностных лиц, установленных законодательством, Арендатор несет самостоятельно;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3.2.8. застраховать Объект за свой счет на случай его гибели (утраты) и повреждения в течение 30 дней с даты подписания настоящего договора в соответс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твии с законодательством и (или) правовыми актами города Перми. Объект должен быть застрахован в течение всего срока действия настоящего договора. Копии страховых полисов, заверенные Арендатором, представить Арендодателю в течение 10 дней с даты заключения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договора страхования. При наступлении страхового случая, предусмотренного договором страхования, незамедлительно (в течение 24 часов с момента наступления страхового случая) сообщить о гибели (утрате), повреждении Объекта Арендодателю, страховой компании;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водоотведению, поставке электрической и тепловой энергии, вывозу твердых коммунальных отходов, и других услуг, в том числе на содержание общего имущества в многоквартирном доме, иных зданиях, в которых расположен Объект,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Копии заключенных договоров на предоставление указанных в абзаце первом настоящего пункта услуг, заверенные Арендатором, представить Арендодателю в течение 30 дней с даты заключения указанных договоров;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3.2.11. исполнять обязанности по оплате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3.2.12. представить Арендодателю акт сверки расчетов с поставщиками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по запросу Арендодателя в срок, указанный в письменном запросе, а также в случаях проведения проверки выполнения Арендатором условий настоящего договора, расторжения настоящего договора, заключения договора аренды на новый срок.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взыскания в судебном порядке с Арендодателя денежных средств по причине нарушения Арендатором условий оплаты услуг, предоставляемых по договорам, указанным в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Арендодатель требует взыскания их с Арендатора в порядке, предусмотренном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3.2.13. нести расходы по содержанию общего имущества многоквартирног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 дома, иного здания, в котором расположен Объект, в том числе фасада и крыши здания, земельного участка, прилегающей территории с элементами озеленения и благоустройства, инженерных сетей, инженерного оборудования, находящегося в Объекте, в том числе цент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рального теплового пункта, индивидуального теплового пункта, пожарных насосов, водомерных узлов, узлов учета тепловой энергии, горячего водоснабжения и иного инженерного оборудования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3.2.14. обеспечивать учет потребления коммунальных услуг на Объекте.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 установке, замене приборов учета копии подтверждающих документов, заверенные в установленном законодательством порядке, представить Арендодателю в течение 30 дней с даты установки (замены) приборов учета;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3.2.15. обеспечить Арендодателю доступ в Объект в любое время в целях контроля за соблюдением условий (исполнением обязательств)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3.2.16. в течение всего срока действия настоящего договора нест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 расходы на содержание Объекта, содержать Объект в порядке, предусмотренном техническими, санитарными, противопожарными и иными обязательными правилами и нормами. За свой счет производить текущий ремонт Объекта; за свой счет с письменного согласия Арендод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ателя производить капитальный ремонт Объекта в случае, если он вызван неотложной необходимостью, а также в иных случаях, предусмотренных настоящим договором. Расходы Арендатора на производство текущего и капитального ремонта Объекта возмещению не подлежат;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3.2.18. в случае производства капитального ремонта, перепланировки и переустройства, реконструкции, неотделимых улучшений Объекта в течение 10 дней со дня завершения указанных работ письменно уведомить об этом Арендодателя;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3.2.19. восстановить Объект з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 по назначению состояние;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3.2.20. в течение всего срока действия настоящего договора обеспечивать сохранность инженерных сетей и инженерного оборудования, расположенных в Объекте, их эксплуатацию в соответствии с требованиями технических норм и правил.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Обеспечивать беспрепятственный доступ специализированных организаций к инженерным сетям и оборудованию для их обслуживания в соответствии с законодательством и (или) правовыми актами города Перми;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3.2.21. обеспечивать и осуществлять в соответствии с законодательством самостоятельно и (или) посредством привлечения третьих лиц охрану Объекта;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которой Объект передан по настоящему договору, в течение 10 дней со дня указанных изменений;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3.2.23. не позднее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чем за 30 дней до истечения срока действия настоящего договора письменно уведомить Арендодателя о возврате Объекта по истечении срока действия настоящего договора и (или) о желании заключить договор аренды на новый срок в соответствии с законодательством;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3.2.24. при прекраще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инженерным оборудованием.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IV. Порядок расчетов и платежей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4.1. Арендная плата за пользование Объектом устанавливается в размере, указанном в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приложении 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к настоящему договору.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____________________________________________________________ </w:t>
      </w:r>
      <w:hyperlink w:tooltip="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2 договора излагается в следующей редакции:" w:anchor="Par42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8&gt; В случаях, предусмотренных Налоговым кодексом Российской Федерации, размер арендной платы указывается с учетом налога на добавленную стоимость (НДС)." w:anchor="Par42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&lt;8&gt;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4.3. В течение 5 рабочих дней с даты подписания настоящего договора Арендатор обязан внести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арендную плату за месяц, следующий за месяцем, в котором Объект передан Арендатору;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обеспечительный платеж в размере арендной платы за один месяц пользования Объектом, который засчитывается как платеж за последний месяц аренды по настоящему договору, если иное не установлено настоящим договором </w:t>
      </w:r>
      <w:hyperlink w:tooltip="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пункт 4.3 договора не предусматривается." w:anchor="Par42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&lt;9&gt;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восполнить (дополнительно внести) обеспечительный платеж до размера арендной платы за один месяц пользования Объектом не позднее 30 числа текущего месяца.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изменения размера арендной платы обеспечительный платеж подлежит соответствующему увеличению или уменьшению: в случае увеличения размера арендной платы разница вносится Арендатором в течение 10 дней с даты изменения арендной платы; в случае уменьшения разм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ера арендной платы разница возвращается Арендодателем в течение 10 дней с даты письменного обращения Арендатора о перерасчете обеспечительного платежа. Арендатор не имеет права на получение от Арендодателя процентов за пользование обеспечительным платежом.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досрочного прекращения настоящего договора обеспечительный платеж подлежит возврату Арендатору путем перечисления по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реквизитам Арендатора, указанным в настоящем договоре, в течение 30 дней после передачи Объекта Арендатором Арендодателю по акту приема-передачи при условии, что арендная плата и иные денежные обязательства по настоящему договору оплачены в полном объеме </w:t>
      </w:r>
      <w:hyperlink w:tooltip="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пункт 4.4 не предусматривается." w:anchor="Par4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&lt;10&gt;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4.5. Размер арендной платы может быть изменен в порядке, предусмотренном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Увеличение (индексация) арендной платы на следующий календарный год (с 01 января) происходит на ос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новании сводного индекса потребительских цен, установленного прогнозом социально-экономического развития города Перми на соответствующий год, утвержденным администрацией города Перми в установленном порядке, и осуществляется Арендодателем в одностороннем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орядке путем направления Арендатору до 01 января следующего года способом, позволяющим удостовериться в факте получения Арендатором, письменного уведомления об увеличении (индексации) арендной платы с указанием размера арендной платы в увеличенном размере.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4.6. Датой внесения платежа по настоящему договору считается день зачисления соответствующих сумм по реквизитам, указанным в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пункте 4.2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V. Иные условия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5.1. В случае необходимости производства капи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тального ремонта, перепланировки и переустройства, реконструкции, неотделимых улучшений Объекта Арендатор обязан направить Арендодателю письмо о даче согласия на производство указанных работ с обоснованием необходимости, указанием объема и стоимости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 течение месяца с даты получения письма, указанного в абзаце первом настоящего пункта, направляет Арендатору письменный ответ, содержащий согласие или отказ в даче согласия на производство соответствующих работ.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приступает к производству капитального ремонта, перепланировки и переустройства, реконструкции, 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еотделимых улучшений Объекта только при наличии письменного согласия Арендодателя на производство указанных работ и на основании документации, разработанной и согласованной в порядке, предусмотренном законодательством и (или) правовыми актами города Перми </w:t>
      </w:r>
      <w:hyperlink w:tooltip="&lt;11&gt; В случае проведения строительных работ на Объекте, являющемся памятником истории и культуры, работы производятся только после согласования с государственным краевым бюджетным учреждением культуры &quot;Пермский краевой научно-производственный центр по охране п" w:anchor="Par43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&lt;11&gt;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5.2. Капитальный ремонт, перепланировка и переустройство, реконструкция, неотделимые улучшения Объекта осуществляются в соответствии с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5.3. После завершения капитального ремонта, перепланировки и переустройства, реконструкции, неотделимых улучшений Объекта Арендатор в случаях, предусмотренных законодательством, обязан ввести Объект в эксплуатацию.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5.4. Стоимость отделимых и неотделимых улучшений Объекта, произведенных Арендатором (субарендатором), Арендодателем не возмещается.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Произведенные Арендатором неотделимые улучшения Объекта являются собственностью муниципального образования город Пермь </w:t>
      </w:r>
      <w:hyperlink w:tooltip="&lt;12&gt; В случае если в аренду передается Объект, являющийся защитным сооружением гражданской обороны, абзац второй пункта 5.4 договора излагается в следующей редакции:" w:anchor="Par4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&lt;12&gt;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5.5. В случае производства без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исьменного согласия Арендодателя и (или) проведенных с нарушением требований законодательства капитального ремонта, перепланировки и переустройства, реконструкции, неотделимых улучшений Объекта, в том числе затрагивающих конструктивные и другие характерист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ики надежности и безопасности Объекта, Арендатор обязан за свой счет в установленные Арендодателем сроки привести Объект в первоначальное состояние (устранить допущенные нарушения). Расходы Арендатора на производство указанных работ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венного реестра недвижимости, Арендатор в течение 30 дней со дня завершения указанных работ представляет Арендодателю документы, необходимые в соответствии с законодательством для внесения изменений в сведения Единого государственного реестра недвижимости.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5.7. Арендатор не имеет права передавать свои права и обязанности третьим лицам, кроме обязанности внесения арендных платежей с указанием плательщика по настоящему договору (арендный платеж по договору от "__" _______ 20__ г., назначение платежа).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29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эк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30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31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обязан проводить в отношении Объекта, являющегося защитным сооружением гражданской обороны, в том числе ин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случае если при исполнении Арендатором обязанностей, пред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обороны, нового(-ых) инженерно-технического и специального оборудования, защитных устройств, инженерных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систем, технических систем, средств связи и оповещения или их частей, Арендатор обязан предоставить Арендодателю копии документов о приобретении такого имущества в течение 14 дней с даты устройства (монтажа, установки) </w:t>
      </w:r>
      <w:hyperlink w:tooltip="&lt;13&gt; Пункт 5.9 договора предусматривается в случае, если в аренду передается Объект, являющийся защитным сооружением гражданской обороны." w:anchor="Par43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&lt;13&gt;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пункт 5.9 договор" w:anchor="Par43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&lt;14&gt;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5.10. Арендатор не вправе сдавать в субаренду Объект, являющийся защитным сооружением гражданской обороны </w:t>
      </w:r>
      <w:hyperlink w:tooltip="&lt;15&gt; Пункт 5.10 договора предусматривается в случае, если в аренду передается Объект, являющийся защитным сооружением гражданской обороны." w:anchor="Par4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&lt;15&gt;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5.11. Размещение автотранспорта (автостоянок, парковок) на территории, прилегающей к Объекту, осуществляется в соответствии с законодательством и (или) правовыми актами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5.12. К отношениям по настоящему договору применяются положения правовых актов города Перми, в том числе </w:t>
      </w:r>
      <w:hyperlink r:id="rId32" w:tooltip="https://login.consultant.ru/link/?req=doc&amp;base=RLAW368&amp;n=166268&amp;date=02.07.2024&amp;dst=101188&amp;field=134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Порядок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предоставления в аренду имущества, принадлежащего на праве собственности муниципальному образованию город Пермь, утвержденный решением Пермской городской Думы от 28 мая 2002 г. N 61.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VI. Ответственность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6.1. В случае неисполнения или ненадлежащего исполнения условий настоящего договора виновная Сторона обязана возместить другой Стороне убытки.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6.2. Стороны осв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обождаются от ответственности за неисполнение или ненадлежащее исполнение обязательств в случае, если неисполнение или ненадлежащее исполнение обязательств явилось следствием обстоятельств непреодолимой силы, возникших после заключения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В этом случае срок исполнения обязательств отодвигается соразмерно времени, в течение которого будут действовать такие обстоятельства и их последствия.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Сторона, ссылающаяся на обстоятельства непреодолимой силы, обязана не позднее 20 дней с момента наступления таких обстоятельств известить в письменной форме другую Сторону и представить подтверждающие документы.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Несвоевременное извещение об обстоятельствах непреодолимой силы лишает соответствующую Сторону права ссылаться в дальнейшем на обстоятельства, указанные в настоящем пункте.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6.3. Ответственность за вред, причиненный третьим лицам, в том числе имуществу третьих лиц, с использованием Объекта в период действия настоящего договора, несет Арендатор.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6.4. В случае нарушения Арендатором сроков внесения арендной платы, установленных настоящим договором, за каждый день просрочки внесения арендной платы начисляется пеня в размере 0,1% от просроченной суммы.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6.5. В случае нарушения Арендатором срока возврата Объекта,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пеню в размере 0,1% от арендной платы за квартал за каждый день пользования Объектом по истечении срока, предусмотренного </w:t>
      </w:r>
      <w:hyperlink w:tooltip="3.2.24. при прекращении настоящего договора в течение 5 рабочих дней возвратить Объект Арендодателю по акту приема-передачи в том состоянии, в котором он его получил, с учетом нормального износа, со всеми неотделимыми улучшениями, исправно работающим инженерны" w:anchor="Par29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3.2.24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6.6. В случае неисполнения или ненадлежащего исполнения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6.7. В случае неисполнения, ненадлежащего исполнения обязанностей, предусмотренных </w:t>
      </w:r>
      <w:hyperlink w:tooltip="3.2.5. использовать Объект в соответствии с пунктом 1.2 настоящего договора;" w:anchor="Par27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8. застраховать Объект за свой счет на случай его гибели (утраты) и повреждения в течение 30 дней с даты подписания настоящего договора в соответствии с законодательством и (или) правовыми актами города Перми. Объект должен быть застрахован в течение всего" w:anchor="Par27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6.8. В случае неисполнения, ненадлежащего исполнения обязанностей, 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предусмотренных </w:t>
      </w:r>
      <w:hyperlink w:tooltip="3.2.7. своевременно выполнять предписания органов, осуществляющих федеральный государственный пожарный надзор, органов, осуществляющих федеральный государственный санитарно-эпидемиологический надзор, и иных органов и их должностных лиц по устранению выявленных" w:anchor="Par27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пунктами 3.2.7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9. установить при входе в Объект вывеску, соответствующую требованиям законодательства и (или) правовых актов города Перми, с полным наименованием Арендатора в течение 30 дней с даты принятия Объекта по акту приема-передачи;" w:anchor="Par28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5. обеспечить Арендодателю доступ в Объект в любое время в целях контроля за соблюдением условий (исполнением обязательств) настоящего договора;" w:anchor="Par28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3.2.15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19. восстановить Объект за свой счет либо возместить в полном объеме убытки, причиненные Арендодателю, в случае если Объект в результате действий либо бездействия Арендатора придет в аварийное (ненормативное) состояние или иное непригодное для эксплуатации" w:anchor="Par29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3.2.19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, </w:t>
      </w:r>
      <w:hyperlink w:tooltip="3.2.22. извещать Арендодателя в письменной форме о произошедших изменениях: реорганизации, ликвидации, изменении наименования, места нахождения, почтового адреса, банковских реквизитов, лишении лицензии на право деятельности, для ведения которой Объект передан" w:anchor="Par29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3.2.22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выявленных в рамках одной проверки Арендодателя в соответствии с </w:t>
      </w:r>
      <w:hyperlink w:tooltip="3.1.3. контролировать выполнение Арендатором условий настоящего договора;" w:anchor="Par26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3.1.3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 В случае производства Арендатором капитального ремонта, перепланировки и переустройства, реконструкции, неотделимых улучшений Объекта без письменного согласия Арендодателя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6.10. В случае неисполнения, ненадлежащего исполнения обязанности, предусмотренной </w:t>
      </w:r>
      <w:hyperlink w:tooltip="5.6. В случае, если в результате производства капитального ремонта, перепланировки и переустройства, реконструкции, неотделимых улучшений Объекта изменяются характеристики Объекта, влекущие необходимость внесения изменений в сведения Единого государственного р" w:anchor="Par32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5.6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квартал.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6.11. В случае сдачи Объекта или его части в субаренду без письменного согласия Арендодателя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6.12. В с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лучае передачи арендных прав в залог и (или) внесения их в качестве вклада в уставный капитал хозяйственных товариществ и обществ или паевого взноса в производственный кооператив Арендатор обязан уплатить Арендодателю штраф в размере арендной платы за год.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6.13. В случае неисполнения, ненадлежащего исполнения обязанностей, предусмотренных </w:t>
      </w:r>
      <w:hyperlink w:tooltip="Арендатор обязан проводить в отношении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" w:anchor="Par332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абзацем вторым пункта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Арендатор обязан уплатить Арендодателю штраф в размере арендной платы за год, определенной по р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езультатам оценки рыночной стоимости арендной платы, проводимой в соответствии с законодательством, регулирующим оценочную деятельность в Российской Федерации, исходя из того, что Объект находится в состоянии, соответствующем требованиям нормативных актов </w:t>
      </w:r>
      <w:hyperlink w:tooltip="&lt;16&gt; Пункт 6.13 договора 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" w:anchor="Par448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&lt;16&gt;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6</w:t>
      </w: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.14. Штрафы и пени за нарушение или ненадлежащее исполнение условий настоящего договора Арендатор обязан уплатить Арендодателю в течение 30 дней с даты получения Арендатором уведомления (претензии) от Арендодателя, если иной срок не установлен в претензии.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VII. Изменения и прекращение договора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7.1. Все изменения и дополнения к настоящему договору действительны, если они допускаются законодательством, совершены в письменной форме и подписаны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 По требованию Арендодателя настоящий договор может быть досрочно расторгнут в следующих случаях: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7.2.1. неисполнение Арендатором в нарушение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4.3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обязанности по внесению арендной платы и (или) обеспечительного платежа либо внесение их не в полном объеме;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7.2.2. наличие у Арендатора задолженности по настоящему договору в размере арендной платы за два месяца;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7.2.3. нарушение Арендатором систематически (два и более раза в квартал) сроков внесения арендной платы, установленных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7.2.4. неуплата Арендатором штрафов и пеней в сроки, установленные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7.2.5. неисполнение Арендатором обязанностей, предусмотренных </w:t>
      </w:r>
      <w:hyperlink w:tooltip="3.2.10. в течение 2 месяцев с даты подписания настоящего договора заключить договоры со специализированными организациями на предоставление коммунальных услуг, а именно: услуг по водоснабжению, водоотведению, поставке электрической и тепловой энергии, вывозу т" w:anchor="Par2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3.2.10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7.2.6. неисполнение Арендатором обязанностей, предусмотренных </w:t>
      </w:r>
      <w:hyperlink w:tooltip="3.2.11. исполнять обязанности по оплате услуг, предоставляемых по договорам, указанным в пункте 3.2.10 настоящего договора;" w:anchor="Par283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3.2.11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7.2.7. неисполнение Арендатором обязанности по производству текущего и (или) капитального ремонта Объекта в случаях, предусмотренных настоящим договором;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7.2.8. умышленное или по неосторожности ухудшение Арендатором состояния Объекта или инженерно-технического оборудования, сетей, коммуникаций, расположенных в Объекте и обеспечивающих его функционирование;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7.2.9. использование Арендатором Объекта или его части не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7.2.10. передача Арендатором Объекта или его части по любым видам сделок третьим лицам, за исключением сдачи Объекта в субаренду;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7.2.11. лишение Арендатора лицензии или иной разрешительной документации на осуществление деятельности, направленной на использование Объекта в соответствии с </w:t>
      </w:r>
      <w:hyperlink w:tooltip="1.2. Цель использования Объекта: ___________________________________." w:anchor="Par247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1.2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7.2.12. нарушение правил противопожарного режима, правил техники безопасности и иных правил, обязательных при осуществлении Арендатором своей деятельности на Объекте, подтвержденное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7.2.13. неисполнение или ненадлежащее исполнение обязанности, предусмотренной </w:t>
      </w:r>
      <w:hyperlink w:tooltip="3.2.17. в течение всего срока действия настоящего договора соблюдать требования пожарной безопасности, выполнять меры пожарной безопасности в Объекте, предусмотренные законодательством, в том числе установленные для вида деятельности, осуществляемого в Объекте" w:anchor="Par29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3.2.17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договора, в том числе подтвержденные актами проверок уполномоченных органов или судебными актами;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7.2.14. неисполнение Арендатором обязанностей, предусмотренных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пунктом 5.9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</w:t>
      </w:r>
      <w:hyperlink w:tooltip="&lt;17&gt; Пункт 7.2.14 договора предусматривается в случае, если в аренду передается Объект, являющийся защитным сооружением гражданской обороны." w:anchor="Par449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&lt;17&gt;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7.3. Прекращение настоящего договора не освобождает Арендатора от необходимости оплаты задолженности по арендной плате, штрафам, пеням и возмещения убытков.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7.4. Каждая из Сторон вправе в любое время отказаться от настоящего договора, если обстоятельства непреодолимой силы или их последствия будут продолжаться более 6 месяцев, делая невозможным исполнение условий настоящего договора.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Арендодатель вправе отказаться от настоящего договора в случае, если Арендатор в нарушение </w:t>
      </w:r>
      <w:hyperlink w:tooltip="5.8. Арендатор не имеет права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." w:anchor="Par330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пункта 5.8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настоящего договора передал арендные права в залог и (или) внес их в качестве вклада в уставный капитал хозяйственных товариществ и обществ или паевого взноса в производственный кооператив.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Для отказа от настоящего договора Сторона предупреждает (уведомляет) об этом в письменной форме другую Сторону. Договор прекращается по истечении 30 дней с момента получения Стороной уведомления об отказе от договора в письменной форме.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7.5. Настоящий Договор прекращается по основаниям, в случаях и в порядке, предусмотренном законодательством.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VIII. Разрешение споров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8.1. Все споры и разногласия, возникающие из настоящего договора или связанные с ним, должны разрешаться путем переговоров между Сторонами.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8.2. В случае если Стороны не придут к согласию, спор подлежит разрешению в Арбитражном суде Пермского края или судах общей юрисдикции города Перми.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IX. Заключительные положения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9.1. Настоящий договор составлен в 2 экземплярах, имеющих одинаковую юридическую силу, по одному для каждой из Сторон.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 Неотъемлемой частью настоящего договора являются: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9.2.1. </w:t>
      </w:r>
      <w:hyperlink w:tooltip="ПЛАН И ЭКСПЛИКАЦИЯ" w:anchor="Par46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план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и экспликация объекта муниципального недвижимого имущества (приложение 1 к настоящему договору);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before="240"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9.2.2. </w:t>
      </w:r>
      <w:hyperlink w:tooltip="РАСЧЕТ" w:anchor="Par481" w:history="1">
        <w:r>
          <w:rPr>
            <w:rFonts w:ascii="Times New Roman" w:hAnsi="Times New Roman" w:eastAsiaTheme="minorEastAsia"/>
            <w:sz w:val="24"/>
            <w:szCs w:val="24"/>
            <w:lang w:eastAsia="ru-RU"/>
          </w:rPr>
          <w:t xml:space="preserve">расчет</w:t>
        </w:r>
      </w:hyperlink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 арендной платы за Объект (приложение 2 к настоящему договору).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X. Адреса и реквизиты Сторон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535"/>
        <w:gridCol w:w="4535"/>
      </w:tblGrid>
      <w:tr>
        <w:tblPrEx/>
        <w:trPr/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53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Адрес: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Банковские реквизиты: 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--------------------------------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&lt;1&gt; В зависимости от вида предоставления указывается формулировка "во временное владение и пользование" либо "во временное пользование".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&lt;2&gt; В случае если договор аренды заключен на срок менее года, пункт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&lt;3&gt; В случае если в аренду передается Объект, являющийся защитным сооружением гражданской обороны, </w:t>
      </w:r>
      <w:hyperlink w:tooltip="2.2.2. с письменного согласия Арендодателя сдавать Объект или его часть в субаренду в соответствии с законодательством и (или) правовыми актами города Перми при условии исполнения обязанностей, предусмотренных пунктами 3.2.1, 3.2.6, 3.2.8, 3.2.10, 3.2.11 и 3.2" w:anchor="Par2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2.2.2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&lt;4&gt;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1.1. передать Арендатору Объект по акту приема-передачи в течение 5 рабочих дней с даты исполнения Арендатором пункта 4.3 настоящего договора &lt;4&gt;;" w:anchor="Par26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3.1.1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"3.1.1. передать Арендатору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&lt;5&gt;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1. исполнить пункт 4.3 договора в течение 5 рабочих дней с даты подписания настоящего договора &lt;5&gt;;" w:anchor="Par272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3.2.1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&lt;6&gt;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3.2.2. принять от Арендодателя Объект по акту приема-передачи в течение 5 рабочих дней с даты исполнения пункта 4.3 настоящего договора &lt;6&gt;;" w:anchor="Par273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3.2.2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"3.2.2. принять от Арендодателя Объект по акту приема-передачи в течение 5 рабочих дней с даты подписания настоящего договора;".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&lt;7&gt;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2. Арендная плата без учета налога на добавленную стоимость (НДС), составляющая _____ (_____) руб. ___ коп., вносится ежемесячно не позднее 25 числа месяца, предшествующего оплачиваемому месяцу, по следующим реквизитам:" w:anchor="Par30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4.2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"4.2. Арендная плата без учета налога на добавленную стоимость (НДС), составляющая _____ (_____) руб. ___ коп., вносится ежемесячно не позднее 05 числа месяца, следующего за оплачиваемым месяцем по следующим реквизитам: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____________________________________________________________________.".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&lt;8&gt; В случаях, предусмотренных Налоговым </w:t>
      </w:r>
      <w:hyperlink r:id="rId33" w:tooltip="https://login.consultant.ru/link/?req=doc&amp;base=LAW&amp;n=477383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кодексом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Российской Федерации, размер арендной платы указывается с учетом налога на добавленную стоимость (НДС).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&lt;9&gt;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арендатором по договору аренды является территориальное общественное самоуправление, </w:t>
      </w:r>
      <w:hyperlink w:tooltip="4.3. В течение 5 рабочих дней с даты подписания настоящего договора Арендатор обязан внести по реквизитам, указанным в пункте 4.2 настоящего договора:" w:anchor="Par30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"4.3. в течение 5 рабочих дней с даты подписания настоящего договора Арендатор обязан внести по реквизитам, указанным в пункте 4.2 настоящего договора: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период пользования Объектом в месяце, в котором Объект передан Арендатору;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арендную плату за месяц, следующий за месяцем, в котором Объект передан Арендатору.".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&lt;10&gt; В случае если арендатором по договору аренды является орган государственной власти, орган местного самоуправления, бюджетное или казенное учреждение, территориальное общественное самоуправление, </w:t>
      </w:r>
      <w:hyperlink w:tooltip="4.4. В случае нарушения денежных обязательств по настоящему договору сумма обеспечительного платежа или его часть засчитывается в счет денежных обязательств Арендатора по настоящему договору в день нарушения." w:anchor="Par310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4.4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не предусматривается.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&lt;11&gt; В случае проведения строительных работ на Объекте, являющемся памятником истории и культуры, работы производятся то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лько после согласования с государственным краевым бюджетным учреждением культуры "Пермский краевой научно-производственный центр по охране памятников (объектов культурного наследия)" и после осуществления мероприятий, обеспечивающих сохранность памятников.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&lt;12&gt; В случае если в аренду передается Объект, являющийся защитным сооружением гражданской обороны, </w:t>
      </w:r>
      <w:hyperlink w:tooltip="Произведенные Арендатором неотделимые улучшения Объекта являются собственностью муниципального образования город Пермь &lt;12&gt;." w:anchor="Par326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абзац второй пункта 5.4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"Произведенные Арендатором неотделимые улучшения Объекта, являющегося защитным сооружением гражданской обороны, являются собственностью муниципального образования город Пер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мь. Произведенные Арендатором отделимые улучшения Объекта, являющегося защитным сооружением гражданской обороны, при исполнении обязанностей, предусмотренных пунктом 5.9 настоящего договора, являются собственностью муниципального образования город Пермь.".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&lt;13&gt;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&lt;14&gt; В случае если Объект, являющийся защитным сооружением гражданской обороны, передается в аренду с условием его приведения в состояние, соответствующее требованиям законодательства, установленным к защитному сооружению гражданской обороны, </w:t>
      </w:r>
      <w:hyperlink w:tooltip=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-технического и специального оборудования, защитных устройс" w:anchor="Par331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5.9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излагается в следующей редакции: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"5.9. Арендатор обязан использовать, эксплуатировать, содержать, осуществлять обслуживание (техническое обслуживание) Объекта, являющегося защитным сооружением гражданской обороны, в том числе инженерно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-технического и специального оборудования, защитных устройств, инженерных систем, технических систем, средств связи и оповещения Объекта в соответствии с требованиями законодательства, установленными к защитным сооружениям гражданской обороны, в том числе </w:t>
      </w:r>
      <w:hyperlink r:id="rId34" w:tooltip="https://login.consultant.ru/link/?req=doc&amp;base=LAW&amp;n=303084&amp;date=02.07.2024&amp;dst=100012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Правилами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эк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сплуатации защитных сооружений гражданской обороны, утвержденными приказом Министерства Российской Федерации по делам гражданской обороны, чрезвычайным ситуациям и ликвидации последствий стихийных бедствий (далее - МЧС России) от 15 декабря 2002 г. N 583, </w:t>
      </w:r>
      <w:hyperlink r:id="rId35" w:tooltip="https://login.consultant.ru/link/?req=doc&amp;base=LAW&amp;n=188172&amp;date=02.07.2024&amp;dst=100009&amp;field=13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Порядком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содержания и использования защитных сооружений гражданской обороны в мирное время, утвержденным приказом МЧС России от 21 июля 2005 г. N 575, </w:t>
      </w:r>
      <w:hyperlink r:id="rId36" w:tooltip="https://login.consultant.ru/link/?req=doc&amp;base=RLAW368&amp;n=184611&amp;date=02.07.2024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постановлением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администрации города Перми от 19 февраля 2021 г. N 95 "О мерах по сохранению и рациональному использованию защитных сооружений гр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ажданской обороны и иных объектов гражданской обороны на территории города Перми" (далее - нормативные акты), обеспечивая готовность Объекта, являющегося защитным сооружением гражданской обороны, к использованию по прямому назначению (к приему укрываемых).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обязан на основании проектной документации, переданной ему Арендодателем при заключении настоящего договора, в течение _____________ со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дня заключения договора аренды привести Объект, являющийся защитным сооружением гражданской обороны, в том числе инженерно-техническое и специальное оборудование, защитные устройства, инженерные системы, технические системы, средства связи и оповещения Объ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екта, в состояние, соответствующее требованиям нормативных актов, обеспечивающее возможность его использования по прямому назначению (к приему укрываемых), в том числе путем проведения ремонта и приобретения имущества, предусмотренного нормативными актами.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При исполнении Арендатором обязанности, предусмотренной абзацем вторы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м настоящего пункта, получение согласия Арендодателя на проведение работ, указанных в пункте 5.1 настоящего договора, на Объекте, являющемся защитным сооружением гражданской обороны, в порядке, предусмотренном пунктом 5.1 настоящего договора, не требуется.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Документом, подтверждающим выполнение Арендатором обязанности, предусмотренной абзацем вторым настоящего пункта, является акт об исполнении Арендатором указанной обязанности, составленный комиссией, созданной правовым актом Арендодателя.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после исполнения обязанности, предусмотренной абзацем вторым настоящего пункта, обязан проводить в отношении Объекта, являющегося защитным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сооружением гражданской обороны, в том числе ин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женерно-технического и специального оборудования, защитных устройств, инженерных систем, технических систем, средств связи и оповещения Объекта, ремонт, предусмотренный нормативными актами, в соответствии с установленной нормативными актами периодичностью.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выявления федеральным органом исполнительной власти, осуществл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яющим функции по надзору и контролю в области гражданской обороны, органами прокуратуры и их должностными лицами, Арендодателем нарушений требований нормативных актов при использовании, эксплуатации, содержании, осуществлении обслуживания (технического обс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луживания), ремонта Объекта, являющегося защитным сооружением гражданской обороны, в том числе инженерно-технического и специального оборудования, защитных устройств, инженерных систем, технических систем, средств связи и оповещения Объекта, и (или) обязат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ельных требований, предъявляемых к Объекту как к защитному сооружению гражданской обороны, установленных нормативными актами, Арендатор обязан устранить допущенные нарушения в установленные указанными органами и их должностными лицами, Арендодателем сроки.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Исполнение Арендатором обязанностей, предусмотренных настоящим пунктом, осуществляется за счет Арендатора, расходы Арендатора, связанные с исполнением указанных обязанностей, возмещению не подлежат.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Арендатор при исполнении обязанностей, предусмотренных настоящим п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унктом договора, при необходимости и в случаях, допускаемых нормативными актами, производит демонтаж, замену находящегося в Объекте, являющемся защитным сооружением гражданской обороны, инженерно-технического и специального оборудования, защитных устройств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, инженерных систем, технических систем, средств связи и оповещения или их частей. Арендатор обязан передать (возвратить) демонтированное и (или) замененное на новое имущество Арендодателю по акту приема-передачи в течение 30 дней с даты демонтажа, замены.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В случае если при испо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лнении Арендатором обязанностей, предусмотренных настоящим пунктом договора, Арендатором производится устройство (монтаж, установка) на Объекте, являющемся защитным сооружением гражданской обороны нового(-ых) инженерно-технического и специального оборудова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ния, защитных устройств, инженерных систем, технических систем, средств связи и оповещения или их частей, Арендатор обязан представить Арендодателю копии документов о приобретении такого имущества в течение 14 дней с даты устройства (монтажа, установки).".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&lt;15&gt; </w:t>
      </w:r>
      <w:hyperlink w:tooltip="5.10. Арендатор не вправе сдавать в субаренду Объект, являющийся защитным сооружением гражданской обороны &lt;15&gt;." w:anchor="Par337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5.10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&lt;16&gt; </w:t>
      </w:r>
      <w:hyperlink w:tooltip="6.13. В случае неисполнения, ненадлежащего исполнения обязанностей, предусмотренных абзацем вторым пункта 5.9 настоящего договора, Арендатор обязан уплатить Арендодателю штраф в размере арендной платы за год, определенной по результатам оценки рыночной стоимос" w:anchor="Par35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6.13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</w:t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предусматривается в случае, если в аренду передается Объект, являющийся защитным сооружением гражданской обороны, с условием его приведения в состояние, соответствующее требованиям законодательства, установленным к защитному сооружению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ind w:firstLine="540"/>
        <w:jc w:val="both"/>
        <w:spacing w:after="0" w:line="240" w:lineRule="exact"/>
        <w:widowControl w:val="off"/>
        <w:rPr>
          <w:rFonts w:ascii="Times New Roman" w:hAnsi="Times New Roman" w:eastAsiaTheme="minorEastAsia"/>
          <w:sz w:val="16"/>
          <w:szCs w:val="16"/>
          <w:lang w:eastAsia="ru-RU"/>
        </w:rPr>
      </w:pPr>
      <w:r>
        <w:rPr>
          <w:sz w:val="18"/>
          <w:szCs w:val="18"/>
        </w:rPr>
      </w:r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&lt;17&gt; </w:t>
      </w:r>
      <w:hyperlink w:tooltip="7.2.14. неисполнение Арендатором обязанностей, предусмотренных пунктом 5.9 настоящего договора &lt;17&gt;." w:anchor="Par378" w:history="1">
        <w:r>
          <w:rPr>
            <w:rFonts w:ascii="Times New Roman" w:hAnsi="Times New Roman" w:eastAsiaTheme="minorEastAsia"/>
            <w:sz w:val="20"/>
            <w:szCs w:val="20"/>
            <w:lang w:eastAsia="ru-RU"/>
          </w:rPr>
          <w:t xml:space="preserve">Пункт 7.2.14</w:t>
        </w:r>
      </w:hyperlink>
      <w:r>
        <w:rPr>
          <w:rFonts w:ascii="Times New Roman" w:hAnsi="Times New Roman" w:eastAsiaTheme="minorEastAsia"/>
          <w:sz w:val="20"/>
          <w:szCs w:val="20"/>
          <w:lang w:eastAsia="ru-RU"/>
        </w:rPr>
        <w:t xml:space="preserve"> договора предусматривается в случае, если в аренду передается Объект, являющийся защитным сооружением гражданской обороны.</w:t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  <w:r>
        <w:rPr>
          <w:rFonts w:ascii="Times New Roman" w:hAnsi="Times New Roman" w:eastAsiaTheme="minorEastAsia"/>
          <w:sz w:val="16"/>
          <w:szCs w:val="16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br w:type="page" w:clear="all"/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1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ПЛАН И ЭКСПЛИКАЦИЯ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center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объекта муниципального 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  <w:outlineLvl w:val="1"/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Приложение 2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к договору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аренды объектов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муниципального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right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  <w:t xml:space="preserve">недвижимого имущества</w:t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jc w:val="both"/>
        <w:spacing w:after="0" w:line="240" w:lineRule="exact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706"/>
        <w:gridCol w:w="4365"/>
      </w:tblGrid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РАСЧЕТ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арендной платы за Объект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9071" w:type="dxa"/>
            <w:textDirection w:val="lrTb"/>
            <w:noWrap w:val="false"/>
          </w:tcPr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По итогам аукциона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 право заключения договора аренды объекта муниципального недвижимого имущества от "____" ____________ 20___ г., протокола __________________ от "____" _________ 20___ г. арендная плата без учета налога на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83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добавленную сто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имость (НДС) составляет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год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квартал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 руб. в месяц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firstLine="283"/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706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4365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r>
        <w:br w:type="page" w:clear="all"/>
      </w:r>
      <w:r/>
    </w:p>
    <w:tbl>
      <w:tblPr>
        <w:tblW w:w="0" w:type="auto"/>
        <w:tblLayout w:type="fixed"/>
        <w:tblCellMar>
          <w:left w:w="62" w:type="dxa"/>
          <w:top w:w="102" w:type="dxa"/>
          <w:right w:w="62" w:type="dxa"/>
          <w:bottom w:w="102" w:type="dxa"/>
        </w:tblCellMar>
        <w:tblLook w:val="0000" w:firstRow="0" w:lastRow="0" w:firstColumn="0" w:lastColumn="0" w:noHBand="0" w:noVBand="0"/>
      </w:tblPr>
      <w:tblGrid>
        <w:gridCol w:w="4479"/>
        <w:gridCol w:w="793"/>
        <w:gridCol w:w="3798"/>
      </w:tblGrid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АКТ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приема-передачи Объекта по договору аренды объекта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муниципального недвижимого имущества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2"/>
            <w:tcW w:w="5272" w:type="dxa"/>
            <w:textDirection w:val="lrTb"/>
            <w:noWrap w:val="false"/>
          </w:tcPr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г. Пермь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tcW w:w="3798" w:type="dxa"/>
            <w:textDirection w:val="lrTb"/>
            <w:noWrap w:val="false"/>
          </w:tcPr>
          <w:p>
            <w:pPr>
              <w:jc w:val="right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"____" ___________ 20___ г.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gridSpan w:val="3"/>
            <w:tcW w:w="9070" w:type="dxa"/>
            <w:textDirection w:val="lrTb"/>
            <w:noWrap w:val="false"/>
          </w:tcPr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center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уполномоченного органа, муниципального предприятия, муниципального учреждения)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Арендодатель, в лице 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одной стороны, и _______________________________________________________,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2264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(наименование юридического лица, Ф.И.О. физического лица,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396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индивидуального предпринимателя)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именуем___ в дальнейшем Арендатор, в лице 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660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(должность, Ф.И.О.)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действующ___ на основании _______________________________________________,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3113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(устава, доверенности или иного уполномочивающего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ind w:left="5377"/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документа)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 другой стороны, произвели прием-передачу Объекта.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Характеристика объекта, расположенного по адресу: 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Площадь объекта: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(основная);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(предоставляемая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(доля предоставляемой в совместное пользование с третьими лицами);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 кв. м (для цели исчисления арендной платы).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Вход в объект: 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Наружные стены объекта (материал и состояние) 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Наличие на объекте окон, дверей 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Высота потолков 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энергоснабжения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водоснабжения (наличие, состояние), тип, марка, текущие показания прибора учета ____________________________________________________________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отопления (наличие, состояние) 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Система канализации (наличие, состояние) 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Санузлы (наличие, состояние) ______________________________________________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Осветительные приборы (наличие, состояние) 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________________________________________________________________________.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Претензии по состоянию и содержанию Объекта у Арендатора отсутствуют.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exact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Примечания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передал (принял)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Объект принял (передал)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Арендодатель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(Арендатор) 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Арендатор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(Арендодатель) 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___________________________________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М.П.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tcW w:w="4479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  <w:tc>
          <w:tcPr>
            <w:gridSpan w:val="2"/>
            <w:tcW w:w="4591" w:type="dxa"/>
            <w:textDirection w:val="lrTb"/>
            <w:noWrap w:val="false"/>
          </w:tcPr>
          <w:p>
            <w:pPr>
              <w:jc w:val="both"/>
              <w:spacing w:after="0" w:line="240" w:lineRule="auto"/>
              <w:widowControl w:val="off"/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  <w:t xml:space="preserve">Дата</w:t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Theme="minorEastAsia"/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0" w:line="240" w:lineRule="auto"/>
        <w:widowControl w:val="off"/>
        <w:rPr>
          <w:rFonts w:ascii="Times New Roman" w:hAnsi="Times New Roman" w:eastAsiaTheme="minorEastAsia"/>
          <w:sz w:val="24"/>
          <w:szCs w:val="24"/>
          <w:lang w:eastAsia="ru-RU"/>
        </w:rPr>
      </w:pP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  <w:r>
        <w:rPr>
          <w:rFonts w:ascii="Times New Roman" w:hAnsi="Times New Roman" w:eastAsiaTheme="minorEastAsia"/>
          <w:sz w:val="24"/>
          <w:szCs w:val="24"/>
          <w:lang w:eastAsia="ru-RU"/>
        </w:rPr>
      </w:r>
    </w:p>
    <w:p>
      <w:pPr>
        <w:ind w:firstLine="0"/>
        <w:jc w:val="both"/>
        <w:spacing w:after="0" w:line="240" w:lineRule="exact"/>
        <w:rPr>
          <w:rFonts w:ascii="Times New Roman" w:hAnsi="Times New Roman"/>
          <w:highlight w:val="none"/>
          <w:lang w:eastAsia="ru-RU"/>
        </w:rPr>
      </w:pPr>
      <w:r>
        <w:rPr>
          <w:rFonts w:ascii="Times New Roman" w:hAnsi="Times New Roman"/>
          <w:bCs/>
        </w:rPr>
      </w:r>
      <w:r>
        <w:rPr>
          <w:rFonts w:ascii="Times New Roman" w:hAnsi="Times New Roman"/>
          <w:highlight w:val="none"/>
          <w:lang w:eastAsia="ru-RU"/>
        </w:rPr>
      </w:r>
      <w:r>
        <w:rPr>
          <w:rFonts w:ascii="Times New Roman" w:hAnsi="Times New Roman"/>
          <w:highlight w:val="none"/>
          <w:lang w:eastAsia="ru-RU"/>
        </w:rPr>
      </w:r>
    </w:p>
    <w:sectPr>
      <w:headerReference w:type="default" r:id="rId9"/>
      <w:footnotePr/>
      <w:endnotePr/>
      <w:type w:val="nextPage"/>
      <w:pgSz w:w="11906" w:h="16838" w:orient="portrait"/>
      <w:pgMar w:top="1134" w:right="850" w:bottom="1134" w:left="1701" w:header="363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panose1 w:val="02000603000000000000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Segoe UI">
    <w:panose1 w:val="020B050302020302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521516540"/>
      <w:docPartObj>
        <w:docPartGallery w:val="Page Numbers (Top of Page)"/>
        <w:docPartUnique w:val="true"/>
      </w:docPartObj>
      <w:rPr/>
    </w:sdtPr>
    <w:sdtContent>
      <w:p>
        <w:pPr>
          <w:pStyle w:val="864"/>
          <w:jc w:val="center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sz w:val="24"/>
            <w:szCs w:val="24"/>
          </w:rPr>
          <w:fldChar w:fldCharType="begin"/>
        </w:r>
        <w:r>
          <w:rPr>
            <w:rFonts w:ascii="Times New Roman" w:hAnsi="Times New Roman"/>
            <w:sz w:val="24"/>
            <w:szCs w:val="24"/>
          </w:rPr>
          <w:instrText xml:space="preserve">PAGE   \* MERGEFORMAT</w:instrText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 xml:space="preserve">4</w:t>
        </w:r>
        <w:r>
          <w:rPr>
            <w:rFonts w:ascii="Times New Roman" w:hAnsi="Times New Roman"/>
            <w:sz w:val="24"/>
            <w:szCs w:val="24"/>
          </w:rPr>
          <w:fldChar w:fldCharType="end"/>
        </w:r>
        <w:r>
          <w:rPr>
            <w:rFonts w:ascii="Times New Roman" w:hAnsi="Times New Roman"/>
            <w:sz w:val="24"/>
            <w:szCs w:val="24"/>
          </w:rPr>
        </w:r>
        <w:r>
          <w:rPr>
            <w:rFonts w:ascii="Times New Roman" w:hAnsi="Times New Roman"/>
            <w:sz w:val="24"/>
            <w:szCs w:val="24"/>
          </w:rPr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4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3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3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9">
    <w:name w:val="Heading 1"/>
    <w:basedOn w:val="852"/>
    <w:next w:val="852"/>
    <w:link w:val="680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0">
    <w:name w:val="Heading 1 Char"/>
    <w:basedOn w:val="853"/>
    <w:link w:val="679"/>
    <w:uiPriority w:val="9"/>
    <w:rPr>
      <w:rFonts w:ascii="Arial" w:hAnsi="Arial" w:eastAsia="Arial" w:cs="Arial"/>
      <w:sz w:val="40"/>
      <w:szCs w:val="40"/>
    </w:rPr>
  </w:style>
  <w:style w:type="paragraph" w:styleId="681">
    <w:name w:val="Heading 2"/>
    <w:basedOn w:val="852"/>
    <w:next w:val="852"/>
    <w:link w:val="68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2">
    <w:name w:val="Heading 2 Char"/>
    <w:basedOn w:val="853"/>
    <w:link w:val="681"/>
    <w:uiPriority w:val="9"/>
    <w:rPr>
      <w:rFonts w:ascii="Arial" w:hAnsi="Arial" w:eastAsia="Arial" w:cs="Arial"/>
      <w:sz w:val="34"/>
    </w:rPr>
  </w:style>
  <w:style w:type="paragraph" w:styleId="683">
    <w:name w:val="Heading 3"/>
    <w:basedOn w:val="852"/>
    <w:next w:val="852"/>
    <w:link w:val="68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4">
    <w:name w:val="Heading 3 Char"/>
    <w:basedOn w:val="853"/>
    <w:link w:val="683"/>
    <w:uiPriority w:val="9"/>
    <w:rPr>
      <w:rFonts w:ascii="Arial" w:hAnsi="Arial" w:eastAsia="Arial" w:cs="Arial"/>
      <w:sz w:val="30"/>
      <w:szCs w:val="30"/>
    </w:rPr>
  </w:style>
  <w:style w:type="paragraph" w:styleId="685">
    <w:name w:val="Heading 4"/>
    <w:basedOn w:val="852"/>
    <w:next w:val="852"/>
    <w:link w:val="68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6">
    <w:name w:val="Heading 4 Char"/>
    <w:basedOn w:val="853"/>
    <w:link w:val="685"/>
    <w:uiPriority w:val="9"/>
    <w:rPr>
      <w:rFonts w:ascii="Arial" w:hAnsi="Arial" w:eastAsia="Arial" w:cs="Arial"/>
      <w:b/>
      <w:bCs/>
      <w:sz w:val="26"/>
      <w:szCs w:val="26"/>
    </w:rPr>
  </w:style>
  <w:style w:type="paragraph" w:styleId="687">
    <w:name w:val="Heading 5"/>
    <w:basedOn w:val="852"/>
    <w:next w:val="852"/>
    <w:link w:val="68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8">
    <w:name w:val="Heading 5 Char"/>
    <w:basedOn w:val="853"/>
    <w:link w:val="687"/>
    <w:uiPriority w:val="9"/>
    <w:rPr>
      <w:rFonts w:ascii="Arial" w:hAnsi="Arial" w:eastAsia="Arial" w:cs="Arial"/>
      <w:b/>
      <w:bCs/>
      <w:sz w:val="24"/>
      <w:szCs w:val="24"/>
    </w:rPr>
  </w:style>
  <w:style w:type="paragraph" w:styleId="689">
    <w:name w:val="Heading 6"/>
    <w:basedOn w:val="852"/>
    <w:next w:val="852"/>
    <w:link w:val="69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0">
    <w:name w:val="Heading 6 Char"/>
    <w:basedOn w:val="853"/>
    <w:link w:val="689"/>
    <w:uiPriority w:val="9"/>
    <w:rPr>
      <w:rFonts w:ascii="Arial" w:hAnsi="Arial" w:eastAsia="Arial" w:cs="Arial"/>
      <w:b/>
      <w:bCs/>
      <w:sz w:val="22"/>
      <w:szCs w:val="22"/>
    </w:rPr>
  </w:style>
  <w:style w:type="paragraph" w:styleId="691">
    <w:name w:val="Heading 7"/>
    <w:basedOn w:val="852"/>
    <w:next w:val="852"/>
    <w:link w:val="69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2">
    <w:name w:val="Heading 7 Char"/>
    <w:basedOn w:val="853"/>
    <w:link w:val="69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3">
    <w:name w:val="Heading 8"/>
    <w:basedOn w:val="852"/>
    <w:next w:val="852"/>
    <w:link w:val="69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4">
    <w:name w:val="Heading 8 Char"/>
    <w:basedOn w:val="853"/>
    <w:link w:val="693"/>
    <w:uiPriority w:val="9"/>
    <w:rPr>
      <w:rFonts w:ascii="Arial" w:hAnsi="Arial" w:eastAsia="Arial" w:cs="Arial"/>
      <w:i/>
      <w:iCs/>
      <w:sz w:val="22"/>
      <w:szCs w:val="22"/>
    </w:rPr>
  </w:style>
  <w:style w:type="paragraph" w:styleId="695">
    <w:name w:val="Heading 9"/>
    <w:basedOn w:val="852"/>
    <w:next w:val="852"/>
    <w:link w:val="69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6">
    <w:name w:val="Heading 9 Char"/>
    <w:basedOn w:val="853"/>
    <w:link w:val="695"/>
    <w:uiPriority w:val="9"/>
    <w:rPr>
      <w:rFonts w:ascii="Arial" w:hAnsi="Arial" w:eastAsia="Arial" w:cs="Arial"/>
      <w:i/>
      <w:iCs/>
      <w:sz w:val="21"/>
      <w:szCs w:val="21"/>
    </w:rPr>
  </w:style>
  <w:style w:type="paragraph" w:styleId="697">
    <w:name w:val="No Spacing"/>
    <w:uiPriority w:val="1"/>
    <w:qFormat/>
    <w:pPr>
      <w:spacing w:before="0" w:after="0" w:line="240" w:lineRule="auto"/>
    </w:pPr>
  </w:style>
  <w:style w:type="paragraph" w:styleId="698">
    <w:name w:val="Title"/>
    <w:basedOn w:val="852"/>
    <w:next w:val="852"/>
    <w:link w:val="699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9">
    <w:name w:val="Title Char"/>
    <w:basedOn w:val="853"/>
    <w:link w:val="698"/>
    <w:uiPriority w:val="10"/>
    <w:rPr>
      <w:sz w:val="48"/>
      <w:szCs w:val="48"/>
    </w:rPr>
  </w:style>
  <w:style w:type="paragraph" w:styleId="700">
    <w:name w:val="Subtitle"/>
    <w:basedOn w:val="852"/>
    <w:next w:val="852"/>
    <w:link w:val="701"/>
    <w:uiPriority w:val="11"/>
    <w:qFormat/>
    <w:pPr>
      <w:spacing w:before="200" w:after="200"/>
    </w:pPr>
    <w:rPr>
      <w:sz w:val="24"/>
      <w:szCs w:val="24"/>
    </w:rPr>
  </w:style>
  <w:style w:type="character" w:styleId="701">
    <w:name w:val="Subtitle Char"/>
    <w:basedOn w:val="853"/>
    <w:link w:val="700"/>
    <w:uiPriority w:val="11"/>
    <w:rPr>
      <w:sz w:val="24"/>
      <w:szCs w:val="24"/>
    </w:rPr>
  </w:style>
  <w:style w:type="paragraph" w:styleId="702">
    <w:name w:val="Quote"/>
    <w:basedOn w:val="852"/>
    <w:next w:val="852"/>
    <w:link w:val="703"/>
    <w:uiPriority w:val="29"/>
    <w:qFormat/>
    <w:pPr>
      <w:ind w:left="720" w:right="720"/>
    </w:pPr>
    <w:rPr>
      <w:i/>
    </w:rPr>
  </w:style>
  <w:style w:type="character" w:styleId="703">
    <w:name w:val="Quote Char"/>
    <w:link w:val="702"/>
    <w:uiPriority w:val="29"/>
    <w:rPr>
      <w:i/>
    </w:rPr>
  </w:style>
  <w:style w:type="paragraph" w:styleId="704">
    <w:name w:val="Intense Quote"/>
    <w:basedOn w:val="852"/>
    <w:next w:val="852"/>
    <w:link w:val="705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5">
    <w:name w:val="Intense Quote Char"/>
    <w:link w:val="704"/>
    <w:uiPriority w:val="30"/>
    <w:rPr>
      <w:i/>
    </w:rPr>
  </w:style>
  <w:style w:type="character" w:styleId="706">
    <w:name w:val="Header Char"/>
    <w:basedOn w:val="853"/>
    <w:link w:val="864"/>
    <w:uiPriority w:val="99"/>
  </w:style>
  <w:style w:type="character" w:styleId="707">
    <w:name w:val="Footer Char"/>
    <w:basedOn w:val="853"/>
    <w:link w:val="866"/>
    <w:uiPriority w:val="99"/>
  </w:style>
  <w:style w:type="paragraph" w:styleId="708">
    <w:name w:val="Caption"/>
    <w:basedOn w:val="852"/>
    <w:next w:val="85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9">
    <w:name w:val="Caption Char"/>
    <w:basedOn w:val="708"/>
    <w:link w:val="866"/>
    <w:uiPriority w:val="99"/>
  </w:style>
  <w:style w:type="table" w:styleId="710">
    <w:name w:val="Table Grid Light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1">
    <w:name w:val="Plain Table 1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2"/>
    <w:basedOn w:val="85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4">
    <w:name w:val="Plain Table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Plain Table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6">
    <w:name w:val="Grid Table 1 Light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Grid Table 1 Light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2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4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8">
    <w:name w:val="Grid Table 4 - Accent 1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9">
    <w:name w:val="Grid Table 4 - Accent 2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0">
    <w:name w:val="Grid Table 4 - Accent 3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1">
    <w:name w:val="Grid Table 4 - Accent 4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2">
    <w:name w:val="Grid Table 4 - Accent 5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3">
    <w:name w:val="Grid Table 4 - Accent 6"/>
    <w:basedOn w:val="85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4">
    <w:name w:val="Grid Table 5 Dark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5">
    <w:name w:val="Grid Table 5 Dark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46">
    <w:name w:val="Grid Table 5 Dark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47">
    <w:name w:val="Grid Table 5 Dark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48">
    <w:name w:val="Grid Table 5 Dark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49">
    <w:name w:val="Grid Table 5 Dark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51">
    <w:name w:val="Grid Table 6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2">
    <w:name w:val="Grid Table 6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3">
    <w:name w:val="Grid Table 6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4">
    <w:name w:val="Grid Table 6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5">
    <w:name w:val="Grid Table 6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6">
    <w:name w:val="Grid Table 6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7">
    <w:name w:val="Grid Table 6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8">
    <w:name w:val="Grid Table 7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7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3">
    <w:name w:val="List Table 2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4">
    <w:name w:val="List Table 2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5">
    <w:name w:val="List Table 2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6">
    <w:name w:val="List Table 2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7">
    <w:name w:val="List Table 2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8">
    <w:name w:val="List Table 2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9">
    <w:name w:val="List Table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3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5 Dark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4">
    <w:name w:val="List Table 5 Dark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6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1">
    <w:name w:val="List Table 6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2">
    <w:name w:val="List Table 6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3">
    <w:name w:val="List Table 6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4">
    <w:name w:val="List Table 6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5">
    <w:name w:val="List Table 6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6">
    <w:name w:val="List Table 6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7">
    <w:name w:val="List Table 7 Colorful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8">
    <w:name w:val="List Table 7 Colorful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09">
    <w:name w:val="List Table 7 Colorful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10">
    <w:name w:val="List Table 7 Colorful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11">
    <w:name w:val="List Table 7 Colorful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12">
    <w:name w:val="List Table 7 Colorful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13">
    <w:name w:val="List Table 7 Colorful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14">
    <w:name w:val="Lined - Accent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5">
    <w:name w:val="Lined - Accent 1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16">
    <w:name w:val="Lined - Accent 2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7">
    <w:name w:val="Lined - Accent 3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8">
    <w:name w:val="Lined - Accent 4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9">
    <w:name w:val="Lined - Accent 5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20">
    <w:name w:val="Lined - Accent 6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1">
    <w:name w:val="Bordered &amp; Lined - Accent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2">
    <w:name w:val="Bordered &amp; Lined - Accent 1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23">
    <w:name w:val="Bordered &amp; Lined - Accent 2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24">
    <w:name w:val="Bordered &amp; Lined - Accent 3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5">
    <w:name w:val="Bordered &amp; Lined - Accent 4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6">
    <w:name w:val="Bordered &amp; Lined - Accent 5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27">
    <w:name w:val="Bordered &amp; Lined - Accent 6"/>
    <w:basedOn w:val="85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8">
    <w:name w:val="Bordered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9">
    <w:name w:val="Bordered - Accent 1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0">
    <w:name w:val="Bordered - Accent 2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1">
    <w:name w:val="Bordered - Accent 3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2">
    <w:name w:val="Bordered - Accent 4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3">
    <w:name w:val="Bordered - Accent 5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4">
    <w:name w:val="Bordered - Accent 6"/>
    <w:basedOn w:val="85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35">
    <w:name w:val="footnote text"/>
    <w:basedOn w:val="852"/>
    <w:link w:val="836"/>
    <w:uiPriority w:val="99"/>
    <w:semiHidden/>
    <w:unhideWhenUsed/>
    <w:pPr>
      <w:spacing w:after="40" w:line="240" w:lineRule="auto"/>
    </w:pPr>
    <w:rPr>
      <w:sz w:val="18"/>
    </w:rPr>
  </w:style>
  <w:style w:type="character" w:styleId="836">
    <w:name w:val="Footnote Text Char"/>
    <w:link w:val="835"/>
    <w:uiPriority w:val="99"/>
    <w:rPr>
      <w:sz w:val="18"/>
    </w:rPr>
  </w:style>
  <w:style w:type="character" w:styleId="837">
    <w:name w:val="footnote reference"/>
    <w:basedOn w:val="853"/>
    <w:uiPriority w:val="99"/>
    <w:unhideWhenUsed/>
    <w:rPr>
      <w:vertAlign w:val="superscript"/>
    </w:rPr>
  </w:style>
  <w:style w:type="paragraph" w:styleId="838">
    <w:name w:val="endnote text"/>
    <w:basedOn w:val="852"/>
    <w:link w:val="839"/>
    <w:uiPriority w:val="99"/>
    <w:semiHidden/>
    <w:unhideWhenUsed/>
    <w:pPr>
      <w:spacing w:after="0" w:line="240" w:lineRule="auto"/>
    </w:pPr>
    <w:rPr>
      <w:sz w:val="20"/>
    </w:rPr>
  </w:style>
  <w:style w:type="character" w:styleId="839">
    <w:name w:val="Endnote Text Char"/>
    <w:link w:val="838"/>
    <w:uiPriority w:val="99"/>
    <w:rPr>
      <w:sz w:val="20"/>
    </w:rPr>
  </w:style>
  <w:style w:type="character" w:styleId="840">
    <w:name w:val="endnote reference"/>
    <w:basedOn w:val="853"/>
    <w:uiPriority w:val="99"/>
    <w:semiHidden/>
    <w:unhideWhenUsed/>
    <w:rPr>
      <w:vertAlign w:val="superscript"/>
    </w:rPr>
  </w:style>
  <w:style w:type="paragraph" w:styleId="841">
    <w:name w:val="toc 1"/>
    <w:basedOn w:val="852"/>
    <w:next w:val="852"/>
    <w:uiPriority w:val="39"/>
    <w:unhideWhenUsed/>
    <w:pPr>
      <w:ind w:left="0" w:right="0" w:firstLine="0"/>
      <w:spacing w:after="57"/>
    </w:pPr>
  </w:style>
  <w:style w:type="paragraph" w:styleId="842">
    <w:name w:val="toc 2"/>
    <w:basedOn w:val="852"/>
    <w:next w:val="852"/>
    <w:uiPriority w:val="39"/>
    <w:unhideWhenUsed/>
    <w:pPr>
      <w:ind w:left="283" w:right="0" w:firstLine="0"/>
      <w:spacing w:after="57"/>
    </w:pPr>
  </w:style>
  <w:style w:type="paragraph" w:styleId="843">
    <w:name w:val="toc 3"/>
    <w:basedOn w:val="852"/>
    <w:next w:val="852"/>
    <w:uiPriority w:val="39"/>
    <w:unhideWhenUsed/>
    <w:pPr>
      <w:ind w:left="567" w:right="0" w:firstLine="0"/>
      <w:spacing w:after="57"/>
    </w:pPr>
  </w:style>
  <w:style w:type="paragraph" w:styleId="844">
    <w:name w:val="toc 4"/>
    <w:basedOn w:val="852"/>
    <w:next w:val="852"/>
    <w:uiPriority w:val="39"/>
    <w:unhideWhenUsed/>
    <w:pPr>
      <w:ind w:left="850" w:right="0" w:firstLine="0"/>
      <w:spacing w:after="57"/>
    </w:pPr>
  </w:style>
  <w:style w:type="paragraph" w:styleId="845">
    <w:name w:val="toc 5"/>
    <w:basedOn w:val="852"/>
    <w:next w:val="852"/>
    <w:uiPriority w:val="39"/>
    <w:unhideWhenUsed/>
    <w:pPr>
      <w:ind w:left="1134" w:right="0" w:firstLine="0"/>
      <w:spacing w:after="57"/>
    </w:pPr>
  </w:style>
  <w:style w:type="paragraph" w:styleId="846">
    <w:name w:val="toc 6"/>
    <w:basedOn w:val="852"/>
    <w:next w:val="852"/>
    <w:uiPriority w:val="39"/>
    <w:unhideWhenUsed/>
    <w:pPr>
      <w:ind w:left="1417" w:right="0" w:firstLine="0"/>
      <w:spacing w:after="57"/>
    </w:pPr>
  </w:style>
  <w:style w:type="paragraph" w:styleId="847">
    <w:name w:val="toc 7"/>
    <w:basedOn w:val="852"/>
    <w:next w:val="852"/>
    <w:uiPriority w:val="39"/>
    <w:unhideWhenUsed/>
    <w:pPr>
      <w:ind w:left="1701" w:right="0" w:firstLine="0"/>
      <w:spacing w:after="57"/>
    </w:pPr>
  </w:style>
  <w:style w:type="paragraph" w:styleId="848">
    <w:name w:val="toc 8"/>
    <w:basedOn w:val="852"/>
    <w:next w:val="852"/>
    <w:uiPriority w:val="39"/>
    <w:unhideWhenUsed/>
    <w:pPr>
      <w:ind w:left="1984" w:right="0" w:firstLine="0"/>
      <w:spacing w:after="57"/>
    </w:pPr>
  </w:style>
  <w:style w:type="paragraph" w:styleId="849">
    <w:name w:val="toc 9"/>
    <w:basedOn w:val="852"/>
    <w:next w:val="852"/>
    <w:uiPriority w:val="39"/>
    <w:unhideWhenUsed/>
    <w:pPr>
      <w:ind w:left="2268" w:right="0" w:firstLine="0"/>
      <w:spacing w:after="57"/>
    </w:pPr>
  </w:style>
  <w:style w:type="paragraph" w:styleId="850">
    <w:name w:val="TOC Heading"/>
    <w:uiPriority w:val="39"/>
    <w:unhideWhenUsed/>
  </w:style>
  <w:style w:type="paragraph" w:styleId="851">
    <w:name w:val="table of figures"/>
    <w:basedOn w:val="852"/>
    <w:next w:val="852"/>
    <w:uiPriority w:val="99"/>
    <w:unhideWhenUsed/>
    <w:pPr>
      <w:spacing w:after="0" w:afterAutospacing="0"/>
    </w:pPr>
  </w:style>
  <w:style w:type="paragraph" w:styleId="852" w:default="1">
    <w:name w:val="Normal"/>
    <w:qFormat/>
    <w:pPr>
      <w:spacing w:after="200" w:line="276" w:lineRule="auto"/>
    </w:pPr>
    <w:rPr>
      <w:rFonts w:ascii="Calibri" w:hAnsi="Calibri" w:eastAsia="Calibri" w:cs="Times New Roman"/>
    </w:rPr>
  </w:style>
  <w:style w:type="character" w:styleId="853" w:default="1">
    <w:name w:val="Default Paragraph Font"/>
    <w:uiPriority w:val="1"/>
    <w:semiHidden/>
    <w:unhideWhenUsed/>
  </w:style>
  <w:style w:type="table" w:styleId="85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55" w:default="1">
    <w:name w:val="No List"/>
    <w:uiPriority w:val="99"/>
    <w:semiHidden/>
    <w:unhideWhenUsed/>
  </w:style>
  <w:style w:type="paragraph" w:styleId="856" w:customStyle="1">
    <w:name w:val="ConsPlusNormal"/>
    <w:pPr>
      <w:ind w:firstLine="720"/>
      <w:spacing w:after="0" w:line="240" w:lineRule="auto"/>
      <w:widowControl w:val="off"/>
    </w:pPr>
    <w:rPr>
      <w:rFonts w:ascii="Arial" w:hAnsi="Arial" w:eastAsia="Times New Roman" w:cs="Arial"/>
      <w:sz w:val="20"/>
      <w:szCs w:val="20"/>
      <w:lang w:eastAsia="ru-RU"/>
    </w:rPr>
  </w:style>
  <w:style w:type="character" w:styleId="857">
    <w:name w:val="Hyperlink"/>
    <w:uiPriority w:val="99"/>
    <w:semiHidden/>
    <w:unhideWhenUsed/>
    <w:rPr>
      <w:rFonts w:hint="default" w:ascii="Times New Roman" w:hAnsi="Times New Roman" w:cs="Times New Roman"/>
      <w:color w:val="0000ff"/>
      <w:u w:val="single"/>
    </w:rPr>
  </w:style>
  <w:style w:type="character" w:styleId="858" w:customStyle="1">
    <w:name w:val="Абзац списка Знак"/>
    <w:link w:val="859"/>
    <w:uiPriority w:val="34"/>
  </w:style>
  <w:style w:type="paragraph" w:styleId="859">
    <w:name w:val="List Paragraph"/>
    <w:basedOn w:val="852"/>
    <w:link w:val="858"/>
    <w:uiPriority w:val="34"/>
    <w:qFormat/>
    <w:pPr>
      <w:contextualSpacing/>
      <w:ind w:left="720"/>
    </w:pPr>
    <w:rPr>
      <w:rFonts w:asciiTheme="minorHAnsi" w:hAnsiTheme="minorHAnsi" w:eastAsiaTheme="minorHAnsi" w:cstheme="minorBidi"/>
    </w:rPr>
  </w:style>
  <w:style w:type="paragraph" w:styleId="860" w:customStyle="1">
    <w:name w:val="variable"/>
    <w:basedOn w:val="852"/>
    <w:pPr>
      <w:spacing w:after="0" w:line="240" w:lineRule="auto"/>
    </w:pPr>
    <w:rPr>
      <w:rFonts w:ascii="Times New Roman" w:hAnsi="Times New Roman" w:eastAsia="Times New Roman"/>
      <w:b/>
      <w:sz w:val="24"/>
      <w:szCs w:val="24"/>
      <w:lang w:eastAsia="ru-RU"/>
    </w:rPr>
  </w:style>
  <w:style w:type="paragraph" w:styleId="861">
    <w:name w:val="Balloon Text"/>
    <w:basedOn w:val="852"/>
    <w:link w:val="862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62" w:customStyle="1">
    <w:name w:val="Текст выноски Знак"/>
    <w:basedOn w:val="853"/>
    <w:link w:val="861"/>
    <w:uiPriority w:val="99"/>
    <w:semiHidden/>
    <w:rPr>
      <w:rFonts w:ascii="Segoe UI" w:hAnsi="Segoe UI" w:eastAsia="Calibri" w:cs="Segoe UI"/>
      <w:sz w:val="18"/>
      <w:szCs w:val="18"/>
    </w:rPr>
  </w:style>
  <w:style w:type="table" w:styleId="863">
    <w:name w:val="Table Grid"/>
    <w:basedOn w:val="854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64">
    <w:name w:val="Header"/>
    <w:basedOn w:val="852"/>
    <w:link w:val="865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65" w:customStyle="1">
    <w:name w:val="Верхний колонтитул Знак"/>
    <w:basedOn w:val="853"/>
    <w:link w:val="864"/>
    <w:uiPriority w:val="99"/>
    <w:rPr>
      <w:rFonts w:ascii="Calibri" w:hAnsi="Calibri" w:eastAsia="Calibri" w:cs="Times New Roman"/>
    </w:rPr>
  </w:style>
  <w:style w:type="paragraph" w:styleId="866">
    <w:name w:val="Footer"/>
    <w:basedOn w:val="852"/>
    <w:link w:val="867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867" w:customStyle="1">
    <w:name w:val="Нижний колонтитул Знак"/>
    <w:basedOn w:val="853"/>
    <w:link w:val="866"/>
    <w:uiPriority w:val="99"/>
    <w:rPr>
      <w:rFonts w:ascii="Calibri" w:hAnsi="Calibri" w:eastAsia="Calibri" w:cs="Times New Roma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hyperlink" Target="https://utp.sberbank-ast.ru/Main/Notice/988/Reglament" TargetMode="External"/><Relationship Id="rId12" Type="http://schemas.openxmlformats.org/officeDocument/2006/relationships/hyperlink" Target="https://utp.sberbank-ast.ru/AP/Notice/1027/Instructions" TargetMode="External"/><Relationship Id="rId13" Type="http://schemas.openxmlformats.org/officeDocument/2006/relationships/hyperlink" Target="http://utp.sberbank-ast.ru/AP/Notice/652/Instructions" TargetMode="External"/><Relationship Id="rId14" Type="http://schemas.openxmlformats.org/officeDocument/2006/relationships/hyperlink" Target="http://www.gorodperm.ru" TargetMode="External"/><Relationship Id="rId15" Type="http://schemas.openxmlformats.org/officeDocument/2006/relationships/image" Target="media/image1.emf"/><Relationship Id="rId16" Type="http://schemas.openxmlformats.org/officeDocument/2006/relationships/image" Target="media/image2.emf"/><Relationship Id="rId17" Type="http://schemas.openxmlformats.org/officeDocument/2006/relationships/image" Target="media/image3.emf"/><Relationship Id="rId18" Type="http://schemas.openxmlformats.org/officeDocument/2006/relationships/image" Target="media/image4.jpg"/><Relationship Id="rId19" Type="http://schemas.openxmlformats.org/officeDocument/2006/relationships/image" Target="media/image5.jpg"/><Relationship Id="rId20" Type="http://schemas.openxmlformats.org/officeDocument/2006/relationships/image" Target="media/image6.jpg"/><Relationship Id="rId21" Type="http://schemas.openxmlformats.org/officeDocument/2006/relationships/hyperlink" Target="https://login.consultant.ru/link/?req=doc&amp;base=LAW&amp;n=303084&amp;date=02.07.2024&amp;dst=100012&amp;field=134" TargetMode="External"/><Relationship Id="rId22" Type="http://schemas.openxmlformats.org/officeDocument/2006/relationships/hyperlink" Target="https://login.consultant.ru/link/?req=doc&amp;base=LAW&amp;n=188172&amp;date=02.07.2024&amp;dst=100009&amp;field=134" TargetMode="External"/><Relationship Id="rId23" Type="http://schemas.openxmlformats.org/officeDocument/2006/relationships/hyperlink" Target="https://login.consultant.ru/link/?req=doc&amp;base=RLAW368&amp;n=184611&amp;date=02.07.2024" TargetMode="External"/><Relationship Id="rId24" Type="http://schemas.openxmlformats.org/officeDocument/2006/relationships/hyperlink" Target="https://login.consultant.ru/link/?req=doc&amp;base=RLAW368&amp;n=166268&amp;date=02.07.2024&amp;dst=101188&amp;field=134" TargetMode="External"/><Relationship Id="rId25" Type="http://schemas.openxmlformats.org/officeDocument/2006/relationships/hyperlink" Target="https://login.consultant.ru/link/?req=doc&amp;base=LAW&amp;n=477383&amp;date=02.07.2024" TargetMode="External"/><Relationship Id="rId26" Type="http://schemas.openxmlformats.org/officeDocument/2006/relationships/hyperlink" Target="https://login.consultant.ru/link/?req=doc&amp;base=LAW&amp;n=303084&amp;date=02.07.2024&amp;dst=100012&amp;field=134" TargetMode="External"/><Relationship Id="rId27" Type="http://schemas.openxmlformats.org/officeDocument/2006/relationships/hyperlink" Target="https://login.consultant.ru/link/?req=doc&amp;base=LAW&amp;n=188172&amp;date=02.07.2024&amp;dst=100009&amp;field=134" TargetMode="External"/><Relationship Id="rId28" Type="http://schemas.openxmlformats.org/officeDocument/2006/relationships/hyperlink" Target="https://login.consultant.ru/link/?req=doc&amp;base=RLAW368&amp;n=184611&amp;date=02.07.2024" TargetMode="External"/><Relationship Id="rId29" Type="http://schemas.openxmlformats.org/officeDocument/2006/relationships/hyperlink" Target="https://login.consultant.ru/link/?req=doc&amp;base=LAW&amp;n=303084&amp;date=02.07.2024&amp;dst=100012&amp;field=134" TargetMode="External"/><Relationship Id="rId30" Type="http://schemas.openxmlformats.org/officeDocument/2006/relationships/hyperlink" Target="https://login.consultant.ru/link/?req=doc&amp;base=LAW&amp;n=188172&amp;date=02.07.2024&amp;dst=100009&amp;field=134" TargetMode="External"/><Relationship Id="rId31" Type="http://schemas.openxmlformats.org/officeDocument/2006/relationships/hyperlink" Target="https://login.consultant.ru/link/?req=doc&amp;base=RLAW368&amp;n=184611&amp;date=02.07.2024" TargetMode="External"/><Relationship Id="rId32" Type="http://schemas.openxmlformats.org/officeDocument/2006/relationships/hyperlink" Target="https://login.consultant.ru/link/?req=doc&amp;base=RLAW368&amp;n=166268&amp;date=02.07.2024&amp;dst=101188&amp;field=134" TargetMode="External"/><Relationship Id="rId33" Type="http://schemas.openxmlformats.org/officeDocument/2006/relationships/hyperlink" Target="https://login.consultant.ru/link/?req=doc&amp;base=LAW&amp;n=477383&amp;date=02.07.2024" TargetMode="External"/><Relationship Id="rId34" Type="http://schemas.openxmlformats.org/officeDocument/2006/relationships/hyperlink" Target="https://login.consultant.ru/link/?req=doc&amp;base=LAW&amp;n=303084&amp;date=02.07.2024&amp;dst=100012&amp;field=134" TargetMode="External"/><Relationship Id="rId35" Type="http://schemas.openxmlformats.org/officeDocument/2006/relationships/hyperlink" Target="https://login.consultant.ru/link/?req=doc&amp;base=LAW&amp;n=188172&amp;date=02.07.2024&amp;dst=100009&amp;field=134" TargetMode="External"/><Relationship Id="rId36" Type="http://schemas.openxmlformats.org/officeDocument/2006/relationships/hyperlink" Target="https://login.consultant.ru/link/?req=doc&amp;base=RLAW368&amp;n=184611&amp;date=02.07.2024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6A314-9C5F-4258-B677-4A21363D1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Р7-Офис/2024.3.1.487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Нестерова Мария Сергеевна</dc:creator>
  <cp:keywords/>
  <dc:description/>
  <cp:revision>58</cp:revision>
  <dcterms:created xsi:type="dcterms:W3CDTF">2024-02-07T07:29:00Z</dcterms:created>
  <dcterms:modified xsi:type="dcterms:W3CDTF">2024-09-24T04:41:15Z</dcterms:modified>
</cp:coreProperties>
</file>