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w:t>
      </w:r>
    </w:p>
    <w:p>
      <w:pPr>
        <w:pStyle w:val="Normal"/>
        <w:tabs>
          <w:tab w:val="clear" w:pos="708"/>
          <w:tab w:val="left" w:pos="4732" w:leader="none"/>
        </w:tabs>
        <w:spacing w:lineRule="exact" w:line="240"/>
        <w:ind w:firstLine="5670"/>
        <w:rPr>
          <w:sz w:val="28"/>
          <w:szCs w:val="28"/>
        </w:rPr>
      </w:pPr>
      <w:r>
        <w:rPr>
          <w:sz w:val="28"/>
          <w:szCs w:val="28"/>
        </w:rPr>
        <w:t>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24.10.2024 № 059-19-01-11-105</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28.11.2024 электронных аукционов на право заключения договоров аренды 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на право заключения договоров аренды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(далее – комиссия), </w:t>
      </w:r>
      <w:r>
        <w:rPr>
          <w:rFonts w:eastAsia="Courier New"/>
          <w:color w:val="000000"/>
          <w:lang w:bidi="ru-RU"/>
        </w:rPr>
        <w:t>р</w:t>
      </w:r>
      <w:r>
        <w:rPr>
          <w:shd w:fill="FFFFFF" w:val="clear"/>
        </w:rPr>
        <w:t>егламентом электронной площадки АО «Сбербанк-АСТ»</w:t>
      </w:r>
      <w:r>
        <w:rPr/>
        <w:t>.</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bCs/>
          <w:lang w:val="en-US"/>
        </w:rPr>
        <w:t>dzo</w:t>
      </w:r>
      <w:r>
        <w:rPr>
          <w:bCs/>
        </w:rPr>
        <w:t>@</w:t>
      </w:r>
      <w:r>
        <w:rPr>
          <w:bCs/>
          <w:lang w:val="en-US"/>
        </w:rPr>
        <w:t>gorodperm</w:t>
      </w:r>
      <w:r>
        <w:rPr>
          <w:bCs/>
        </w:rPr>
        <w:t>.</w:t>
      </w:r>
      <w:r>
        <w:rPr>
          <w:bCs/>
          <w:lang w:val="en-US"/>
        </w:rPr>
        <w:t>ru</w:t>
      </w:r>
      <w:r>
        <w:rPr>
          <w:bCs/>
        </w:rPr>
        <w:t>.</w:t>
      </w:r>
    </w:p>
    <w:p>
      <w:pPr>
        <w:pStyle w:val="Normal"/>
        <w:numPr>
          <w:ilvl w:val="0"/>
          <w:numId w:val="0"/>
        </w:numPr>
        <w:tabs>
          <w:tab w:val="clear" w:pos="708"/>
          <w:tab w:val="left" w:pos="9355" w:leader="none"/>
        </w:tabs>
        <w:ind w:firstLine="567" w:left="-567"/>
        <w:jc w:val="both"/>
        <w:outlineLvl w:val="0"/>
        <w:rPr>
          <w:b/>
          <w:bCs/>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Cs/>
          <w:sz w:val="24"/>
          <w:szCs w:val="24"/>
        </w:rPr>
        <w:t xml:space="preserve"> </w:t>
      </w:r>
      <w:r>
        <w:rPr>
          <w:bCs/>
          <w:sz w:val="24"/>
          <w:szCs w:val="24"/>
          <w:lang w:val="en-US"/>
        </w:rPr>
        <w:t>dio</w:t>
      </w:r>
      <w:r>
        <w:rPr>
          <w:bCs/>
          <w:sz w:val="24"/>
          <w:szCs w:val="24"/>
        </w:rPr>
        <w:t>@</w:t>
      </w:r>
      <w:r>
        <w:rPr>
          <w:bCs/>
          <w:sz w:val="24"/>
          <w:szCs w:val="24"/>
          <w:lang w:val="en-US"/>
        </w:rPr>
        <w:t>perm</w:t>
      </w:r>
      <w:r>
        <w:rPr>
          <w:bCs/>
          <w:sz w:val="24"/>
          <w:szCs w:val="24"/>
        </w:rPr>
        <w:t>.</w:t>
      </w:r>
      <w:r>
        <w:rPr>
          <w:bCs/>
          <w:sz w:val="24"/>
          <w:szCs w:val="24"/>
          <w:lang w:val="en-US"/>
        </w:rPr>
        <w:t>permkrai</w:t>
      </w:r>
      <w:r>
        <w:rPr>
          <w:bCs/>
          <w:sz w:val="24"/>
          <w:szCs w:val="24"/>
        </w:rPr>
        <w:t>.</w:t>
      </w:r>
      <w:r>
        <w:rPr>
          <w:bCs/>
          <w:sz w:val="24"/>
          <w:szCs w:val="24"/>
          <w:lang w:val="en-US"/>
        </w:rPr>
        <w:t>ru.</w:t>
      </w:r>
    </w:p>
    <w:p>
      <w:pPr>
        <w:pStyle w:val="Normal"/>
        <w:numPr>
          <w:ilvl w:val="0"/>
          <w:numId w:val="0"/>
        </w:numPr>
        <w:tabs>
          <w:tab w:val="clear" w:pos="708"/>
          <w:tab w:val="left" w:pos="9355" w:leader="none"/>
        </w:tabs>
        <w:ind w:firstLine="567" w:left="-567"/>
        <w:jc w:val="both"/>
        <w:outlineLvl w:val="0"/>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4"/>
        </w:rPr>
        <w:t>24.10.2024 № 059-19-01-11-105.</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в государственной информационной системе «Официальный сайт Российской Федерации в информационно-телекоммуникационной сети «Интернет» </w:t>
      </w:r>
      <w:hyperlink r:id="rId2" w:tgtFrame="http://www.torgi.gov.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torgi</w:t>
        </w:r>
        <w:r>
          <w:rPr>
            <w:rStyle w:val="ListLabel28"/>
            <w:color w:val="0000FF"/>
            <w:sz w:val="24"/>
            <w:szCs w:val="24"/>
            <w:u w:val="single"/>
            <w:lang w:val="ru-RU"/>
          </w:rPr>
          <w:t>.</w:t>
        </w:r>
        <w:r>
          <w:rPr>
            <w:rStyle w:val="ListLabel28"/>
            <w:color w:val="0000FF"/>
            <w:sz w:val="24"/>
            <w:szCs w:val="24"/>
            <w:u w:val="single"/>
          </w:rPr>
          <w:t>gov</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на официальном сайте муниципального образования город Пермь в информационно-телекоммуникационной сети Интернет </w:t>
      </w:r>
      <w:hyperlink r:id="rId3" w:tgtFrame="http://www.gorodperm.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gorodperm</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b/>
          <w:bCs/>
        </w:rPr>
      </w:pPr>
      <w:r>
        <w:rPr>
          <w:b/>
          <w:bCs/>
        </w:rPr>
        <w:t xml:space="preserve">Орган, уполномоченный на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r>
        <w:rPr>
          <w:bCs/>
        </w:rPr>
        <w:t>департамент земельных отношений администрации города Перми, 614015, г. Пермь, ул.Сибирская,15, телефон 212-61-90 (отдел договоров).</w:t>
      </w:r>
    </w:p>
    <w:p>
      <w:pPr>
        <w:pStyle w:val="Normal"/>
        <w:widowControl w:val="false"/>
        <w:jc w:val="both"/>
        <w:rPr>
          <w:b/>
          <w:bCs/>
        </w:rPr>
      </w:pPr>
      <w:r>
        <w:rPr>
          <w:b/>
          <w:bCs/>
        </w:rPr>
      </w:r>
    </w:p>
    <w:p>
      <w:pPr>
        <w:pStyle w:val="PlainText"/>
        <w:spacing w:lineRule="exact" w:line="240"/>
        <w:ind w:hanging="1134" w:left="1134"/>
        <w:jc w:val="center"/>
        <w:rPr>
          <w:b/>
          <w:bCs/>
          <w:lang w:val="ru-RU"/>
        </w:rPr>
      </w:pPr>
      <w:r>
        <w:rPr>
          <w:b/>
          <w:bCs/>
          <w:lang w:val="ru-RU"/>
        </w:rPr>
      </w:r>
    </w:p>
    <w:p>
      <w:pPr>
        <w:pStyle w:val="PlainText"/>
        <w:spacing w:lineRule="exact" w:line="240"/>
        <w:ind w:hanging="1134" w:left="1134"/>
        <w:jc w:val="center"/>
        <w:rPr>
          <w:rFonts w:ascii="Times New Roman" w:hAnsi="Times New Roman" w:cs="Times New Roman"/>
          <w:b/>
          <w:bCs/>
          <w:sz w:val="28"/>
          <w:szCs w:val="28"/>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bCs/>
        </w:rPr>
      </w:pPr>
      <w:r>
        <w:rPr>
          <w:b/>
          <w:bCs/>
        </w:rPr>
      </w:r>
    </w:p>
    <w:p>
      <w:pPr>
        <w:pStyle w:val="Normal"/>
        <w:tabs>
          <w:tab w:val="clear" w:pos="708"/>
          <w:tab w:val="left" w:pos="5103" w:leader="none"/>
        </w:tabs>
        <w:ind w:right="-263"/>
        <w:rPr>
          <w:sz w:val="20"/>
          <w:szCs w:val="20"/>
        </w:rPr>
      </w:pPr>
      <w:r>
        <w:rPr>
          <w:b/>
          <w:lang w:val="en-US"/>
        </w:rPr>
        <w:t>Лот № 1</w:t>
      </w:r>
    </w:p>
    <w:tbl>
      <w:tblPr>
        <w:tblW w:w="5000" w:type="pct"/>
        <w:jc w:val="left"/>
        <w:tblInd w:w="-606" w:type="dxa"/>
        <w:tblLayout w:type="fixed"/>
        <w:tblCellMar>
          <w:top w:w="0" w:type="dxa"/>
          <w:left w:w="108" w:type="dxa"/>
          <w:bottom w:w="0" w:type="dxa"/>
          <w:right w:w="108" w:type="dxa"/>
        </w:tblCellMar>
        <w:tblLook w:val="04a0" w:noHBand="0" w:noVBand="1" w:firstColumn="1" w:lastRow="0" w:lastColumn="0" w:firstRow="1"/>
      </w:tblPr>
      <w:tblGrid>
        <w:gridCol w:w="327"/>
        <w:gridCol w:w="2756"/>
        <w:gridCol w:w="6838"/>
      </w:tblGrid>
      <w:tr>
        <w:trPr>
          <w:trHeight w:val="426"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20 августа 2024 г. № 21-01-03-7626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381" w:hRule="atLeast"/>
        </w:trPr>
        <w:tc>
          <w:tcPr>
            <w:tcW w:w="32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 Пермский, г. Пермь, ул. Кизеловская, зу 14</w:t>
            </w:r>
          </w:p>
        </w:tc>
      </w:tr>
      <w:tr>
        <w:trPr>
          <w:trHeight w:val="32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593 кв. м</w:t>
            </w:r>
          </w:p>
        </w:tc>
      </w:tr>
      <w:tr>
        <w:trPr>
          <w:trHeight w:val="34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59:01:3812828:132</w:t>
            </w:r>
          </w:p>
        </w:tc>
      </w:tr>
      <w:tr>
        <w:trPr>
          <w:trHeight w:val="28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232"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04.10.2024г.                    № КУВИ-001/2024-246297716;</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19.01.2024 № РФ-59-2-03-0-00-2024-0067-0 (далее – ГПЗУ).</w:t>
            </w:r>
          </w:p>
          <w:p>
            <w:pPr>
              <w:pStyle w:val="BodyText"/>
              <w:ind w:firstLine="709"/>
              <w:jc w:val="both"/>
              <w:rPr>
                <w:sz w:val="24"/>
                <w:szCs w:val="24"/>
              </w:rPr>
            </w:pPr>
            <w:r>
              <w:rPr>
                <w:color w:val="000000"/>
                <w:sz w:val="24"/>
                <w:szCs w:val="24"/>
              </w:rPr>
              <w:t xml:space="preserve">Согласно сведениям, содержащимся в ЕГРН, </w:t>
              <w:br/>
              <w:t xml:space="preserve"> в границах Участка расположен объект капитального строительства с кадастровым номером 59:01:0000000:77564 –электросетевой комплекс «Подстанция 110/6 кВ «Северная» с линиями электропередачи, трансформаторными подстанциями </w:t>
              <w:br/>
              <w:t xml:space="preserve"> и распределительными пунктами», находящийся </w:t>
              <w:br/>
              <w:t> в собственности ОАО «МРСК Урала».</w:t>
            </w:r>
          </w:p>
          <w:p>
            <w:pPr>
              <w:pStyle w:val="BodyText"/>
              <w:spacing w:before="0" w:after="0"/>
              <w:ind w:firstLine="311" w:left="0" w:right="0"/>
              <w:jc w:val="both"/>
              <w:rPr/>
            </w:pPr>
            <w:r>
              <w:rPr>
                <w:color w:val="000000"/>
                <w:sz w:val="24"/>
              </w:rPr>
              <w:t xml:space="preserve">Согласно подпункту 8 пункта 8 статьи 39.11 Кодекса земельный участок, находящийся в государственной </w:t>
              <w:br/>
              <w:t xml:space="preserve">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br/>
              <w:t> со статьей 39.36 Кодекса.</w:t>
            </w:r>
          </w:p>
          <w:p>
            <w:pPr>
              <w:pStyle w:val="BodyText"/>
              <w:spacing w:before="0" w:after="0"/>
              <w:ind w:firstLine="311" w:left="0" w:right="0"/>
              <w:jc w:val="both"/>
              <w:rPr/>
            </w:pPr>
            <w:r>
              <w:rPr>
                <w:color w:val="000000"/>
                <w:sz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По данным геодезической съемки в границах Участка частично расположен забор, жилое строение, некапитальное строение, сеть электроснабжения, насыпь щебня.</w:t>
            </w:r>
          </w:p>
          <w:p>
            <w:pPr>
              <w:pStyle w:val="BodyText"/>
              <w:spacing w:before="0" w:after="0"/>
              <w:ind w:firstLine="362" w:left="0" w:right="0"/>
              <w:jc w:val="both"/>
              <w:rPr>
                <w:rFonts w:ascii="Times New Roman" w:hAnsi="Times New Roman"/>
                <w:color w:val="000000"/>
                <w:sz w:val="24"/>
                <w:szCs w:val="24"/>
              </w:rPr>
            </w:pPr>
            <w:r>
              <w:rPr>
                <w:color w:val="000000"/>
                <w:sz w:val="24"/>
                <w:szCs w:val="24"/>
              </w:rPr>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 </w:t>
            </w:r>
            <w:r>
              <w:rPr>
                <w:color w:val="000000"/>
                <w:sz w:val="24"/>
              </w:rPr>
              <w:t>Участок с северной и восточной стороны огорожен деревянным забором, с южной стороны расположена часть деревянного забора, доступ не ограничен, рельеф Участка ровный. На Участке произрастают низкорослые кустарники. В пределах видимости выявлен самовольно возведенный объект. Орджоникидзевским районным судом города Перми вынесено заочное решение о признании постройки самовольной и ее сносе</w:t>
            </w:r>
            <w:r>
              <w:rPr>
                <w:color w:val="000000"/>
              </w:rPr>
              <w:t xml:space="preserve"> </w:t>
            </w:r>
            <w:r>
              <w:rPr>
                <w:color w:val="000000"/>
                <w:sz w:val="24"/>
              </w:rPr>
              <w:t>(гражданское дело № 2-1065-2024 от 21.03.2024).</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(Аналогичная информация отражена в письме  </w:t>
            </w:r>
            <w:r>
              <w:rPr>
                <w:b/>
                <w:color w:val="000000"/>
                <w:sz w:val="24"/>
              </w:rPr>
              <w:t>администрации Орджоникидзевского района города Перми</w:t>
            </w:r>
            <w:r>
              <w:rPr>
                <w:color w:val="000000"/>
              </w:rPr>
              <w:t> </w:t>
            </w:r>
            <w:r>
              <w:rPr>
                <w:color w:val="000000"/>
                <w:sz w:val="24"/>
              </w:rPr>
              <w:t>от 23.07.2024 № 059-37-01-32/3-2949, акте обследования от 12.07.2024 № 190).</w:t>
            </w:r>
          </w:p>
          <w:p>
            <w:pPr>
              <w:pStyle w:val="BodyText"/>
              <w:spacing w:before="0" w:after="0"/>
              <w:ind w:firstLine="311" w:left="0" w:right="0"/>
              <w:jc w:val="both"/>
              <w:rPr/>
            </w:pPr>
            <w:r>
              <w:rPr/>
            </w:r>
          </w:p>
          <w:p>
            <w:pPr>
              <w:pStyle w:val="BodyText"/>
              <w:spacing w:before="0" w:after="0"/>
              <w:ind w:firstLine="311" w:left="0" w:right="0"/>
              <w:jc w:val="both"/>
              <w:rPr>
                <w:rFonts w:ascii="Times New Roman" w:hAnsi="Times New Roman"/>
                <w:color w:val="000000"/>
                <w:sz w:val="24"/>
                <w:szCs w:val="24"/>
                <w:highlight w:val="none"/>
              </w:rPr>
            </w:pPr>
            <w:r>
              <w:rPr>
                <w:b/>
                <w:color w:val="000000"/>
                <w:sz w:val="24"/>
              </w:rPr>
              <w:t>В соответствии с пп. 8 п. 8 ст. 39.11 ЗК РФ</w:t>
            </w:r>
            <w:r>
              <w:rPr>
                <w:color w:val="000000"/>
              </w:rPr>
              <w:t xml:space="preserve"> </w:t>
            </w:r>
            <w:r>
              <w:rPr>
                <w:color w:val="000000"/>
                <w:sz w:val="24"/>
              </w:rPr>
              <w:t>Участок, находящийся в государственной или муниципальной собственности, не может быть предметом аукциона, если на Участке расположены здание, сооружение, объект незавершенного строительства, принадлежащие гражданам или юридическим лицам, за исключением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w:t>
            </w:r>
          </w:p>
          <w:p>
            <w:pPr>
              <w:pStyle w:val="BodyText"/>
              <w:spacing w:before="0" w:after="0"/>
              <w:ind w:firstLine="311" w:left="0" w:right="0"/>
              <w:jc w:val="both"/>
              <w:rPr/>
            </w:pPr>
            <w:r>
              <w:rPr>
                <w:color w:val="000000"/>
                <w:sz w:val="24"/>
              </w:rPr>
              <w:t>В связи с</w:t>
            </w:r>
            <w:r>
              <w:rPr>
                <w:color w:val="000000"/>
              </w:rPr>
              <w:t xml:space="preserve"> </w:t>
            </w:r>
            <w:r>
              <w:rPr>
                <w:color w:val="000000"/>
                <w:sz w:val="24"/>
              </w:rPr>
              <w:t>тем, что самовольные постройки</w:t>
            </w:r>
            <w:r>
              <w:rPr>
                <w:color w:val="000000"/>
              </w:rPr>
              <w:t xml:space="preserve"> </w:t>
            </w:r>
            <w:r>
              <w:rPr>
                <w:color w:val="000000"/>
                <w:sz w:val="24"/>
              </w:rPr>
              <w:t xml:space="preserve">согласно акту администрации Орджоникидзевского района </w:t>
              <w:br/>
              <w:t> от 12.07.2024 № 190 не демонтированы,</w:t>
            </w:r>
            <w:r>
              <w:rPr>
                <w:color w:val="000000"/>
              </w:rPr>
              <w:t> </w:t>
            </w:r>
            <w:r>
              <w:rPr>
                <w:b/>
                <w:color w:val="000000"/>
                <w:sz w:val="24"/>
              </w:rPr>
              <w:t>Участок предоставляется в аренду, победитель аукциона обязан за свой счет и (или) с привлечением средств других лиц осуществить снос самовольных построек в срок, не превышающий 12 месяцев, в отношении которых было принято решение о сносе самовольной постройки.</w:t>
            </w:r>
          </w:p>
          <w:p>
            <w:pPr>
              <w:pStyle w:val="BodyText"/>
              <w:spacing w:before="0" w:after="0"/>
              <w:ind w:firstLine="311" w:left="0" w:right="0"/>
              <w:jc w:val="both"/>
              <w:rPr/>
            </w:pPr>
            <w:r>
              <w:rPr>
                <w:color w:val="000000"/>
                <w:sz w:val="24"/>
              </w:rPr>
              <w:t xml:space="preserve">По части земельного участка проходит электросетевой комплекс «Подстанция 110/6 кВ «Северная» с линиями электропередачи, трансформаторными подстанциями </w:t>
              <w:br/>
              <w:t> и распределительными пунктами».</w:t>
            </w:r>
          </w:p>
          <w:p>
            <w:pPr>
              <w:pStyle w:val="BodyText"/>
              <w:spacing w:before="0" w:after="0"/>
              <w:ind w:firstLine="311" w:left="0" w:right="0"/>
              <w:jc w:val="both"/>
              <w:rPr/>
            </w:pPr>
            <w:r>
              <w:rPr>
                <w:color w:val="000000"/>
                <w:sz w:val="24"/>
              </w:rPr>
              <w:t xml:space="preserve">Согласно сведениям, предоставленным отделением надзорной деятельности и профилактической работы </w:t>
              <w:br/>
              <w:t xml:space="preserve"> г. Перми по Орджоникидзевскому району 1 ОНПР </w:t>
              <w:br/>
              <w:t xml:space="preserve"> по городу Перми УНПР Главного управления МЧС России по Пермскому краю, близлежащий пожарный резервуар расположен по адресу: Пермский край, </w:t>
              <w:br/>
              <w:t> г. Пермь, Орджоникидзевский район, ул. Соликамская, 280.</w:t>
            </w:r>
          </w:p>
          <w:p>
            <w:pPr>
              <w:pStyle w:val="BodyText"/>
              <w:spacing w:before="0" w:after="0"/>
              <w:ind w:firstLine="362" w:left="0" w:right="0"/>
              <w:jc w:val="both"/>
              <w:rPr/>
            </w:pPr>
            <w:r>
              <w:rPr>
                <w:color w:val="000000"/>
                <w:sz w:val="24"/>
              </w:rPr>
              <w:t xml:space="preserve">Согласно сведениям, содержащимся в ГПЗУ, ЕГРН </w:t>
              <w:br/>
              <w:t> и справке по градостроительным условиям от 04.10.2024 608513, Участок расположен в границах зон с особыми условиями использования территории:</w:t>
            </w:r>
          </w:p>
          <w:p>
            <w:pPr>
              <w:pStyle w:val="BodyText"/>
              <w:spacing w:before="0" w:after="0"/>
              <w:ind w:firstLine="311" w:left="0" w:right="0"/>
              <w:jc w:val="both"/>
              <w:rPr/>
            </w:pPr>
            <w:r>
              <w:rPr>
                <w:color w:val="000000"/>
                <w:sz w:val="24"/>
              </w:rPr>
              <w:t xml:space="preserve">полностью в Приаэродромной территории аэродрома аэропорта Большое Савино, реестровый номер границы 59:32-6.553. Проектирование и строительство вести </w:t>
              <w:br/>
              <w:t>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11" w:left="0" w:right="0"/>
              <w:jc w:val="both"/>
              <w:rPr>
                <w:rFonts w:ascii="Times New Roman" w:hAnsi="Times New Roman"/>
                <w:color w:val="000000"/>
                <w:sz w:val="24"/>
                <w:szCs w:val="24"/>
              </w:rPr>
            </w:pPr>
            <w:r>
              <w:rPr>
                <w:color w:val="000000"/>
                <w:sz w:val="24"/>
              </w:rPr>
              <w:t xml:space="preserve">частично в охранной зоне ВЛ 0,4 кВ от ТП4383, </w:t>
              <w:br/>
              <w:t xml:space="preserve"> от ТП4384, от ТП4385, от ТП4386, КЛ 0,4 кВ от ТП4383, от ТП4385, от ТП4386 (электросетевой комплекс «Подстанция 110/6кВ «Северная» с линиями электропередачи, трансформаторными подстанциями </w:t>
              <w:br/>
              <w:t> и распределительными пунктами) (площадь пересечения 122  кв. м, реестровый номер границы 59.01.2.179).</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При проектировании и строительстве необходимо учитывать требования постановления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1" w:left="0" w:right="0"/>
              <w:jc w:val="both"/>
              <w:rPr/>
            </w:pPr>
            <w:r>
              <w:rPr/>
            </w:r>
          </w:p>
          <w:p>
            <w:pPr>
              <w:pStyle w:val="BodyText"/>
              <w:ind w:firstLine="709"/>
              <w:jc w:val="both"/>
              <w:rPr>
                <w:sz w:val="24"/>
                <w:szCs w:val="24"/>
              </w:rPr>
            </w:pPr>
            <w:r>
              <w:rPr>
                <w:color w:val="000000"/>
                <w:sz w:val="24"/>
                <w:szCs w:val="24"/>
              </w:rPr>
              <w:t>На Участке произрастает 1 дерево породы «тополь».</w:t>
            </w:r>
          </w:p>
          <w:p>
            <w:pPr>
              <w:pStyle w:val="BodyText"/>
              <w:spacing w:before="0" w:after="0"/>
              <w:ind w:firstLine="362" w:left="0" w:right="0"/>
              <w:jc w:val="both"/>
              <w:rPr>
                <w:rFonts w:ascii="Times New Roman" w:hAnsi="Times New Roman"/>
                <w:color w:val="000000"/>
                <w:sz w:val="24"/>
              </w:rPr>
            </w:pP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spacing w:before="0" w:after="0"/>
              <w:ind w:firstLine="362" w:left="0" w:right="0"/>
              <w:jc w:val="both"/>
              <w:rPr/>
            </w:pPr>
            <w:r>
              <w:rPr>
                <w:color w:val="000000"/>
                <w:sz w:val="24"/>
              </w:rPr>
              <w:t xml:space="preserve">1. Нанесение существующих деревьев </w:t>
              <w:br/>
              <w:t> на стройгенплане;</w:t>
            </w:r>
          </w:p>
          <w:p>
            <w:pPr>
              <w:pStyle w:val="BodyText"/>
              <w:spacing w:before="0" w:after="0"/>
              <w:ind w:firstLine="362" w:left="0" w:right="0"/>
              <w:jc w:val="both"/>
              <w:rPr/>
            </w:pPr>
            <w:r>
              <w:rPr>
                <w:color w:val="000000"/>
                <w:sz w:val="24"/>
              </w:rPr>
              <w:t>2.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spacing w:before="0" w:after="0"/>
              <w:ind w:firstLine="362" w:left="0" w:right="0"/>
              <w:jc w:val="both"/>
              <w:rPr/>
            </w:pPr>
            <w:r>
              <w:rPr>
                <w:color w:val="000000"/>
                <w:sz w:val="24"/>
              </w:rPr>
              <w:t xml:space="preserve">3. Восстановление зеленых насаждений вести </w:t>
              <w:br/>
              <w:t xml:space="preserve"> в соответствии с решением Пермской городской Думы </w:t>
              <w:br/>
              <w:t> от 15.12.2020 № 277;</w:t>
            </w:r>
          </w:p>
          <w:p>
            <w:pPr>
              <w:pStyle w:val="BodyText"/>
              <w:spacing w:before="0" w:after="0"/>
              <w:ind w:firstLine="362" w:left="0" w:right="0"/>
              <w:jc w:val="both"/>
              <w:rPr/>
            </w:pPr>
            <w:r>
              <w:rPr>
                <w:color w:val="000000"/>
                <w:sz w:val="24"/>
              </w:rPr>
              <w:t>4. Сбор и отвод ливневых вод с использованием вариантов решений в зависимости от:</w:t>
            </w:r>
          </w:p>
          <w:p>
            <w:pPr>
              <w:pStyle w:val="BodyText"/>
              <w:spacing w:before="0" w:after="0"/>
              <w:ind w:firstLine="362" w:left="0" w:right="0"/>
              <w:jc w:val="both"/>
              <w:rPr>
                <w:rFonts w:ascii="Times New Roman" w:hAnsi="Times New Roman"/>
                <w:color w:val="000000"/>
                <w:sz w:val="24"/>
              </w:rPr>
            </w:pPr>
            <w:r>
              <w:rPr>
                <w:color w:val="000000"/>
                <w:sz w:val="24"/>
              </w:rPr>
              <w:t>- наличия централизованной системы ливневой канализации;</w:t>
            </w:r>
          </w:p>
          <w:p>
            <w:pPr>
              <w:pStyle w:val="BodyText"/>
              <w:spacing w:before="0" w:after="0"/>
              <w:ind w:firstLine="362" w:left="0" w:right="0"/>
              <w:jc w:val="both"/>
              <w:rPr/>
            </w:pPr>
            <w:r>
              <w:rPr>
                <w:color w:val="000000"/>
                <w:sz w:val="24"/>
              </w:rPr>
              <w:t xml:space="preserve">- площади водосбора с учетом транзитных вод </w:t>
              <w:br/>
              <w:t> с прилегающей территории;</w:t>
            </w:r>
          </w:p>
          <w:p>
            <w:pPr>
              <w:pStyle w:val="BodyText"/>
              <w:spacing w:before="0" w:after="0"/>
              <w:ind w:firstLine="362" w:left="0" w:right="0"/>
              <w:jc w:val="both"/>
              <w:rPr>
                <w:rFonts w:ascii="Times New Roman" w:hAnsi="Times New Roman"/>
                <w:color w:val="000000"/>
                <w:sz w:val="24"/>
              </w:rPr>
            </w:pPr>
            <w:r>
              <w:rPr>
                <w:color w:val="000000"/>
                <w:sz w:val="24"/>
              </w:rPr>
              <w:t>- угла наклона рельефа, включающий прилегающие территории;</w:t>
            </w:r>
          </w:p>
          <w:p>
            <w:pPr>
              <w:pStyle w:val="BodyText"/>
              <w:spacing w:before="0" w:after="0"/>
              <w:ind w:firstLine="362" w:left="0" w:right="0"/>
              <w:jc w:val="both"/>
              <w:rPr/>
            </w:pPr>
            <w:r>
              <w:rPr>
                <w:color w:val="000000"/>
                <w:sz w:val="24"/>
              </w:rPr>
              <w:t xml:space="preserve">применения иных решений равномерного отвода поверхностного стока с запрашиваемой территории </w:t>
              <w:br/>
              <w:t> на прилегающей территории;</w:t>
            </w:r>
          </w:p>
          <w:p>
            <w:pPr>
              <w:pStyle w:val="BodyText"/>
              <w:spacing w:before="0" w:after="0"/>
              <w:ind w:firstLine="362" w:left="0" w:right="0"/>
              <w:jc w:val="both"/>
              <w:rPr/>
            </w:pPr>
            <w:r>
              <w:rPr>
                <w:color w:val="000000"/>
                <w:sz w:val="24"/>
              </w:rPr>
              <w:t xml:space="preserve">применения иных решений равномерного отвода поверхностного стока с запрашиваемой территории </w:t>
              <w:br/>
              <w:t> на прилегающие территории;</w:t>
            </w:r>
          </w:p>
          <w:p>
            <w:pPr>
              <w:pStyle w:val="BodyText"/>
              <w:spacing w:before="0" w:after="0"/>
              <w:ind w:firstLine="362" w:left="0" w:right="0"/>
              <w:jc w:val="both"/>
              <w:rPr/>
            </w:pPr>
            <w:r>
              <w:rPr>
                <w:color w:val="000000"/>
                <w:sz w:val="24"/>
              </w:rPr>
              <w:t xml:space="preserve">5. Определение видов образующих отходов и мест </w:t>
              <w:br/>
              <w:t> их размещения на период эксплуатации;</w:t>
            </w:r>
          </w:p>
          <w:p>
            <w:pPr>
              <w:pStyle w:val="BodyText"/>
              <w:spacing w:before="0" w:after="0"/>
              <w:ind w:firstLine="362" w:left="0" w:right="0"/>
              <w:jc w:val="both"/>
              <w:rPr/>
            </w:pPr>
            <w:r>
              <w:rPr>
                <w:color w:val="000000"/>
                <w:sz w:val="24"/>
              </w:rPr>
              <w:t>6. Конкретные мероприятия по охране окружающей   среды на период строительства, включая:</w:t>
            </w:r>
          </w:p>
          <w:p>
            <w:pPr>
              <w:pStyle w:val="BodyText"/>
              <w:spacing w:before="0" w:after="0"/>
              <w:ind w:firstLine="362" w:left="0" w:right="0"/>
              <w:jc w:val="both"/>
              <w:rPr/>
            </w:pPr>
            <w:r>
              <w:rPr>
                <w:color w:val="000000"/>
                <w:sz w:val="24"/>
              </w:rPr>
              <w:t>- установку временного защитного ограждения строительной площадки;</w:t>
            </w:r>
          </w:p>
          <w:p>
            <w:pPr>
              <w:pStyle w:val="BodyText"/>
              <w:spacing w:before="0" w:after="0"/>
              <w:ind w:firstLine="362" w:left="0" w:right="0"/>
              <w:jc w:val="both"/>
              <w:rPr/>
            </w:pPr>
            <w:r>
              <w:rPr>
                <w:color w:val="000000"/>
                <w:sz w:val="24"/>
              </w:rPr>
              <w:t xml:space="preserve">ограждение существующих зеленых насаждений, </w:t>
              <w:br/>
              <w:t> не попадающих под пятно застройки;</w:t>
            </w:r>
          </w:p>
          <w:p>
            <w:pPr>
              <w:pStyle w:val="BodyText"/>
              <w:spacing w:before="0" w:after="0"/>
              <w:ind w:firstLine="362" w:left="0" w:right="0"/>
              <w:jc w:val="both"/>
              <w:rPr/>
            </w:pPr>
            <w:r>
              <w:rPr>
                <w:color w:val="000000"/>
                <w:sz w:val="24"/>
              </w:rPr>
              <w:t xml:space="preserve">- прокладку коммуникаций осуществлять </w:t>
              <w:br/>
              <w:t xml:space="preserve"> на расстоянии не менее 2 м. от ствола дерева, </w:t>
              <w:br/>
              <w:t> чтобы не повредить корневую систему;</w:t>
            </w:r>
          </w:p>
          <w:p>
            <w:pPr>
              <w:pStyle w:val="BodyText"/>
              <w:spacing w:before="0" w:after="0"/>
              <w:ind w:firstLine="362" w:left="0" w:right="0"/>
              <w:jc w:val="both"/>
              <w:rPr/>
            </w:pPr>
            <w:r>
              <w:rPr>
                <w:color w:val="000000"/>
                <w:sz w:val="24"/>
              </w:rPr>
              <w:t xml:space="preserve">- не использовать приствольные круги существующих деревьев (диаметром 1м) </w:t>
              <w:br/>
              <w:t> под складирование материалов и установки временных сооружений;</w:t>
            </w:r>
          </w:p>
          <w:p>
            <w:pPr>
              <w:pStyle w:val="BodyText"/>
              <w:spacing w:before="0" w:after="0"/>
              <w:ind w:firstLine="362" w:left="0" w:right="0"/>
              <w:jc w:val="both"/>
              <w:rPr/>
            </w:pPr>
            <w:r>
              <w:rPr>
                <w:color w:val="000000"/>
                <w:sz w:val="24"/>
              </w:rPr>
              <w:t>- определение видов и объемов образующихся отходов и мест их размещения;</w:t>
            </w:r>
          </w:p>
          <w:p>
            <w:pPr>
              <w:pStyle w:val="BodyText"/>
              <w:spacing w:before="0" w:after="0"/>
              <w:ind w:firstLine="362" w:left="0" w:right="0"/>
              <w:jc w:val="both"/>
              <w:rPr>
                <w:rFonts w:ascii="Times New Roman" w:hAnsi="Times New Roman"/>
                <w:color w:val="000000"/>
                <w:sz w:val="24"/>
              </w:rPr>
            </w:pPr>
            <w:r>
              <w:rPr>
                <w:color w:val="000000"/>
                <w:sz w:val="24"/>
              </w:rPr>
              <w:t>- систематический вывоз отходов;</w:t>
            </w:r>
          </w:p>
          <w:p>
            <w:pPr>
              <w:pStyle w:val="BodyText"/>
              <w:spacing w:before="0" w:after="0"/>
              <w:ind w:firstLine="362" w:left="0" w:right="0"/>
              <w:jc w:val="both"/>
              <w:rPr/>
            </w:pPr>
            <w:r>
              <w:rPr>
                <w:color w:val="000000"/>
                <w:sz w:val="24"/>
              </w:rPr>
              <w:t xml:space="preserve">- недопущение загрязнения атмосферы, почвы </w:t>
              <w:br/>
              <w:t> и подземных вод;</w:t>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 предотвращение выноса грязи автотранспортом, выезжающим со строительной площадки.</w:t>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 xml:space="preserve">(Аналогичная информация отражена в письме  </w:t>
            </w:r>
            <w:r>
              <w:rPr>
                <w:b/>
                <w:color w:val="000000"/>
                <w:sz w:val="24"/>
                <w:szCs w:val="24"/>
              </w:rPr>
              <w:t>управления по экологии  и</w:t>
            </w:r>
            <w:r>
              <w:rPr>
                <w:color w:val="000000"/>
                <w:sz w:val="24"/>
                <w:szCs w:val="24"/>
              </w:rPr>
              <w:t> </w:t>
            </w:r>
            <w:r>
              <w:rPr>
                <w:b/>
                <w:color w:val="000000"/>
                <w:sz w:val="24"/>
                <w:szCs w:val="24"/>
              </w:rPr>
              <w:t xml:space="preserve">природопользованию администрации города Перми </w:t>
            </w:r>
            <w:r>
              <w:rPr>
                <w:color w:val="000000"/>
                <w:sz w:val="24"/>
                <w:szCs w:val="24"/>
              </w:rPr>
              <w:t>от 17.01.2024 № 059-33-01-10/3-27</w:t>
            </w:r>
            <w:r>
              <w:rPr>
                <w:color w:val="000000"/>
                <w:sz w:val="24"/>
              </w:rPr>
              <w:t>).</w:t>
            </w:r>
          </w:p>
          <w:p>
            <w:pPr>
              <w:pStyle w:val="BodyText"/>
              <w:spacing w:before="0" w:after="0"/>
              <w:ind w:firstLine="362" w:left="0" w:right="0"/>
              <w:jc w:val="both"/>
              <w:rPr>
                <w:rFonts w:ascii="Times New Roman" w:hAnsi="Times New Roman"/>
                <w:color w:val="000000"/>
                <w:sz w:val="24"/>
                <w:szCs w:val="24"/>
              </w:rPr>
            </w:pPr>
            <w:r>
              <w:rPr>
                <w:color w:val="000000"/>
                <w:sz w:val="24"/>
                <w:szCs w:val="24"/>
              </w:rPr>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 xml:space="preserve"> </w:t>
            </w:r>
            <w:r>
              <w:rPr>
                <w:color w:val="000000"/>
                <w:sz w:val="24"/>
              </w:rPr>
              <w:t xml:space="preserve">Участок, схемами водоснабжения и водоотведения города Перми, утвержденными постановлением администрации города Перми от 28.12.2018 № 1085, определена потребность </w:t>
              <w:br/>
              <w:t xml:space="preserve"> в строительстве сетей водоснабжения и водоотведения </w:t>
              <w:br/>
              <w:t> в мкр. Чапаевский, реализация предусмотрена с 2024 года (мероприятия не обеспечены финансированием).</w:t>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 xml:space="preserve">(Аналогичная информация  отражена в письме </w:t>
            </w:r>
            <w:r>
              <w:rPr>
                <w:b/>
                <w:color w:val="000000"/>
                <w:sz w:val="24"/>
              </w:rPr>
              <w:t xml:space="preserve">департамента жилищно-коммунального хозяйства администрации города Перми </w:t>
            </w:r>
            <w:r>
              <w:rPr>
                <w:color w:val="000000"/>
                <w:sz w:val="24"/>
              </w:rPr>
              <w:t>от 22.12.2023 № 059-04-17/3-1271-ри).</w:t>
            </w:r>
          </w:p>
          <w:p>
            <w:pPr>
              <w:pStyle w:val="BodyText"/>
              <w:spacing w:before="0" w:after="0"/>
              <w:ind w:firstLine="362" w:left="0" w:right="0"/>
              <w:jc w:val="both"/>
              <w:rPr/>
            </w:pPr>
            <w:r>
              <w:rPr/>
            </w:r>
          </w:p>
          <w:p>
            <w:pPr>
              <w:pStyle w:val="BodyText"/>
              <w:spacing w:before="0" w:after="0"/>
              <w:ind w:firstLine="362" w:left="0" w:right="0"/>
              <w:jc w:val="both"/>
              <w:rPr/>
            </w:pPr>
            <w:r>
              <w:rPr>
                <w:b w:val="false"/>
                <w:bCs w:val="false"/>
                <w:color w:val="000000"/>
                <w:sz w:val="24"/>
              </w:rPr>
              <w:t>Имеется</w:t>
            </w:r>
            <w:r>
              <w:rPr>
                <w:color w:val="000000"/>
                <w:sz w:val="24"/>
              </w:rPr>
              <w:t xml:space="preserve"> возможность присоединения Участка к автомобильной дороге по ул. Кизеловской. Данная дорога входит в Перечень дорог общего пользования местного значения, утвержденного постановлением администрации города Перми от 02.06.2009 № 298.</w:t>
            </w:r>
          </w:p>
          <w:p>
            <w:pPr>
              <w:pStyle w:val="BodyText"/>
              <w:spacing w:before="0" w:after="0"/>
              <w:ind w:firstLine="362" w:left="0" w:right="0"/>
              <w:jc w:val="both"/>
              <w:rPr/>
            </w:pPr>
            <w:r>
              <w:rPr>
                <w:color w:val="000000"/>
                <w:sz w:val="24"/>
              </w:rPr>
              <w:t xml:space="preserve">В соответствии с бюджетом города Перми на 2024 год и плановый период 2025-2026 годов мероприятий </w:t>
              <w:br/>
              <w:t xml:space="preserve"> по строительству, реконструкции, капитальному ремонту улично-дорожной сети на данной территории </w:t>
              <w:br/>
              <w:t> не запланировано.</w:t>
            </w:r>
          </w:p>
          <w:p>
            <w:pPr>
              <w:pStyle w:val="BodyText"/>
              <w:spacing w:before="0" w:after="0"/>
              <w:ind w:firstLine="362" w:left="0" w:right="0"/>
              <w:jc w:val="both"/>
              <w:rPr/>
            </w:pPr>
            <w:r>
              <w:rPr>
                <w:color w:val="000000"/>
                <w:sz w:val="24"/>
              </w:rPr>
              <w:t xml:space="preserve">Кроме того в целях присоединения Участка </w:t>
              <w:br/>
              <w:t> к улично-дорожной сети города Перми необходимо:</w:t>
            </w:r>
          </w:p>
          <w:p>
            <w:pPr>
              <w:pStyle w:val="BodyText"/>
              <w:spacing w:before="0" w:after="0"/>
              <w:ind w:firstLine="362" w:left="0" w:right="0"/>
              <w:jc w:val="both"/>
              <w:rPr/>
            </w:pPr>
            <w:r>
              <w:rPr>
                <w:color w:val="000000"/>
                <w:sz w:val="24"/>
              </w:rPr>
              <w:t xml:space="preserve">разработать и согласовать на рабочей группе </w:t>
              <w:br/>
              <w:t xml:space="preserve"> по организации и безопасности дорожного движения </w:t>
              <w:br/>
              <w:t> (ул. Пермская, 2а, 212-47-51) проект организации дорожного движения;</w:t>
            </w:r>
          </w:p>
          <w:p>
            <w:pPr>
              <w:pStyle w:val="BodyText"/>
              <w:spacing w:before="0" w:after="0"/>
              <w:ind w:firstLine="362" w:left="0" w:right="0"/>
              <w:jc w:val="both"/>
              <w:rPr/>
            </w:pPr>
            <w:r>
              <w:rPr>
                <w:color w:val="000000"/>
                <w:sz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362" w:left="0" w:right="0"/>
              <w:jc w:val="both"/>
              <w:rPr/>
            </w:pPr>
            <w:r>
              <w:rPr>
                <w:color w:val="000000"/>
                <w:sz w:val="24"/>
              </w:rPr>
              <w:t xml:space="preserve">Дополнительно направлена информация </w:t>
              <w:br/>
              <w:t xml:space="preserve"> о соблюдении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w:t>
              <w:br/>
              <w:t> от 15.12.2020 №277:</w:t>
            </w:r>
          </w:p>
          <w:p>
            <w:pPr>
              <w:pStyle w:val="BodyText"/>
              <w:spacing w:before="0" w:after="0"/>
              <w:ind w:firstLine="362" w:left="0" w:right="0"/>
              <w:jc w:val="both"/>
              <w:rPr/>
            </w:pPr>
            <w:r>
              <w:rPr>
                <w:color w:val="000000"/>
                <w:sz w:val="24"/>
              </w:rPr>
              <w:t xml:space="preserve">поверхностный водоотвод решить проектом </w:t>
              <w:br/>
              <w:t xml:space="preserve"> без подтопления смежных территорий, в соответствии </w:t>
              <w:br/>
              <w:t xml:space="preserve"> с действующими нормативно-правовыми актами </w:t>
              <w:br/>
              <w:t> и природоохранным законодательством;</w:t>
            </w:r>
          </w:p>
          <w:p>
            <w:pPr>
              <w:pStyle w:val="BodyText"/>
              <w:spacing w:before="0" w:after="0"/>
              <w:ind w:firstLine="362"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362" w:left="0" w:right="0"/>
              <w:jc w:val="both"/>
              <w:rPr/>
            </w:pPr>
            <w:r>
              <w:rPr>
                <w:color w:val="000000"/>
                <w:sz w:val="24"/>
              </w:rPr>
              <w:t xml:space="preserve">стоянку временного транспорта разместить </w:t>
              <w:br/>
              <w:t> в границах отведенного под строительство земельного участка вне территории общего пользования;</w:t>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 xml:space="preserve">предусмотреть устройство подъезда к Участку </w:t>
              <w:br/>
              <w:t xml:space="preserve"> или ликвидацию разрушений, повреждений дорожного покрытия существующих проездов от границ Участка </w:t>
              <w:br/>
              <w:t> до существующей улично-дорожной сети, а также наружное освещение подъездов.</w:t>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 xml:space="preserve">(Аналогичная информация  отражена в письме </w:t>
            </w:r>
            <w:r>
              <w:rPr>
                <w:b/>
                <w:color w:val="000000"/>
                <w:sz w:val="24"/>
              </w:rPr>
              <w:t>департамента дорог и благоустройства администрации города Перми</w:t>
            </w:r>
            <w:r>
              <w:rPr>
                <w:color w:val="000000"/>
                <w:sz w:val="24"/>
              </w:rPr>
              <w:t xml:space="preserve"> от 16.01.2024 </w:t>
            </w:r>
            <w:r>
              <w:rPr>
                <w:color w:val="000000"/>
              </w:rPr>
              <w:t xml:space="preserve">№ </w:t>
            </w:r>
            <w:r>
              <w:rPr>
                <w:color w:val="000000"/>
                <w:sz w:val="24"/>
              </w:rPr>
              <w:t>059-24-01-36/3-82).</w:t>
            </w:r>
          </w:p>
          <w:p>
            <w:pPr>
              <w:pStyle w:val="BodyText"/>
              <w:spacing w:before="0" w:after="0"/>
              <w:ind w:firstLine="362" w:left="0" w:right="0"/>
              <w:jc w:val="both"/>
              <w:rPr/>
            </w:pPr>
            <w:r>
              <w:rPr/>
            </w:r>
          </w:p>
          <w:p>
            <w:pPr>
              <w:pStyle w:val="BodyText"/>
              <w:spacing w:before="0" w:after="0"/>
              <w:ind w:firstLine="362" w:left="0" w:right="0"/>
              <w:jc w:val="both"/>
              <w:rPr/>
            </w:pPr>
            <w:r>
              <w:rPr>
                <w:color w:val="000000"/>
                <w:sz w:val="24"/>
              </w:rPr>
              <w:t>Строительство пожарного водоема на указанной территории не запланировано;</w:t>
            </w:r>
          </w:p>
          <w:p>
            <w:pPr>
              <w:pStyle w:val="BodyText"/>
              <w:spacing w:before="0" w:after="0"/>
              <w:ind w:firstLine="362" w:left="0" w:right="0"/>
              <w:jc w:val="both"/>
              <w:rPr/>
            </w:pPr>
            <w:r>
              <w:rPr>
                <w:color w:val="000000"/>
                <w:sz w:val="24"/>
              </w:rPr>
              <w:t>ближайшее подразделение пожарной охраны расположено по адресу: ул. Волховская, 37 (ПСЧ-7 10-ПСО);</w:t>
            </w:r>
          </w:p>
          <w:p>
            <w:pPr>
              <w:pStyle w:val="BodyText"/>
              <w:spacing w:before="0" w:after="0"/>
              <w:ind w:firstLine="362" w:left="0" w:right="0"/>
              <w:jc w:val="both"/>
              <w:rPr/>
            </w:pPr>
            <w:r>
              <w:rPr>
                <w:color w:val="000000"/>
                <w:sz w:val="24"/>
              </w:rPr>
              <w:t xml:space="preserve">объект общественной безопасности, отнесенный </w:t>
              <w:br/>
              <w:t> к объектам полиции (участковые пункты полиции), отсутствуют. Ближайший участковый пункт расположен по адресу: город Пермь, переулок Талицкий, д. 8 (микрорайон Кислотные Дачи,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62" w:left="0" w:right="0"/>
              <w:jc w:val="both"/>
              <w:rPr>
                <w:rFonts w:ascii="Times New Roman" w:hAnsi="Times New Roman"/>
                <w:color w:val="000000"/>
                <w:sz w:val="24"/>
                <w:szCs w:val="24"/>
              </w:rPr>
            </w:pPr>
            <w:r>
              <w:rPr>
                <w:color w:val="000000"/>
                <w:sz w:val="24"/>
              </w:rPr>
              <w:t>помещения для аварийно-спасательных формирований на указанной территории отсутствуют.</w:t>
            </w:r>
          </w:p>
          <w:p>
            <w:pPr>
              <w:pStyle w:val="BodyText"/>
              <w:spacing w:before="0" w:after="0"/>
              <w:ind w:firstLine="362" w:left="0" w:right="0"/>
              <w:jc w:val="both"/>
              <w:rPr/>
            </w:pPr>
            <w:r>
              <w:rPr>
                <w:color w:val="000000"/>
                <w:sz w:val="24"/>
              </w:rPr>
              <w:t>В настоящее время потребность в обеспечении служебными помещениями для аварийно-спасательных формирований в указанном микрорайоне отсутствует;</w:t>
            </w:r>
          </w:p>
          <w:p>
            <w:pPr>
              <w:pStyle w:val="BodyText"/>
              <w:spacing w:before="0" w:after="0"/>
              <w:ind w:firstLine="362" w:left="0" w:right="0"/>
              <w:jc w:val="both"/>
              <w:rPr/>
            </w:pPr>
            <w:r>
              <w:rPr>
                <w:color w:val="000000"/>
                <w:sz w:val="24"/>
              </w:rPr>
              <w:t xml:space="preserve">на указанной территории имеется следующий источник противопожарного водоснабжения: (пожарный водоем), расположенный по улице Новогодняя, 11 – </w:t>
              <w:br/>
              <w:t> в радиусе 200 метров;</w:t>
            </w:r>
          </w:p>
          <w:p>
            <w:pPr>
              <w:pStyle w:val="BodyText"/>
              <w:spacing w:before="0" w:after="0"/>
              <w:ind w:firstLine="362" w:left="0" w:right="0"/>
              <w:jc w:val="both"/>
              <w:rPr/>
            </w:pPr>
            <w:r>
              <w:rPr>
                <w:color w:val="000000"/>
                <w:sz w:val="24"/>
              </w:rPr>
              <w:t>в соответствии с информацией, предоставленной Министерством</w:t>
            </w:r>
            <w:r>
              <w:rPr>
                <w:color w:val="000000"/>
              </w:rPr>
              <w:t> </w:t>
            </w:r>
            <w:r>
              <w:rPr>
                <w:color w:val="000000"/>
                <w:sz w:val="24"/>
              </w:rPr>
              <w:t>территориальной безопасности Пермского края, Участок попадает в зону возможного химического заражения в особый период;</w:t>
            </w:r>
          </w:p>
          <w:p>
            <w:pPr>
              <w:pStyle w:val="BodyText"/>
              <w:spacing w:before="0" w:after="0"/>
              <w:ind w:firstLine="362" w:left="0" w:right="0"/>
              <w:jc w:val="both"/>
              <w:rPr/>
            </w:pPr>
            <w:r>
              <w:rPr>
                <w:color w:val="000000"/>
                <w:sz w:val="24"/>
              </w:rPr>
              <w:t xml:space="preserve">территория находится в зоне действия региональной автоматизированной системы централизованного оповещения населения города Перми, установленной </w:t>
              <w:br/>
              <w:t> по ул. 1-й Еловский переулок, д. 22 – 600 метров.</w:t>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При размещении объектов на вышеуказанной территории необходимо соблюдать нормы и требования действующего законодательства: Федеральных</w:t>
            </w:r>
            <w:r>
              <w:rPr>
                <w:color w:val="000000"/>
              </w:rPr>
              <w:t xml:space="preserve"> </w:t>
            </w:r>
            <w:r>
              <w:rPr>
                <w:color w:val="000000"/>
                <w:sz w:val="24"/>
              </w:rPr>
              <w:t>законов от 21.12.1994 № 69-ФЗ «О пожарной безопасности» и от 22.07.2008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w:t>
            </w:r>
            <w:r>
              <w:rPr>
                <w:color w:val="000000"/>
              </w:rPr>
              <w:t xml:space="preserve"> № </w:t>
            </w:r>
            <w:r>
              <w:rPr>
                <w:color w:val="000000"/>
                <w:sz w:val="24"/>
              </w:rPr>
              <w:t xml:space="preserve">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w:t>
            </w:r>
            <w:r>
              <w:rPr>
                <w:color w:val="000000"/>
              </w:rPr>
              <w:t xml:space="preserve">№ </w:t>
            </w:r>
            <w:r>
              <w:rPr>
                <w:color w:val="000000"/>
                <w:sz w:val="24"/>
              </w:rPr>
              <w:t>288 и иной документации, касающейся норм противопожарной безопасности.</w:t>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rPr>
              <w:t xml:space="preserve"> </w:t>
            </w:r>
            <w:r>
              <w:rPr>
                <w:color w:val="000000"/>
                <w:sz w:val="24"/>
              </w:rPr>
              <w:t xml:space="preserve">от 22.12.2023 </w:t>
            </w:r>
            <w:r>
              <w:rPr>
                <w:color w:val="000000"/>
              </w:rPr>
              <w:t xml:space="preserve">№ </w:t>
            </w:r>
            <w:r>
              <w:rPr>
                <w:color w:val="000000"/>
                <w:sz w:val="24"/>
              </w:rPr>
              <w:t>059-10-01-27/3-2090).</w:t>
            </w:r>
          </w:p>
          <w:p>
            <w:pPr>
              <w:pStyle w:val="BodyText"/>
              <w:spacing w:before="0" w:after="0"/>
              <w:ind w:firstLine="362" w:left="0" w:right="0"/>
              <w:jc w:val="both"/>
              <w:rPr/>
            </w:pPr>
            <w:r>
              <w:rPr/>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Участок и объекты недвижимого имущества в реестре муниципального имущества города Перми не учитываются.</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имущественных отношений администрации города Перми</w:t>
            </w:r>
            <w:r>
              <w:rPr>
                <w:color w:val="000000"/>
              </w:rPr>
              <w:t> </w:t>
            </w:r>
            <w:r>
              <w:rPr>
                <w:color w:val="000000"/>
                <w:sz w:val="24"/>
              </w:rPr>
              <w:t>от 22.12.2023 № 059-19-01-35/3-2305).</w:t>
            </w:r>
          </w:p>
          <w:p>
            <w:pPr>
              <w:pStyle w:val="BodyText"/>
              <w:spacing w:before="0" w:after="0"/>
              <w:ind w:firstLine="362" w:left="0" w:right="0"/>
              <w:jc w:val="both"/>
              <w:rPr/>
            </w:pPr>
            <w:r>
              <w:rPr/>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 xml:space="preserve">Места для установки и эксплуатации рекламных конструкций, включенные в схему размещения рекламных конструкций на территории города Перми, утвержденную решением Пермской городской Думы от 23.08.2016 </w:t>
            </w:r>
            <w:r>
              <w:rPr>
                <w:color w:val="000000"/>
              </w:rPr>
              <w:t xml:space="preserve">№ </w:t>
            </w:r>
            <w:r>
              <w:rPr>
                <w:color w:val="000000"/>
                <w:sz w:val="24"/>
              </w:rPr>
              <w:t>171, и места размещения НТО, включенные в схему размещения НТО на территории города Перми, утвержденную</w:t>
            </w:r>
            <w:r>
              <w:rPr>
                <w:color w:val="000000"/>
              </w:rPr>
              <w:t> </w:t>
            </w:r>
            <w:r>
              <w:rPr>
                <w:color w:val="000000"/>
                <w:sz w:val="24"/>
              </w:rPr>
              <w:t>постановлением администрации города Перми от 02.08.2018 № 521, в границах Участка отсутствуют.</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департамента экономики и промышленной политики администрации города Перми </w:t>
            </w:r>
            <w:r>
              <w:rPr>
                <w:color w:val="000000"/>
                <w:sz w:val="24"/>
              </w:rPr>
              <w:t xml:space="preserve">письмом </w:t>
              <w:br/>
              <w:t xml:space="preserve"> от 27.12.2023 </w:t>
            </w:r>
            <w:r>
              <w:rPr>
                <w:color w:val="000000"/>
              </w:rPr>
              <w:t xml:space="preserve">№ </w:t>
            </w:r>
            <w:r>
              <w:rPr>
                <w:color w:val="000000"/>
                <w:sz w:val="24"/>
              </w:rPr>
              <w:t>059-13-01-04-2811).</w:t>
            </w:r>
          </w:p>
          <w:p>
            <w:pPr>
              <w:pStyle w:val="BodyText"/>
              <w:spacing w:before="0" w:after="0"/>
              <w:ind w:firstLine="362" w:left="0" w:right="0"/>
              <w:jc w:val="both"/>
              <w:rPr/>
            </w:pPr>
            <w:r>
              <w:rPr/>
            </w:r>
          </w:p>
          <w:p>
            <w:pPr>
              <w:pStyle w:val="BodyText"/>
              <w:spacing w:before="0" w:after="0"/>
              <w:ind w:firstLine="362" w:left="0" w:right="0"/>
              <w:jc w:val="both"/>
              <w:rPr>
                <w:rFonts w:ascii="Times New Roman" w:hAnsi="Times New Roman"/>
                <w:color w:val="000000"/>
                <w:sz w:val="24"/>
              </w:rPr>
            </w:pPr>
            <w:r>
              <w:rPr>
                <w:color w:val="000000"/>
                <w:sz w:val="24"/>
              </w:rPr>
              <w:t>В границах Участка отсутствуют:</w:t>
            </w:r>
          </w:p>
          <w:p>
            <w:pPr>
              <w:pStyle w:val="BodyText"/>
              <w:spacing w:before="0" w:after="0"/>
              <w:ind w:firstLine="362" w:left="0" w:right="0"/>
              <w:jc w:val="both"/>
              <w:rPr/>
            </w:pPr>
            <w:r>
              <w:rPr>
                <w:color w:val="000000"/>
                <w:sz w:val="24"/>
              </w:rPr>
              <w:t xml:space="preserve">- объекты культурного наследия, включенные </w:t>
              <w:br/>
              <w:t> в единый государственный реестр объектов культурного наследия (памятников истории и культуры) народов Российской Федерации;</w:t>
            </w:r>
          </w:p>
          <w:p>
            <w:pPr>
              <w:pStyle w:val="BodyText"/>
              <w:spacing w:before="0" w:after="0"/>
              <w:ind w:firstLine="362" w:left="0" w:right="0"/>
              <w:jc w:val="both"/>
              <w:rPr>
                <w:rFonts w:ascii="Times New Roman" w:hAnsi="Times New Roman"/>
                <w:color w:val="000000"/>
                <w:sz w:val="24"/>
              </w:rPr>
            </w:pPr>
            <w:r>
              <w:rPr>
                <w:color w:val="000000"/>
                <w:sz w:val="24"/>
              </w:rPr>
              <w:t>- выявленные объекты культурного наследия;</w:t>
            </w:r>
          </w:p>
          <w:p>
            <w:pPr>
              <w:pStyle w:val="BodyText"/>
              <w:spacing w:before="0" w:after="0"/>
              <w:ind w:firstLine="362" w:left="0" w:right="0"/>
              <w:jc w:val="both"/>
              <w:rPr>
                <w:rFonts w:ascii="Times New Roman" w:hAnsi="Times New Roman"/>
                <w:color w:val="000000"/>
                <w:sz w:val="24"/>
              </w:rPr>
            </w:pPr>
            <w:r>
              <w:rPr>
                <w:color w:val="000000"/>
                <w:sz w:val="24"/>
              </w:rPr>
              <w:t>- объекты, обладающие признаками объектов культурного наследия;</w:t>
            </w:r>
          </w:p>
          <w:p>
            <w:pPr>
              <w:pStyle w:val="BodyText"/>
              <w:spacing w:before="0" w:after="0"/>
              <w:ind w:firstLine="362" w:left="0" w:right="0"/>
              <w:jc w:val="both"/>
              <w:rPr>
                <w:rFonts w:ascii="Times New Roman" w:hAnsi="Times New Roman"/>
                <w:color w:val="000000"/>
                <w:sz w:val="24"/>
              </w:rPr>
            </w:pPr>
            <w:r>
              <w:rPr>
                <w:color w:val="000000"/>
                <w:sz w:val="24"/>
              </w:rPr>
              <w:t>- территории объектов культурного наследия;</w:t>
            </w:r>
          </w:p>
          <w:p>
            <w:pPr>
              <w:pStyle w:val="BodyText"/>
              <w:spacing w:before="0" w:after="0"/>
              <w:ind w:firstLine="362" w:left="0" w:right="0"/>
              <w:jc w:val="both"/>
              <w:rPr>
                <w:rFonts w:ascii="Times New Roman" w:hAnsi="Times New Roman"/>
                <w:color w:val="000000"/>
                <w:sz w:val="24"/>
              </w:rPr>
            </w:pPr>
            <w:r>
              <w:rPr>
                <w:color w:val="000000"/>
                <w:sz w:val="24"/>
              </w:rPr>
              <w:t>- зоны охраны объектов культурного наследия;</w:t>
            </w:r>
          </w:p>
          <w:p>
            <w:pPr>
              <w:pStyle w:val="BodyText"/>
              <w:spacing w:before="0" w:after="0"/>
              <w:ind w:firstLine="362" w:left="0" w:right="0"/>
              <w:jc w:val="both"/>
              <w:rPr>
                <w:rFonts w:ascii="Times New Roman" w:hAnsi="Times New Roman"/>
                <w:color w:val="000000"/>
                <w:sz w:val="24"/>
              </w:rPr>
            </w:pPr>
            <w:r>
              <w:rPr>
                <w:color w:val="000000"/>
                <w:sz w:val="24"/>
              </w:rPr>
              <w:t>- защитные зоны объектов культурного наследия;</w:t>
            </w:r>
          </w:p>
          <w:p>
            <w:pPr>
              <w:pStyle w:val="BodyText"/>
              <w:spacing w:before="0" w:after="0"/>
              <w:ind w:firstLine="362" w:left="0" w:right="0"/>
              <w:jc w:val="both"/>
              <w:rPr/>
            </w:pPr>
            <w:r>
              <w:rPr>
                <w:color w:val="000000"/>
                <w:sz w:val="24"/>
              </w:rPr>
              <w:t xml:space="preserve">Участок не связан с земельным участком </w:t>
              <w:br/>
              <w:t> в границах территории объекта культурного наследия;</w:t>
            </w:r>
          </w:p>
          <w:p>
            <w:pPr>
              <w:pStyle w:val="BodyText"/>
              <w:spacing w:before="0" w:after="0"/>
              <w:ind w:firstLine="362" w:left="0" w:right="0"/>
              <w:jc w:val="both"/>
              <w:rPr>
                <w:rFonts w:ascii="Times New Roman" w:hAnsi="Times New Roman"/>
                <w:color w:val="000000"/>
                <w:sz w:val="24"/>
              </w:rPr>
            </w:pPr>
            <w:r>
              <w:rPr>
                <w:color w:val="000000"/>
                <w:sz w:val="24"/>
              </w:rPr>
              <w:t>Сведения о режимах использования (ограничения/обременения) Участка отсутствуют;</w:t>
            </w:r>
          </w:p>
          <w:p>
            <w:pPr>
              <w:pStyle w:val="BodyText"/>
              <w:spacing w:before="0" w:after="0"/>
              <w:ind w:firstLine="362" w:left="0" w:right="0"/>
              <w:jc w:val="both"/>
              <w:rPr>
                <w:rFonts w:ascii="Times New Roman" w:hAnsi="Times New Roman"/>
                <w:color w:val="000000"/>
                <w:sz w:val="24"/>
              </w:rPr>
            </w:pPr>
            <w:r>
              <w:rPr>
                <w:color w:val="000000"/>
                <w:sz w:val="24"/>
              </w:rPr>
              <w:t>Данные о проведенных историко-культурных исследованиях в границах Участка отсутствуют;</w:t>
            </w:r>
          </w:p>
          <w:p>
            <w:pPr>
              <w:pStyle w:val="BodyText"/>
              <w:spacing w:before="0" w:after="0"/>
              <w:ind w:firstLine="362" w:left="0" w:right="0"/>
              <w:jc w:val="both"/>
              <w:rPr>
                <w:rFonts w:ascii="Times New Roman" w:hAnsi="Times New Roman"/>
                <w:color w:val="000000"/>
                <w:sz w:val="24"/>
                <w:szCs w:val="24"/>
              </w:rPr>
            </w:pPr>
            <w:r>
              <w:rPr>
                <w:color w:val="000000"/>
                <w:sz w:val="24"/>
              </w:rPr>
              <w:t>Необходимость проведения историко-культурной экспертизы в границах Участка отсутствует.</w:t>
            </w:r>
          </w:p>
          <w:p>
            <w:pPr>
              <w:pStyle w:val="BodyText"/>
              <w:spacing w:before="0" w:after="0"/>
              <w:ind w:firstLine="362" w:left="0" w:right="0"/>
              <w:jc w:val="both"/>
              <w:rPr>
                <w:rFonts w:ascii="Times New Roman" w:hAnsi="Times New Roman"/>
                <w:color w:val="000000"/>
                <w:sz w:val="24"/>
                <w:szCs w:val="24"/>
              </w:rPr>
            </w:pPr>
            <w:r>
              <w:rPr>
                <w:color w:val="000000"/>
                <w:sz w:val="24"/>
              </w:rPr>
              <w:t xml:space="preserve">(Аналогичная информация отражена в письме </w:t>
            </w:r>
            <w:r>
              <w:rPr>
                <w:b/>
                <w:color w:val="000000"/>
                <w:sz w:val="24"/>
              </w:rPr>
              <w:t>государственной инспекции по охране объектов культурного наследия Пермского края</w:t>
            </w:r>
            <w:r>
              <w:rPr>
                <w:color w:val="000000"/>
              </w:rPr>
              <w:t xml:space="preserve"> </w:t>
            </w:r>
            <w:r>
              <w:rPr>
                <w:color w:val="000000"/>
                <w:sz w:val="24"/>
              </w:rPr>
              <w:t xml:space="preserve">письмом  от 25.12.2023 </w:t>
            </w:r>
            <w:r>
              <w:rPr>
                <w:color w:val="000000"/>
              </w:rPr>
              <w:t xml:space="preserve">№ </w:t>
            </w:r>
            <w:r>
              <w:rPr>
                <w:color w:val="000000"/>
                <w:sz w:val="24"/>
              </w:rPr>
              <w:t>Исх55-01-17.2-646).</w:t>
            </w:r>
          </w:p>
          <w:p>
            <w:pPr>
              <w:pStyle w:val="BodyText"/>
              <w:ind w:firstLine="709"/>
              <w:jc w:val="both"/>
              <w:rPr>
                <w:b w:val="false"/>
                <w:bCs w:val="false"/>
                <w:sz w:val="24"/>
                <w:szCs w:val="24"/>
              </w:rPr>
            </w:pPr>
            <w:r>
              <w:rPr>
                <w:b w:val="false"/>
                <w:bCs w:val="false"/>
                <w:sz w:val="24"/>
                <w:szCs w:val="24"/>
              </w:rPr>
            </w:r>
          </w:p>
        </w:tc>
      </w:tr>
      <w:tr>
        <w:trPr>
          <w:trHeight w:val="104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57"/>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w:t>
            </w:r>
            <w:r>
              <w:rPr>
                <w:color w:val="000000"/>
                <w:sz w:val="24"/>
              </w:rPr>
              <w:t xml:space="preserve">(на двух человек - 10 м2); кухни - 8 м2; кухонной зоны </w:t>
              <w:br/>
              <w:t> в кухне-столовой - 6 м2.</w:t>
            </w:r>
            <w:r>
              <w:rPr>
                <w:color w:val="000000"/>
              </w:rPr>
              <w:t> </w:t>
            </w:r>
            <w:r>
              <w:rPr>
                <w:color w:val="000000"/>
                <w:sz w:val="24"/>
              </w:rPr>
              <w:t>В домах с одной комнатой допускается проектировать кухни или кухни-ниши площадью не менее 5 м2.</w:t>
            </w:r>
            <w:r>
              <w:rPr>
                <w:color w:val="000000"/>
              </w:rPr>
              <w:t> </w:t>
            </w:r>
            <w:r>
              <w:rPr>
                <w:color w:val="000000"/>
                <w:sz w:val="24"/>
              </w:rPr>
              <w:t>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 xml:space="preserve">Согласно пункту 6.2 СП 55.13330.2016 высота </w:t>
              <w:br/>
              <w:t xml:space="preserve"> (от пола до потолка) комнат и кухни (кухни-столовой) </w:t>
              <w:br/>
              <w:t xml:space="preserve"> в климатических районах строительства IА, IБ, IГ, IД, определяемых по СП 131.13330, должна быть не менее </w:t>
              <w:br/>
              <w:t>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t>а высота пути эвакуации - не менее</w:t>
            </w:r>
            <w:r>
              <w:rPr>
                <w:color w:val="000000"/>
              </w:rPr>
              <w:t> </w:t>
            </w:r>
            <w:r>
              <w:rPr>
                <w:color w:val="000000"/>
                <w:sz w:val="24"/>
              </w:rPr>
              <w:t>2,2 м.</w:t>
            </w:r>
          </w:p>
          <w:p>
            <w:pPr>
              <w:pStyle w:val="BodyText"/>
              <w:spacing w:before="0" w:after="0"/>
              <w:ind w:firstLine="311" w:left="0" w:right="0"/>
              <w:jc w:val="both"/>
              <w:rPr/>
            </w:pPr>
            <w:r>
              <w:rPr>
                <w:color w:val="000000"/>
                <w:sz w:val="24"/>
              </w:rPr>
              <w:t xml:space="preserve">В жилых комнатах и кухнях, расположенных </w:t>
              <w:br/>
              <w:t>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pPr>
            <w:r>
              <w:rPr>
                <w:color w:val="000000"/>
                <w:sz w:val="24"/>
              </w:rPr>
              <w:t>Согласно информации, содержащейся в градостроительном плане земельного участка от 19.01.2024 № РФ-59-2-03-0-00-2024-0067-0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BodyText"/>
              <w:spacing w:before="0" w:after="0"/>
              <w:ind w:firstLine="311" w:left="0" w:right="0"/>
              <w:jc w:val="both"/>
              <w:rPr/>
            </w:pPr>
            <w:r>
              <w:rPr>
                <w:color w:val="000000"/>
                <w:sz w:val="24"/>
              </w:rPr>
              <w:t xml:space="preserve">Минимальный отступ от границ земельного участка </w:t>
              <w:br/>
              <w:t>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spacing w:before="0" w:after="0"/>
              <w:ind w:firstLine="362"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12"/>
              <w:jc w:val="both"/>
              <w:rPr>
                <w:sz w:val="24"/>
                <w:szCs w:val="24"/>
              </w:rPr>
            </w:pPr>
            <w:r>
              <w:rPr>
                <w:sz w:val="24"/>
                <w:szCs w:val="24"/>
              </w:rPr>
            </w:r>
          </w:p>
        </w:tc>
      </w:tr>
      <w:tr>
        <w:trPr>
          <w:trHeight w:val="417"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25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BodyText"/>
              <w:spacing w:before="0" w:after="0"/>
              <w:ind w:firstLine="362" w:left="0" w:right="0"/>
              <w:jc w:val="both"/>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62"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 121-тп (в последней редакции).</w:t>
            </w:r>
          </w:p>
          <w:p>
            <w:pPr>
              <w:pStyle w:val="BodyText"/>
              <w:spacing w:before="0" w:after="0"/>
              <w:ind w:firstLine="362" w:left="0" w:right="0"/>
              <w:jc w:val="both"/>
              <w:rPr/>
            </w:pPr>
            <w:r>
              <w:rPr>
                <w:color w:val="000000"/>
                <w:sz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r>
              <w:rPr>
                <w:color w:val="000000"/>
                <w:sz w:val="24"/>
                <w:u w:val="single"/>
              </w:rPr>
              <w:t>https://портал-тп.рф</w:t>
            </w:r>
            <w:r>
              <w:rPr>
                <w:color w:val="000000"/>
              </w:rPr>
              <w:t> </w:t>
            </w:r>
            <w:r>
              <w:rPr>
                <w:color w:val="000000"/>
                <w:sz w:val="24"/>
              </w:rPr>
              <w:t>или через Мобильное приложение ПАО «Россети».</w:t>
            </w:r>
          </w:p>
          <w:p>
            <w:pPr>
              <w:pStyle w:val="BodyText"/>
              <w:spacing w:before="0" w:after="0"/>
              <w:ind w:firstLine="362" w:left="0" w:right="0"/>
              <w:jc w:val="both"/>
              <w:rPr>
                <w:color w:val="000000"/>
                <w:sz w:val="24"/>
                <w:szCs w:val="24"/>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от 25.12.2023 № ПЭ/ПГЭС/22/639</w:t>
            </w:r>
          </w:p>
          <w:p>
            <w:pPr>
              <w:pStyle w:val="BodyText"/>
              <w:spacing w:before="0" w:after="0"/>
              <w:ind w:firstLine="362" w:left="0" w:right="0"/>
              <w:jc w:val="both"/>
              <w:rPr/>
            </w:pPr>
            <w:r>
              <w:rPr/>
            </w:r>
          </w:p>
          <w:p>
            <w:pPr>
              <w:pStyle w:val="BodyText"/>
              <w:spacing w:before="0" w:after="0"/>
              <w:ind w:firstLine="362"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62" w:left="0" w:right="0"/>
              <w:jc w:val="both"/>
              <w:rPr/>
            </w:pPr>
            <w:r>
              <w:rPr>
                <w:color w:val="000000"/>
                <w:sz w:val="24"/>
              </w:rPr>
              <w:t>Постановлением Правительства Российской Федерации от 13.09.2021 № 1547 утверждены Правила подключения (технологического присоединения) газоиспользующего оборудования и объектов капитального строительства к сетям газораспределения (далее – Правила подключения).</w:t>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 xml:space="preserve">В соответствии с п. 7 Правил подключения </w:t>
              <w:br/>
              <w:t xml:space="preserve"> для заключения договора о подключении (технологическом присоединении) необходимо направить запрос по типовой форме согласно приложению № 1 к Правилам подключения, </w:t>
              <w:br/>
              <w:t xml:space="preserve"> с приложением необходимых документов и сведений, указанных в пунктах 11 и 16 Правил подключения </w:t>
              <w:br/>
              <w:t xml:space="preserve"> на электронную почту post@pf.ugaz.ru, либо почтовым отправлением по адресу: г. Пермь, ул. Уральская, 104, через Единый центр предоставления услуг по адресу: </w:t>
              <w:br/>
              <w:t> г.</w:t>
            </w:r>
            <w:r>
              <w:rPr>
                <w:color w:val="000000"/>
              </w:rPr>
              <w:t xml:space="preserve"> </w:t>
            </w:r>
            <w:r>
              <w:rPr>
                <w:color w:val="000000"/>
                <w:sz w:val="24"/>
              </w:rPr>
              <w:t xml:space="preserve">Пермь, ул. Уральская, д. 104, Петропавловская, 43, через личный кабинет на сайте ugaz.ru, на портале единого оператора газификации: </w:t>
            </w:r>
            <w:hyperlink r:id="rId10" w:tgtFrame="https://connectgas.ru./">
              <w:r>
                <w:rPr>
                  <w:rStyle w:val="Hyperlink"/>
                  <w:sz w:val="24"/>
                </w:rPr>
                <w:t>https://connectgas.ru.</w:t>
              </w:r>
            </w:hyperlink>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rPr>
              <w:t> </w:t>
            </w:r>
            <w:r>
              <w:rPr>
                <w:color w:val="000000"/>
                <w:sz w:val="24"/>
              </w:rPr>
              <w:t>от 29.12.2023 № ПФ-8779).</w:t>
            </w:r>
          </w:p>
          <w:p>
            <w:pPr>
              <w:pStyle w:val="BodyText"/>
              <w:spacing w:before="0" w:after="0"/>
              <w:ind w:firstLine="362" w:left="0" w:right="0"/>
              <w:jc w:val="both"/>
              <w:rPr/>
            </w:pPr>
            <w:r>
              <w:rPr/>
            </w:r>
          </w:p>
          <w:p>
            <w:pPr>
              <w:pStyle w:val="BodyText"/>
              <w:spacing w:before="0" w:after="0"/>
              <w:ind w:firstLine="362" w:left="0" w:right="0"/>
              <w:jc w:val="both"/>
              <w:rPr/>
            </w:pPr>
            <w:r>
              <w:rPr>
                <w:color w:val="000000"/>
                <w:sz w:val="24"/>
              </w:rPr>
              <w:t>Ближайшей точкой подключения к сетям водоснабжения Участка является водовод Д-1000 мм по ул. Чапаева.</w:t>
            </w:r>
          </w:p>
          <w:p>
            <w:pPr>
              <w:pStyle w:val="BodyText"/>
              <w:spacing w:before="0" w:after="0"/>
              <w:ind w:firstLine="362" w:left="0" w:right="0"/>
              <w:jc w:val="both"/>
              <w:rPr/>
            </w:pPr>
            <w:r>
              <w:rPr>
                <w:color w:val="000000"/>
                <w:sz w:val="24"/>
              </w:rPr>
              <w:t xml:space="preserve">В месте расположения Участка отсутствуют централизованные сети канализации и может быть применен альтернативный способ канализования, без подключения к централизованной системе канализации города Перми (отвод стоков возможен на локальные очистные сооружения, либо в выгребную яму с последующим вывозом стоков спец. машинами), при этом состав стоков должен соответствовать </w:t>
              <w:br/>
              <w:t> всем нормативным требованиям Российской Федерации.</w:t>
            </w:r>
          </w:p>
          <w:p>
            <w:pPr>
              <w:pStyle w:val="BodyText"/>
              <w:spacing w:before="0" w:after="0"/>
              <w:ind w:firstLine="362" w:left="0" w:right="0"/>
              <w:jc w:val="both"/>
              <w:rPr/>
            </w:pPr>
            <w:r>
              <w:rPr>
                <w:color w:val="000000"/>
                <w:sz w:val="24"/>
              </w:rPr>
              <w:t xml:space="preserve">Размещение объекта необходимо предусматривать строго за пределами охранных зон сетей водопровода </w:t>
              <w:br/>
              <w:t xml:space="preserve"> и канализации в соответствии норм СП, в том числе </w:t>
              <w:br/>
              <w:t> в соответствии с таблицей 12.5 СП 42.13330.2016 «Градостроительство планировка и застройка городских и сельских поселений».</w:t>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от скважины и отвод канализационных локально, предлагаем вам обратиться в организации, регулирующие недропользование.</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ООО «НОВОГОР-Прикамье»</w:t>
            </w:r>
            <w:r>
              <w:rPr>
                <w:color w:val="000000"/>
              </w:rPr>
              <w:t> </w:t>
            </w:r>
            <w:r>
              <w:rPr>
                <w:color w:val="000000"/>
                <w:sz w:val="24"/>
              </w:rPr>
              <w:t xml:space="preserve">от 10.01.2024 </w:t>
            </w:r>
            <w:r>
              <w:rPr>
                <w:color w:val="000000"/>
              </w:rPr>
              <w:t xml:space="preserve">№ </w:t>
            </w:r>
            <w:r>
              <w:rPr>
                <w:color w:val="000000"/>
                <w:sz w:val="24"/>
              </w:rPr>
              <w:t>110-0083</w:t>
            </w:r>
            <w:r>
              <w:rPr/>
              <w:t>).</w:t>
            </w:r>
          </w:p>
          <w:p>
            <w:pPr>
              <w:pStyle w:val="BodyText"/>
              <w:spacing w:before="0" w:after="0"/>
              <w:ind w:firstLine="362" w:left="0" w:right="0"/>
              <w:jc w:val="both"/>
              <w:rPr/>
            </w:pPr>
            <w:r>
              <w:rPr/>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Техническая возможность подключения объекта капитального строительства, планируемого  к строительству на Участке, к системе теплоснабжения имеется. Возможные точки присоединения на существующих тепловых сетях: Т-1 на М-72 2 Ду200 мм. Источник теплоснабжения: ВК по адресу: г. Пермь, ул. Чапаева, 6.</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rPr>
              <w:t xml:space="preserve"> </w:t>
            </w:r>
            <w:r>
              <w:rPr>
                <w:color w:val="000000"/>
                <w:sz w:val="24"/>
              </w:rPr>
              <w:t>от 29.12.2023 № 51030-01-09538).</w:t>
            </w:r>
          </w:p>
          <w:p>
            <w:pPr>
              <w:pStyle w:val="BodyText"/>
              <w:spacing w:before="0" w:after="0"/>
              <w:ind w:firstLine="362" w:left="0" w:right="0"/>
              <w:jc w:val="both"/>
              <w:rPr/>
            </w:pPr>
            <w:r>
              <w:rPr/>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 xml:space="preserve">Технологическое присоединение к сетям связи </w:t>
              <w:br/>
              <w:t> </w:t>
            </w:r>
            <w:r>
              <w:rPr>
                <w:b/>
                <w:color w:val="000000"/>
                <w:sz w:val="24"/>
              </w:rPr>
              <w:t xml:space="preserve">ПАО «Ростелеком» </w:t>
            </w:r>
            <w:r>
              <w:rPr>
                <w:color w:val="000000"/>
                <w:sz w:val="24"/>
              </w:rPr>
              <w:t xml:space="preserve">может быть произведено в точке подключения узел ВОЛС (г. Пермь, ул. Кронита, 8). </w:t>
              <w:br/>
              <w:t> В границах участка сети ПАО «Ростелеком» отсутствуют.</w:t>
            </w:r>
          </w:p>
          <w:p>
            <w:pPr>
              <w:pStyle w:val="BodyText"/>
              <w:spacing w:before="0" w:after="0"/>
              <w:ind w:firstLine="362" w:left="0" w:right="0"/>
              <w:jc w:val="both"/>
              <w:rPr/>
            </w:pPr>
            <w:r>
              <w:rPr>
                <w:color w:val="000000"/>
                <w:sz w:val="24"/>
              </w:rPr>
              <w:t xml:space="preserve">Срок действия технических условий составляет </w:t>
              <w:br/>
              <w:t> 3 года со дня выдачи. В случае, если в течение</w:t>
            </w:r>
            <w:r>
              <w:rPr>
                <w:color w:val="000000"/>
              </w:rPr>
              <w:t xml:space="preserve"> </w:t>
            </w:r>
            <w:r>
              <w:rPr>
                <w:color w:val="000000"/>
                <w:sz w:val="24"/>
              </w:rPr>
              <w:t xml:space="preserve">1 года </w:t>
              <w:br/>
              <w:t xml:space="preserve">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w:t>
              <w:br/>
              <w:t> </w:t>
            </w:r>
            <w:r>
              <w:rPr>
                <w:color w:val="000000"/>
              </w:rPr>
              <w:t xml:space="preserve">№ </w:t>
            </w:r>
            <w:r>
              <w:rPr>
                <w:color w:val="000000"/>
                <w:sz w:val="24"/>
              </w:rPr>
              <w:t>1196).</w:t>
            </w:r>
          </w:p>
          <w:p>
            <w:pPr>
              <w:pStyle w:val="BodyText"/>
              <w:spacing w:before="0" w:after="0"/>
              <w:ind w:firstLine="362" w:left="0" w:right="0"/>
              <w:jc w:val="both"/>
              <w:rPr>
                <w:rFonts w:ascii="Times New Roman" w:hAnsi="Times New Roman"/>
                <w:color w:val="000000"/>
                <w:sz w:val="24"/>
                <w:szCs w:val="24"/>
                <w:highlight w:val="none"/>
              </w:rPr>
            </w:pPr>
            <w:r>
              <w:rPr>
                <w:color w:val="000000"/>
                <w:sz w:val="24"/>
              </w:rPr>
              <w:t xml:space="preserve">Для подключения (технологического присоединения) </w:t>
              <w:br/>
              <w:t xml:space="preserve"> к сетям электросвязи ПАО «Ростелеком» необходимо обратиться по адресу: </w:t>
            </w:r>
            <w:r>
              <w:rPr>
                <w:color w:val="000000"/>
                <w:sz w:val="24"/>
                <w:u w:val="single"/>
              </w:rPr>
              <w:t>г</w:t>
            </w:r>
            <w:r>
              <w:rPr>
                <w:color w:val="000000"/>
                <w:sz w:val="24"/>
              </w:rPr>
              <w:t xml:space="preserve">. Пермь, ул. Крупской, 2, </w:t>
              <w:br/>
              <w:t xml:space="preserve"> тел.: +7 (342) 235-57-34 или направить запрос </w:t>
              <w:br/>
              <w:t xml:space="preserve"> на </w:t>
            </w:r>
            <w:hyperlink r:id="rId11" w:tgtFrame="mailto:perm-mail@ural.rt.ru.">
              <w:r>
                <w:rPr>
                  <w:rStyle w:val="Hyperlink"/>
                  <w:sz w:val="24"/>
                </w:rPr>
                <w:t>perm-mail@ural.rt.ru.</w:t>
              </w:r>
            </w:hyperlink>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ПАО «Ростелеком» </w:t>
            </w:r>
            <w:r>
              <w:rPr>
                <w:color w:val="000000"/>
                <w:sz w:val="24"/>
              </w:rPr>
              <w:t>от 21.03.2024 № 01/05/38403/24).</w:t>
            </w:r>
          </w:p>
          <w:p>
            <w:pPr>
              <w:pStyle w:val="Normal"/>
              <w:ind w:hanging="0"/>
              <w:jc w:val="both"/>
              <w:rPr>
                <w:rFonts w:ascii="Times New Roman" w:hAnsi="Times New Roman"/>
                <w:color w:val="000000"/>
                <w:sz w:val="24"/>
              </w:rPr>
            </w:pPr>
            <w:r>
              <w:rPr>
                <w:color w:val="000000"/>
                <w:sz w:val="24"/>
              </w:rPr>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b/>
                <w:sz w:val="24"/>
                <w:szCs w:val="24"/>
              </w:rPr>
            </w:pPr>
            <w:r>
              <w:rPr>
                <w:b/>
                <w:sz w:val="24"/>
                <w:szCs w:val="24"/>
              </w:rPr>
            </w:r>
          </w:p>
          <w:p>
            <w:pPr>
              <w:pStyle w:val="Normal"/>
              <w:ind w:right="0"/>
              <w:rPr>
                <w:b w:val="false"/>
                <w:bCs w:val="false"/>
                <w:sz w:val="24"/>
                <w:szCs w:val="24"/>
              </w:rPr>
            </w:pPr>
            <w:r>
              <w:rPr>
                <w:b w:val="false"/>
                <w:bCs w:val="false"/>
                <w:sz w:val="24"/>
                <w:szCs w:val="24"/>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143 000 руб.</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«Шаг аукциона» (3% от начальной цены)</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4 290 руб.</w:t>
            </w:r>
          </w:p>
        </w:tc>
      </w:tr>
      <w:tr>
        <w:trPr>
          <w:trHeight w:val="49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widowControl/>
              <w:spacing w:before="0" w:after="0"/>
              <w:ind w:hanging="0" w:left="113" w:right="113"/>
              <w:jc w:val="left"/>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2"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rPr>
            </w:pPr>
            <w:r>
              <w:rPr>
                <w:b/>
                <w:sz w:val="24"/>
                <w:szCs w:val="24"/>
              </w:rPr>
              <w:t xml:space="preserve">Решение о проведении аукциона принято в соответствии со статьей 39.18 Земельного кодекса Российской Федерации, </w:t>
            </w:r>
            <w:r>
              <w:rPr>
                <w:b/>
                <w:color w:val="000000"/>
                <w:sz w:val="24"/>
                <w:szCs w:val="24"/>
              </w:rPr>
              <w:t>участниками аукциона могут являться только граждане.</w:t>
            </w:r>
          </w:p>
        </w:tc>
      </w:tr>
      <w:tr>
        <w:trPr>
          <w:trHeight w:val="557"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71 500 руб.</w:t>
            </w:r>
          </w:p>
          <w:p>
            <w:pPr>
              <w:pStyle w:val="Normal"/>
              <w:jc w:val="both"/>
              <w:rPr>
                <w:sz w:val="24"/>
                <w:szCs w:val="24"/>
              </w:rPr>
            </w:pPr>
            <w:r>
              <w:rPr>
                <w:sz w:val="24"/>
                <w:szCs w:val="24"/>
              </w:rPr>
            </w:r>
          </w:p>
        </w:tc>
      </w:tr>
      <w:tr>
        <w:trPr>
          <w:trHeight w:val="31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утвержден постановлением администрации города Перми от 29.05.2015 № 322,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spacing w:lineRule="exact" w:line="240"/>
        <w:ind w:right="-263"/>
        <w:rPr>
          <w:b/>
          <w:bCs/>
        </w:rPr>
      </w:pPr>
      <w:r>
        <w:rPr>
          <w:b/>
          <w:bCs/>
        </w:rPr>
      </w:r>
    </w:p>
    <w:p>
      <w:pPr>
        <w:pStyle w:val="Normal"/>
        <w:tabs>
          <w:tab w:val="clear" w:pos="708"/>
          <w:tab w:val="left" w:pos="5103" w:leader="none"/>
        </w:tabs>
        <w:ind w:right="-263"/>
        <w:rPr>
          <w:sz w:val="20"/>
          <w:szCs w:val="20"/>
        </w:rPr>
      </w:pPr>
      <w:r>
        <w:rPr>
          <w:b/>
          <w:lang w:val="en-US"/>
        </w:rPr>
        <w:t>Лот № 2</w:t>
      </w:r>
    </w:p>
    <w:tbl>
      <w:tblPr>
        <w:tblW w:w="5000" w:type="pct"/>
        <w:jc w:val="left"/>
        <w:tblInd w:w="-606" w:type="dxa"/>
        <w:tblLayout w:type="fixed"/>
        <w:tblCellMar>
          <w:top w:w="0" w:type="dxa"/>
          <w:left w:w="108" w:type="dxa"/>
          <w:bottom w:w="0" w:type="dxa"/>
          <w:right w:w="108" w:type="dxa"/>
        </w:tblCellMar>
        <w:tblLook w:val="04a0" w:noHBand="0" w:noVBand="1" w:firstColumn="1" w:lastRow="0" w:lastColumn="0" w:firstRow="1"/>
      </w:tblPr>
      <w:tblGrid>
        <w:gridCol w:w="327"/>
        <w:gridCol w:w="2756"/>
        <w:gridCol w:w="6838"/>
      </w:tblGrid>
      <w:tr>
        <w:trPr>
          <w:trHeight w:val="426"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21 августа 2024 г. № 21-01-03-7667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381" w:hRule="atLeast"/>
        </w:trPr>
        <w:tc>
          <w:tcPr>
            <w:tcW w:w="32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 Пермский,                    г. Пермь, ул. Белорусская, зу 1ф</w:t>
            </w:r>
          </w:p>
        </w:tc>
      </w:tr>
      <w:tr>
        <w:trPr>
          <w:trHeight w:val="32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612 кв. м</w:t>
            </w:r>
          </w:p>
        </w:tc>
      </w:tr>
      <w:tr>
        <w:trPr>
          <w:trHeight w:val="34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59:01:3812839:168</w:t>
            </w:r>
          </w:p>
        </w:tc>
      </w:tr>
      <w:tr>
        <w:trPr>
          <w:trHeight w:val="28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232"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 (2.1)</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07.10.2024г.                  № КУВИ-001/2024-247653221;</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26.07.2024 № РФ-59-2-03-0-00-2024-1569-0 (далее – ГПЗУ).</w:t>
            </w:r>
          </w:p>
          <w:p>
            <w:pPr>
              <w:pStyle w:val="BodyText"/>
              <w:ind w:firstLine="312"/>
              <w:jc w:val="both"/>
              <w:rPr/>
            </w:pPr>
            <w:r>
              <w:rPr>
                <w:color w:val="000000"/>
                <w:sz w:val="24"/>
              </w:rPr>
              <w:t xml:space="preserve">Согласно сведениям, содержащимся в ЕГРН, </w:t>
              <w:br/>
              <w:t> в границах Участка объекты капитального строительства отсутствуют.</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По данным копии городского планшета М 1:500 </w:t>
              <w:br/>
              <w:t> от 27.07.2024 (требуется корректура топографической съемки) в границах Участка расположены: некапитальное строение, частично забор, грунтовая насыпь.</w:t>
            </w:r>
          </w:p>
          <w:p>
            <w:pPr>
              <w:pStyle w:val="BodyText"/>
              <w:spacing w:before="0" w:after="0"/>
              <w:ind w:firstLine="311" w:left="0" w:right="0"/>
              <w:jc w:val="both"/>
              <w:rPr/>
            </w:pPr>
            <w:r>
              <w:rPr/>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Участок ничем не огорожен, доступ не ограничен, рельеф участка ровный. На части Участка произрастают лиственные деревья и низкорослые кустарники. С северо-восточной границы Участка расположена часть самовольной постройки, часть постройки расположена на земельном участке с кадастровым номером 59:01:3812839:167. По части Участка проходит накатанная дорога, являющаяся подъездным путем к земельному участку с кадастровым номером 59:01:3812839:170. Над Участком происходит нависание электрических проводов.</w:t>
            </w:r>
            <w:r>
              <w:rPr>
                <w:color w:val="000000"/>
              </w:rPr>
              <w:t> </w:t>
            </w:r>
            <w:r>
              <w:rPr>
                <w:color w:val="000000"/>
                <w:sz w:val="24"/>
              </w:rPr>
              <w:t>Орджоникидзевским районным судом города Перми вынесено заочное решение от 20.12.2023 № 2-4460/2023 о признании объекта недвижимости самовольной постройкой и ее сносе.</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администрации Орджоникидзевского района города Перми</w:t>
            </w:r>
            <w:r>
              <w:rPr>
                <w:color w:val="000000"/>
              </w:rPr>
              <w:t> </w:t>
            </w:r>
            <w:r>
              <w:rPr>
                <w:color w:val="000000"/>
                <w:sz w:val="24"/>
              </w:rPr>
              <w:t>от 24.07.2024 № 059-37-01-32/3-2977, акте обследования от 16.07.2024 № 195).</w:t>
            </w:r>
          </w:p>
          <w:p>
            <w:pPr>
              <w:pStyle w:val="BodyText"/>
              <w:spacing w:before="0" w:after="0"/>
              <w:ind w:firstLine="311" w:left="0" w:right="0"/>
              <w:jc w:val="both"/>
              <w:rPr/>
            </w:pPr>
            <w:r>
              <w:rPr/>
            </w:r>
          </w:p>
          <w:p>
            <w:pPr>
              <w:pStyle w:val="BodyText"/>
              <w:spacing w:before="0" w:after="0"/>
              <w:ind w:firstLine="311" w:left="0" w:right="0"/>
              <w:jc w:val="both"/>
              <w:rPr/>
            </w:pPr>
            <w:r>
              <w:rPr>
                <w:b/>
                <w:color w:val="000000"/>
                <w:sz w:val="24"/>
              </w:rPr>
              <w:t>В соответствии с подпунктом 8 пункта 8 статьи 39.11 ЗК РФ</w:t>
            </w:r>
            <w:r>
              <w:rPr>
                <w:color w:val="000000"/>
              </w:rPr>
              <w:t> </w:t>
            </w:r>
            <w:r>
              <w:rPr>
                <w:color w:val="000000"/>
                <w:sz w:val="24"/>
              </w:rPr>
              <w:t>Участок, находящийся в государственной или муниципальной собственности, не может быть предметом аукциона, если на Участке расположены здание, сооружение, объект незавершенного строительства, принадлежащие гражданам или юридическим лицам, за исключением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w:t>
            </w:r>
          </w:p>
          <w:p>
            <w:pPr>
              <w:pStyle w:val="BodyText"/>
              <w:spacing w:before="0" w:after="0"/>
              <w:ind w:firstLine="311" w:left="0" w:right="0"/>
              <w:jc w:val="both"/>
              <w:rPr/>
            </w:pPr>
            <w:r>
              <w:rPr>
                <w:color w:val="000000"/>
                <w:sz w:val="24"/>
              </w:rPr>
              <w:t>В связи с тем, что самовольная постройка</w:t>
            </w:r>
            <w:r>
              <w:rPr>
                <w:color w:val="000000"/>
              </w:rPr>
              <w:t xml:space="preserve"> </w:t>
            </w:r>
            <w:r>
              <w:rPr>
                <w:color w:val="000000"/>
                <w:sz w:val="24"/>
              </w:rPr>
              <w:t>согласно акту администрации Орджоникидзевского района от 16.07.2024 № 195 не демонтирована,</w:t>
            </w:r>
            <w:r>
              <w:rPr>
                <w:color w:val="000000"/>
              </w:rPr>
              <w:t> </w:t>
            </w:r>
            <w:r>
              <w:rPr>
                <w:b/>
                <w:color w:val="000000"/>
                <w:sz w:val="24"/>
              </w:rPr>
              <w:t>Участок предоставляется в аренду, победитель аукциона обязан за свой счет и (или) с привлечением средств других лиц осуществить снос самовольных построек в срок, не превышающий 12 месяцев, в отношении которых было принято решение о сносе самовольной постройки.</w:t>
            </w:r>
          </w:p>
          <w:p>
            <w:pPr>
              <w:pStyle w:val="BodyText"/>
              <w:spacing w:before="0" w:after="0"/>
              <w:ind w:firstLine="311" w:left="0" w:right="0"/>
              <w:jc w:val="both"/>
              <w:rPr/>
            </w:pPr>
            <w:r>
              <w:rPr>
                <w:color w:val="000000"/>
                <w:sz w:val="24"/>
              </w:rPr>
              <w:t xml:space="preserve">Согласно сведениям, предоставленным отделением надзорной деятельности и профилактической работы </w:t>
              <w:br/>
              <w:t xml:space="preserve"> г. Перми по Орджоникидзевскому району 1 ОНПР </w:t>
              <w:br/>
              <w:t> по городу Перми УНПР Главного управления МЧС России по Пермскому краю, пожарные водоемы расположены по адресу: Пермский край, г. Пермь, Орджоникидзевский район, ул. Новогодняя, 11.</w:t>
            </w:r>
          </w:p>
          <w:p>
            <w:pPr>
              <w:pStyle w:val="BodyText"/>
              <w:spacing w:before="0" w:after="0"/>
              <w:ind w:firstLine="311" w:left="0" w:right="0"/>
              <w:jc w:val="both"/>
              <w:rPr/>
            </w:pPr>
            <w:r>
              <w:rPr>
                <w:color w:val="000000"/>
                <w:sz w:val="24"/>
              </w:rPr>
              <w:t xml:space="preserve">По информации, содержащейся в ГПЗУ, ЕГРН </w:t>
              <w:br/>
              <w:t xml:space="preserve"> и справке по градостроительным условиям от 07.10.2024 </w:t>
              <w:br/>
              <w:t> </w:t>
            </w:r>
            <w:r>
              <w:rPr>
                <w:color w:val="000000"/>
              </w:rPr>
              <w:t xml:space="preserve">№ </w:t>
            </w:r>
            <w:r>
              <w:rPr>
                <w:color w:val="000000"/>
                <w:sz w:val="24"/>
              </w:rPr>
              <w:t>608636, Участок полностью расположен в границах зоны с особыми условиями использования территории: Приаэродромная территория аэродрома аэропорта Большое Савино, реестровый номер границы 59:32-6.553.</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Проектирование и строительство вести</w:t>
            </w:r>
            <w:r>
              <w:rPr>
                <w:color w:val="000000"/>
              </w:rPr>
              <w:t xml:space="preserve"> </w:t>
            </w:r>
            <w:r>
              <w:rPr>
                <w:color w:val="000000"/>
                <w:sz w:val="24"/>
              </w:rPr>
              <w:br/>
              <w:t>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w:t>
            </w:r>
            <w:r>
              <w:rPr>
                <w:color w:val="000000"/>
              </w:rPr>
              <w:t xml:space="preserve"> </w:t>
            </w:r>
            <w:r>
              <w:rPr>
                <w:color w:val="000000"/>
                <w:sz w:val="24"/>
              </w:rPr>
              <w:t>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На Участке произрастают 13 деревьев породы – береза 11 шт., рябина 2 шт.</w:t>
            </w:r>
          </w:p>
          <w:p>
            <w:pPr>
              <w:pStyle w:val="BodyText"/>
              <w:spacing w:before="0" w:after="0"/>
              <w:ind w:firstLine="311" w:left="0" w:right="0"/>
              <w:jc w:val="both"/>
              <w:rPr/>
            </w:pPr>
            <w:r>
              <w:rPr>
                <w:color w:val="000000"/>
                <w:sz w:val="24"/>
              </w:rPr>
              <w:t xml:space="preserve">Средняя стоимость в ценах 2024 года одного дерева лиственной породы от 17 тыс. руб., а хвойной – </w:t>
              <w:br/>
              <w:t> от 20 тыс. руб.</w:t>
            </w:r>
          </w:p>
          <w:p>
            <w:pPr>
              <w:pStyle w:val="BodyText"/>
              <w:spacing w:before="0" w:after="0"/>
              <w:ind w:firstLine="311" w:left="0" w:right="0"/>
              <w:jc w:val="both"/>
              <w:rPr>
                <w:rFonts w:ascii="Times New Roman" w:hAnsi="Times New Roman"/>
                <w:color w:val="000000"/>
                <w:sz w:val="24"/>
              </w:rPr>
            </w:pP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spacing w:before="0" w:after="0"/>
              <w:ind w:firstLine="362" w:left="0" w:right="0"/>
              <w:jc w:val="both"/>
              <w:rPr/>
            </w:pPr>
            <w:r>
              <w:rPr>
                <w:color w:val="000000"/>
                <w:sz w:val="24"/>
              </w:rPr>
              <w:t>1. Нанесение существующих деревьев на стройгенплане;</w:t>
            </w:r>
          </w:p>
          <w:p>
            <w:pPr>
              <w:pStyle w:val="BodyText"/>
              <w:spacing w:before="0" w:after="0"/>
              <w:ind w:firstLine="362" w:left="0" w:right="0"/>
              <w:jc w:val="both"/>
              <w:rPr/>
            </w:pPr>
            <w:r>
              <w:rPr>
                <w:color w:val="000000"/>
                <w:sz w:val="24"/>
              </w:rPr>
              <w:t>2.</w:t>
            </w:r>
            <w:r>
              <w:rPr>
                <w:color w:val="000000"/>
              </w:rPr>
              <w:t xml:space="preserve"> </w:t>
            </w:r>
            <w:r>
              <w:rPr>
                <w:color w:val="000000"/>
                <w:sz w:val="24"/>
              </w:rPr>
              <w:t>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spacing w:before="0" w:after="0"/>
              <w:ind w:firstLine="362" w:left="0" w:right="0"/>
              <w:jc w:val="both"/>
              <w:rPr/>
            </w:pPr>
            <w:r>
              <w:rPr>
                <w:color w:val="000000"/>
                <w:sz w:val="24"/>
              </w:rPr>
              <w:t xml:space="preserve">3. Восстановление зеленых насаждений вести </w:t>
              <w:br/>
              <w:t xml:space="preserve"> в соответствии с решением Пермской городской Думы </w:t>
              <w:br/>
              <w:t> от 15.12.2020 № 277;</w:t>
            </w:r>
          </w:p>
          <w:p>
            <w:pPr>
              <w:pStyle w:val="BodyText"/>
              <w:spacing w:before="0" w:after="0"/>
              <w:ind w:firstLine="362" w:left="0" w:right="0"/>
              <w:jc w:val="both"/>
              <w:rPr/>
            </w:pPr>
            <w:r>
              <w:rPr>
                <w:color w:val="000000"/>
                <w:sz w:val="24"/>
              </w:rPr>
              <w:t>4. Сбор и отвод ливневых вод с использованием вариантов решений в зависимости от:</w:t>
            </w:r>
          </w:p>
          <w:p>
            <w:pPr>
              <w:pStyle w:val="BodyText"/>
              <w:spacing w:before="0" w:after="0"/>
              <w:ind w:firstLine="311" w:left="0" w:right="0"/>
              <w:jc w:val="both"/>
              <w:rPr>
                <w:rFonts w:ascii="Times New Roman" w:hAnsi="Times New Roman"/>
                <w:color w:val="000000"/>
                <w:sz w:val="24"/>
              </w:rPr>
            </w:pPr>
            <w:r>
              <w:rPr>
                <w:color w:val="000000"/>
                <w:sz w:val="24"/>
              </w:rPr>
              <w:t>- наличия централизованной системы ливневой канализации;</w:t>
            </w:r>
          </w:p>
          <w:p>
            <w:pPr>
              <w:pStyle w:val="BodyText"/>
              <w:spacing w:before="0" w:after="0"/>
              <w:ind w:firstLine="311" w:left="0" w:right="0"/>
              <w:jc w:val="both"/>
              <w:rPr/>
            </w:pPr>
            <w:r>
              <w:rPr>
                <w:color w:val="000000"/>
                <w:sz w:val="24"/>
              </w:rPr>
              <w:t xml:space="preserve">- площади водосбора с учетом транзитных вод </w:t>
              <w:br/>
              <w:t> с прилегающей территории;</w:t>
            </w:r>
          </w:p>
          <w:p>
            <w:pPr>
              <w:pStyle w:val="BodyText"/>
              <w:spacing w:before="0" w:after="0"/>
              <w:ind w:firstLine="311" w:left="0" w:right="0"/>
              <w:jc w:val="both"/>
              <w:rPr/>
            </w:pPr>
            <w:r>
              <w:rPr>
                <w:color w:val="000000"/>
                <w:sz w:val="24"/>
              </w:rPr>
              <w:t>- угла наклона рельефа, включающего</w:t>
            </w:r>
            <w:r>
              <w:rPr>
                <w:color w:val="000000"/>
              </w:rPr>
              <w:t xml:space="preserve"> </w:t>
            </w:r>
            <w:r>
              <w:rPr>
                <w:color w:val="000000"/>
                <w:sz w:val="24"/>
              </w:rPr>
              <w:t>прилегающие территории;</w:t>
            </w:r>
          </w:p>
          <w:p>
            <w:pPr>
              <w:pStyle w:val="BodyText"/>
              <w:spacing w:before="0" w:after="0"/>
              <w:ind w:firstLine="311" w:left="0" w:right="0"/>
              <w:jc w:val="both"/>
              <w:rPr/>
            </w:pPr>
            <w:r>
              <w:rPr>
                <w:color w:val="000000"/>
                <w:sz w:val="24"/>
              </w:rPr>
              <w:t xml:space="preserve">- применения иных решений равномерного отвода поверхностного стока с запрашиваемой территории </w:t>
              <w:br/>
              <w:t> на прилегающей территории;</w:t>
            </w:r>
          </w:p>
          <w:p>
            <w:pPr>
              <w:pStyle w:val="BodyText"/>
              <w:spacing w:before="0" w:after="0"/>
              <w:ind w:firstLine="311" w:left="0" w:right="0"/>
              <w:jc w:val="both"/>
              <w:rPr/>
            </w:pPr>
            <w:r>
              <w:rPr>
                <w:color w:val="000000"/>
                <w:sz w:val="24"/>
              </w:rPr>
              <w:t xml:space="preserve">- применения иных решений равномерного отвода поверхностного стока с запрашиваемой территории </w:t>
              <w:br/>
              <w:t> на прилегающие территории;</w:t>
            </w:r>
          </w:p>
          <w:p>
            <w:pPr>
              <w:pStyle w:val="BodyText"/>
              <w:spacing w:before="0" w:after="0"/>
              <w:ind w:firstLine="311" w:left="0" w:right="0"/>
              <w:jc w:val="both"/>
              <w:rPr/>
            </w:pPr>
            <w:r>
              <w:rPr>
                <w:color w:val="000000"/>
                <w:sz w:val="24"/>
              </w:rPr>
              <w:t xml:space="preserve">5. Определение видов образующих отходов и мест </w:t>
              <w:br/>
              <w:t> их размещения на период эксплуатации;</w:t>
            </w:r>
          </w:p>
          <w:p>
            <w:pPr>
              <w:pStyle w:val="BodyText"/>
              <w:spacing w:before="0" w:after="0"/>
              <w:ind w:firstLine="311" w:left="0" w:right="0"/>
              <w:jc w:val="both"/>
              <w:rPr/>
            </w:pPr>
            <w:r>
              <w:rPr>
                <w:color w:val="000000"/>
                <w:sz w:val="24"/>
              </w:rPr>
              <w:t>6. Конкретные мероприятия по охране окружающей среды на период строительства, включая:</w:t>
            </w:r>
          </w:p>
          <w:p>
            <w:pPr>
              <w:pStyle w:val="BodyText"/>
              <w:spacing w:before="0" w:after="0"/>
              <w:ind w:firstLine="311" w:left="0" w:right="0"/>
              <w:jc w:val="both"/>
              <w:rPr>
                <w:rFonts w:ascii="Times New Roman" w:hAnsi="Times New Roman"/>
                <w:color w:val="000000"/>
                <w:sz w:val="24"/>
              </w:rPr>
            </w:pPr>
            <w:r>
              <w:rPr>
                <w:color w:val="000000"/>
                <w:sz w:val="24"/>
              </w:rPr>
              <w:t>- установку временного защитного ограждения строительной площадки;</w:t>
            </w:r>
          </w:p>
          <w:p>
            <w:pPr>
              <w:pStyle w:val="BodyText"/>
              <w:spacing w:before="0" w:after="0"/>
              <w:ind w:firstLine="311" w:left="0" w:right="0"/>
              <w:jc w:val="both"/>
              <w:rPr>
                <w:rFonts w:ascii="Times New Roman" w:hAnsi="Times New Roman"/>
                <w:color w:val="000000"/>
                <w:sz w:val="24"/>
              </w:rPr>
            </w:pPr>
            <w:r>
              <w:rPr>
                <w:color w:val="000000"/>
                <w:sz w:val="24"/>
              </w:rPr>
              <w:t xml:space="preserve">- ограждение существующих зеленых насаждений, </w:t>
              <w:br/>
              <w:t> не попадающих под пятно застройки;</w:t>
            </w:r>
          </w:p>
          <w:p>
            <w:pPr>
              <w:pStyle w:val="BodyText"/>
              <w:spacing w:before="0" w:after="0"/>
              <w:ind w:firstLine="311" w:left="0" w:right="0"/>
              <w:jc w:val="both"/>
              <w:rPr/>
            </w:pPr>
            <w:r>
              <w:rPr>
                <w:color w:val="000000"/>
                <w:sz w:val="24"/>
              </w:rPr>
              <w:t xml:space="preserve">- прокладку коммуникаций осуществлять </w:t>
              <w:br/>
              <w:t xml:space="preserve"> на расстоянии не менее 2 м. от ствола дерева, чтобы </w:t>
              <w:br/>
              <w:t> не повредить корневую систему;</w:t>
            </w:r>
          </w:p>
          <w:p>
            <w:pPr>
              <w:pStyle w:val="BodyText"/>
              <w:spacing w:before="0" w:after="0"/>
              <w:ind w:firstLine="311" w:left="0" w:right="0"/>
              <w:jc w:val="both"/>
              <w:rPr/>
            </w:pPr>
            <w:r>
              <w:rPr>
                <w:color w:val="000000"/>
                <w:sz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BodyText"/>
              <w:spacing w:before="0" w:after="0"/>
              <w:ind w:firstLine="311" w:left="0" w:right="0"/>
              <w:jc w:val="both"/>
              <w:rPr>
                <w:rFonts w:ascii="Times New Roman" w:hAnsi="Times New Roman"/>
                <w:color w:val="000000"/>
                <w:sz w:val="24"/>
              </w:rPr>
            </w:pPr>
            <w:r>
              <w:rPr>
                <w:color w:val="000000"/>
                <w:sz w:val="24"/>
              </w:rPr>
              <w:t>- определение видов и объемов образующихся отходов и мест их размещения;</w:t>
            </w:r>
          </w:p>
          <w:p>
            <w:pPr>
              <w:pStyle w:val="BodyText"/>
              <w:spacing w:before="0" w:after="0"/>
              <w:ind w:firstLine="311" w:left="0" w:right="0"/>
              <w:jc w:val="both"/>
              <w:rPr>
                <w:rFonts w:ascii="Times New Roman" w:hAnsi="Times New Roman"/>
                <w:color w:val="000000"/>
                <w:sz w:val="24"/>
              </w:rPr>
            </w:pPr>
            <w:r>
              <w:rPr>
                <w:color w:val="000000"/>
                <w:sz w:val="24"/>
              </w:rPr>
              <w:t>- систематический вывоз отходов;</w:t>
            </w:r>
          </w:p>
          <w:p>
            <w:pPr>
              <w:pStyle w:val="BodyText"/>
              <w:spacing w:before="0" w:after="0"/>
              <w:ind w:firstLine="311" w:left="0" w:right="0"/>
              <w:jc w:val="both"/>
              <w:rPr/>
            </w:pPr>
            <w:r>
              <w:rPr>
                <w:color w:val="000000"/>
                <w:sz w:val="24"/>
              </w:rPr>
              <w:t xml:space="preserve">- недопущение загрязнения атмосферы, почвы </w:t>
              <w:br/>
              <w:t> и подземных вод;</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предотвращение выноса грязи автотранспортом, выезжающим со строительной площадки.</w:t>
            </w:r>
          </w:p>
          <w:p>
            <w:pPr>
              <w:pStyle w:val="BodyText"/>
              <w:spacing w:before="0" w:after="0"/>
              <w:ind w:firstLine="311" w:left="0" w:right="0"/>
              <w:jc w:val="both"/>
              <w:rPr>
                <w:rFonts w:ascii="Times New Roman" w:hAnsi="Times New Roman"/>
                <w:color w:val="000000"/>
                <w:sz w:val="24"/>
                <w:szCs w:val="24"/>
              </w:rPr>
            </w:pPr>
            <w:r>
              <w:rPr>
                <w:color w:val="000000"/>
                <w:sz w:val="24"/>
              </w:rPr>
              <w:t xml:space="preserve">(Аналогичная информация отражена в письме </w:t>
            </w:r>
            <w:r>
              <w:rPr>
                <w:b/>
                <w:color w:val="000000"/>
                <w:sz w:val="24"/>
              </w:rPr>
              <w:t>управления по экологии и природопользованию администрации города Перми</w:t>
            </w:r>
            <w:r>
              <w:rPr>
                <w:color w:val="000000"/>
                <w:sz w:val="24"/>
              </w:rPr>
              <w:t> от 26.07.2024 № 059-33-01-10/3-468).</w:t>
            </w:r>
          </w:p>
          <w:p>
            <w:pPr>
              <w:pStyle w:val="BodyText"/>
              <w:spacing w:before="0" w:after="0"/>
              <w:ind w:firstLine="311" w:left="0" w:right="0"/>
              <w:jc w:val="both"/>
              <w:rPr>
                <w:rFonts w:ascii="Times New Roman" w:hAnsi="Times New Roman"/>
                <w:color w:val="000000"/>
                <w:sz w:val="24"/>
                <w:szCs w:val="24"/>
              </w:rPr>
            </w:pPr>
            <w:r>
              <w:rPr>
                <w:color w:val="000000"/>
                <w:sz w:val="24"/>
                <w:szCs w:val="24"/>
              </w:rPr>
            </w:r>
          </w:p>
          <w:p>
            <w:pPr>
              <w:pStyle w:val="BodyText"/>
              <w:spacing w:before="0" w:after="0"/>
              <w:ind w:firstLine="311" w:left="0" w:right="0"/>
              <w:jc w:val="both"/>
              <w:rPr>
                <w:color w:val="000000"/>
              </w:rPr>
            </w:pPr>
            <w:r>
              <w:rPr>
                <w:color w:val="000000"/>
                <w:sz w:val="24"/>
              </w:rPr>
              <w:t>Для примыкания Участка к улично-дорожной сети города Перми необходимо:</w:t>
            </w:r>
          </w:p>
          <w:p>
            <w:pPr>
              <w:pStyle w:val="BodyText"/>
              <w:spacing w:before="0" w:after="0"/>
              <w:ind w:firstLine="311" w:left="0" w:right="0"/>
              <w:jc w:val="both"/>
              <w:rPr/>
            </w:pPr>
            <w:r>
              <w:rPr>
                <w:color w:val="000000"/>
                <w:sz w:val="24"/>
              </w:rPr>
              <w:t xml:space="preserve">разработать проект организации дорожного движения </w:t>
              <w:br/>
              <w:t xml:space="preserve"> и согласовать в установленном порядке с ГКУ «Центр безопасности дорожного движения Пермского края» </w:t>
              <w:br/>
              <w:t> (ул. Пермская, 164, тел. 236-21-84);</w:t>
            </w:r>
          </w:p>
          <w:p>
            <w:pPr>
              <w:pStyle w:val="BodyText"/>
              <w:spacing w:before="0" w:after="0"/>
              <w:ind w:firstLine="311" w:left="0" w:right="0"/>
              <w:jc w:val="both"/>
              <w:rPr/>
            </w:pPr>
            <w:r>
              <w:rPr>
                <w:color w:val="000000"/>
                <w:sz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311" w:left="0" w:right="0"/>
              <w:jc w:val="both"/>
              <w:rPr/>
            </w:pPr>
            <w:r>
              <w:rPr>
                <w:color w:val="000000"/>
                <w:sz w:val="24"/>
              </w:rPr>
              <w:t>Дополнительно направлена информация о соблюдении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 277:</w:t>
            </w:r>
          </w:p>
          <w:p>
            <w:pPr>
              <w:pStyle w:val="BodyText"/>
              <w:spacing w:before="0" w:after="0"/>
              <w:ind w:firstLine="311" w:left="0" w:right="0"/>
              <w:jc w:val="both"/>
              <w:rPr/>
            </w:pPr>
            <w:r>
              <w:rPr>
                <w:color w:val="000000"/>
                <w:sz w:val="24"/>
              </w:rPr>
              <w:t xml:space="preserve">поверхностный водоотвод решить проектом </w:t>
              <w:br/>
              <w:t xml:space="preserve"> без подтопления смежных территорий, в соответствии </w:t>
              <w:br/>
              <w:t xml:space="preserve"> с действующими нормативно-правовыми актами </w:t>
              <w:br/>
              <w:t> и природоохранным законодательством;</w:t>
            </w:r>
          </w:p>
          <w:p>
            <w:pPr>
              <w:pStyle w:val="BodyText"/>
              <w:spacing w:before="0" w:after="0"/>
              <w:ind w:firstLine="311"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311" w:left="0" w:right="0"/>
              <w:jc w:val="both"/>
              <w:rPr/>
            </w:pPr>
            <w:r>
              <w:rPr>
                <w:color w:val="000000"/>
                <w:sz w:val="24"/>
              </w:rPr>
              <w:t xml:space="preserve">стоянку временного транспорта разместить </w:t>
              <w:br/>
              <w:t> в границах отведенного под строительство земельного участка вне территории общего пользования;</w:t>
            </w:r>
          </w:p>
          <w:p>
            <w:pPr>
              <w:pStyle w:val="BodyText"/>
              <w:spacing w:before="0" w:after="0"/>
              <w:ind w:firstLine="311" w:left="0" w:right="0"/>
              <w:jc w:val="both"/>
              <w:rPr/>
            </w:pPr>
            <w:r>
              <w:rPr>
                <w:color w:val="000000"/>
                <w:sz w:val="24"/>
              </w:rPr>
              <w:t xml:space="preserve">предусмотреть устройство подъезда к Участку </w:t>
              <w:br/>
              <w:t xml:space="preserve"> или ликвидацию разрушений, повреждений дорожного покрытия существующих проездов от границ Участка </w:t>
              <w:br/>
              <w:t> до существующей улично-дорожной сети, а также наружное освещение подъездов.</w:t>
            </w:r>
          </w:p>
          <w:p>
            <w:pPr>
              <w:pStyle w:val="BodyText"/>
              <w:spacing w:before="0" w:after="0"/>
              <w:ind w:firstLine="311" w:left="0" w:right="0"/>
              <w:jc w:val="both"/>
              <w:rPr/>
            </w:pPr>
            <w:r>
              <w:rPr>
                <w:color w:val="000000"/>
                <w:sz w:val="24"/>
              </w:rPr>
              <w:t xml:space="preserve">В соответствии с бюджетом города Перми </w:t>
              <w:br/>
              <w:t> на 2024 год и плановый период 2025-2026 годов мероприятий по строительству, реконструкции, капитальному ремонту улично-дорожной сети на данной территории не запланировано.</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Для сведения сообщается, что в соответствии </w:t>
              <w:br/>
              <w:t xml:space="preserve"> с Федеральным законом от 08.11.2007 № 257-ФЗ </w:t>
              <w:br/>
              <w:t xml:space="preserve"> «Об автомобильных дорогах и о дорожной деятельности </w:t>
              <w:br/>
              <w:t xml:space="preserve"> в Российской Федерации и о внесении изменений </w:t>
              <w:br/>
              <w:t>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департамента дорог и благоустройства администрации города Перми</w:t>
            </w:r>
            <w:r>
              <w:rPr>
                <w:color w:val="000000"/>
                <w:sz w:val="24"/>
              </w:rPr>
              <w:t xml:space="preserve"> от 17.07.2024 </w:t>
            </w:r>
            <w:r>
              <w:rPr>
                <w:color w:val="000000"/>
              </w:rPr>
              <w:t xml:space="preserve">№ </w:t>
            </w:r>
            <w:r>
              <w:rPr>
                <w:color w:val="000000"/>
                <w:sz w:val="24"/>
              </w:rPr>
              <w:t>059-24-01-36/3-2543).</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 xml:space="preserve">Информация о подразделениях пожарной охраны </w:t>
              <w:br/>
              <w:t> 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 Ближайшее подразделение пожарной охраны расположено по адресу: ул. Волховская, 37 (ПСЧ-57 10-ПСО) и ул. Васнецова, 7 (ПСЧ-7 10-ПСО);</w:t>
            </w:r>
          </w:p>
          <w:p>
            <w:pPr>
              <w:pStyle w:val="BodyText"/>
              <w:spacing w:before="0" w:after="0"/>
              <w:ind w:firstLine="311" w:left="0" w:right="0"/>
              <w:jc w:val="both"/>
              <w:rPr/>
            </w:pPr>
            <w:r>
              <w:rPr>
                <w:color w:val="000000"/>
                <w:sz w:val="24"/>
              </w:rPr>
              <w:t>на указанной территории источники противопожарного водоснабжения (пожарные гидранты и пожарные водоемы) отсутствуют. Строительство пожарного водоема запланировано в рамках муниципальной программы «Безопасный город», утвержденной постановлением администрации города Перми от 20.10.2021 № 921 по ул. Токарной;</w:t>
            </w:r>
          </w:p>
          <w:p>
            <w:pPr>
              <w:pStyle w:val="BodyText"/>
              <w:spacing w:before="0" w:after="0"/>
              <w:ind w:firstLine="311" w:left="0" w:right="0"/>
              <w:jc w:val="both"/>
              <w:rPr/>
            </w:pPr>
            <w:r>
              <w:rPr>
                <w:color w:val="000000"/>
                <w:sz w:val="24"/>
              </w:rPr>
              <w:t xml:space="preserve">объекты общественной безопасности, отнесенные </w:t>
              <w:br/>
              <w:t xml:space="preserve"> к объектам полиции (участковые пункты полиции) </w:t>
              <w:br/>
              <w:t> в микрорайоне Чапаево отсутствуют. Ближайший участковый пункт расположен по адресу: г. Пермь,  ул. Переулок Талицкий, д 8, (м-н Кислотные Дачи, Мотовилихинский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 xml:space="preserve">помещения для аварийно-спасательных служб </w:t>
              <w:br/>
              <w:t xml:space="preserve"> и (или) аварийно-спасательных формирований </w:t>
              <w:br/>
              <w:t> на указанной территории отсутствуют;</w:t>
            </w:r>
          </w:p>
          <w:p>
            <w:pPr>
              <w:pStyle w:val="BodyText"/>
              <w:spacing w:before="0" w:after="0"/>
              <w:ind w:firstLine="311" w:left="0" w:right="0"/>
              <w:jc w:val="both"/>
              <w:rPr>
                <w:rFonts w:ascii="Times New Roman" w:hAnsi="Times New Roman"/>
                <w:color w:val="000000"/>
                <w:sz w:val="24"/>
              </w:rPr>
            </w:pPr>
            <w:r>
              <w:rPr>
                <w:color w:val="000000"/>
                <w:sz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BodyText"/>
              <w:spacing w:before="0" w:after="0"/>
              <w:ind w:firstLine="311" w:left="0" w:right="0"/>
              <w:jc w:val="both"/>
              <w:rPr/>
            </w:pPr>
            <w:r>
              <w:rPr>
                <w:color w:val="000000"/>
                <w:sz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адресу: 1-й Еловский переулок, д. 22 -</w:t>
            </w:r>
            <w:r>
              <w:rPr>
                <w:color w:val="000000"/>
              </w:rPr>
              <w:t xml:space="preserve"> </w:t>
            </w:r>
            <w:r>
              <w:rPr>
                <w:color w:val="000000"/>
                <w:sz w:val="24"/>
              </w:rPr>
              <w:t>600 метров.</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w:t>
            </w:r>
            <w:r>
              <w:rPr>
                <w:color w:val="000000"/>
              </w:rPr>
              <w:t xml:space="preserve"> № </w:t>
            </w:r>
            <w:r>
              <w:rPr>
                <w:color w:val="000000"/>
                <w:sz w:val="24"/>
              </w:rPr>
              <w:t xml:space="preserve">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w:t>
            </w:r>
            <w:r>
              <w:rPr>
                <w:color w:val="000000"/>
              </w:rPr>
              <w:t xml:space="preserve">№ </w:t>
            </w:r>
            <w:r>
              <w:rPr>
                <w:color w:val="000000"/>
                <w:sz w:val="24"/>
              </w:rPr>
              <w:t>288 и иной документации, касающейся норм противопожарной безопасности.</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rPr>
              <w:t xml:space="preserve"> </w:t>
            </w:r>
            <w:r>
              <w:rPr>
                <w:color w:val="000000"/>
                <w:sz w:val="24"/>
              </w:rPr>
              <w:t>от 19.07.2024 № 059-10-01-27/3-1064).</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Места для установки и эксплуатации рекламных конструкций, включенные в схему размещения рекламных конструкций на территории города Перми, утвержденную решением Пермской городской Думы от 23.08.2016 № 171, и места размещения НТО, включенные в схему размещения НТО на территории города Перми, утвержденную постановлением администрации города Перми от 02.08.2018 № 521, в границах Участка отсутствуют.</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Договоры на размещение НТО в границах Участка </w:t>
              <w:br/>
              <w:t> не заключались.</w:t>
            </w:r>
          </w:p>
          <w:p>
            <w:pPr>
              <w:pStyle w:val="BodyText"/>
              <w:spacing w:before="0" w:after="0"/>
              <w:ind w:firstLine="311" w:left="0" w:right="0"/>
              <w:jc w:val="both"/>
              <w:rPr/>
            </w:pPr>
            <w:r>
              <w:rPr>
                <w:color w:val="000000"/>
                <w:sz w:val="24"/>
              </w:rPr>
              <w:t>(Аналогичная информация  отражена в письме</w:t>
            </w:r>
            <w:r>
              <w:rPr/>
              <w:t xml:space="preserve"> </w:t>
            </w:r>
            <w:r>
              <w:rPr>
                <w:b/>
                <w:color w:val="000000"/>
                <w:sz w:val="24"/>
              </w:rPr>
              <w:t xml:space="preserve">департамента экономики и промышленной политики администрации города Перми </w:t>
            </w:r>
            <w:r>
              <w:rPr>
                <w:color w:val="000000"/>
                <w:sz w:val="24"/>
              </w:rPr>
              <w:t>от 18.07.2024 № 059-13-01-04-1353).</w:t>
            </w:r>
          </w:p>
          <w:p>
            <w:pPr>
              <w:pStyle w:val="BodyText"/>
              <w:spacing w:before="0" w:after="0"/>
              <w:ind w:firstLine="311" w:left="0" w:right="0"/>
              <w:jc w:val="both"/>
              <w:rPr/>
            </w:pPr>
            <w:r>
              <w:rPr/>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 </w:t>
            </w:r>
            <w:r>
              <w:rPr>
                <w:color w:val="000000"/>
                <w:sz w:val="24"/>
              </w:rPr>
              <w:t>Участок и объекты недвижимого имущества в реестре муниципального имущества города Перми не учитываются.</w:t>
            </w:r>
          </w:p>
          <w:p>
            <w:pPr>
              <w:pStyle w:val="BodyText"/>
              <w:spacing w:before="0" w:after="0"/>
              <w:ind w:firstLine="311" w:left="0" w:right="0"/>
              <w:jc w:val="both"/>
              <w:rPr/>
            </w:pPr>
            <w:r>
              <w:rPr>
                <w:color w:val="000000"/>
                <w:sz w:val="24"/>
              </w:rPr>
              <w:t>(Аналогичная информация отражена в письме</w:t>
            </w:r>
            <w:r>
              <w:rPr/>
              <w:t xml:space="preserve"> </w:t>
            </w:r>
            <w:r>
              <w:rPr>
                <w:b/>
                <w:color w:val="000000"/>
                <w:sz w:val="24"/>
              </w:rPr>
              <w:t>департамента имущественных отношений администрации города Перми</w:t>
            </w:r>
            <w:r>
              <w:rPr>
                <w:color w:val="000000"/>
              </w:rPr>
              <w:t> </w:t>
            </w:r>
            <w:r>
              <w:rPr>
                <w:color w:val="000000"/>
                <w:sz w:val="24"/>
              </w:rPr>
              <w:t>от 17.07.2024 № 059-19-01-35/3-1175).</w:t>
            </w:r>
          </w:p>
          <w:p>
            <w:pPr>
              <w:pStyle w:val="BodyText"/>
              <w:spacing w:before="0" w:after="0"/>
              <w:ind w:hanging="0" w:left="0" w:right="0"/>
              <w:jc w:val="both"/>
              <w:rPr/>
            </w:pPr>
            <w:r>
              <w:rPr/>
            </w:r>
          </w:p>
          <w:p>
            <w:pPr>
              <w:pStyle w:val="BodyText"/>
              <w:spacing w:before="0" w:after="0"/>
              <w:ind w:firstLine="311" w:left="0" w:right="0"/>
              <w:jc w:val="both"/>
              <w:rPr>
                <w:rFonts w:ascii="Times New Roman" w:hAnsi="Times New Roman"/>
                <w:color w:val="000000"/>
                <w:sz w:val="24"/>
              </w:rPr>
            </w:pPr>
            <w:r>
              <w:rPr>
                <w:color w:val="000000"/>
                <w:sz w:val="24"/>
              </w:rPr>
              <w:t xml:space="preserve"> </w:t>
            </w:r>
            <w:r>
              <w:rPr>
                <w:color w:val="000000"/>
                <w:sz w:val="24"/>
              </w:rPr>
              <w:t>В границах Участка отсутствуют:</w:t>
            </w:r>
          </w:p>
          <w:p>
            <w:pPr>
              <w:pStyle w:val="BodyText"/>
              <w:spacing w:before="0" w:after="0"/>
              <w:ind w:firstLine="311" w:left="0" w:right="0"/>
              <w:jc w:val="both"/>
              <w:rPr/>
            </w:pPr>
            <w:r>
              <w:rPr>
                <w:color w:val="000000"/>
                <w:sz w:val="24"/>
              </w:rPr>
              <w:t xml:space="preserve">- объекты культурного наследия, включенные </w:t>
              <w:br/>
              <w:t> в единый государственный реестр объектов культурного наследия (памятников истории и культуры) народов Российской Федерации;</w:t>
            </w:r>
          </w:p>
          <w:p>
            <w:pPr>
              <w:pStyle w:val="BodyText"/>
              <w:spacing w:before="0" w:after="0"/>
              <w:ind w:firstLine="311" w:left="0" w:right="0"/>
              <w:jc w:val="both"/>
              <w:rPr>
                <w:rFonts w:ascii="Times New Roman" w:hAnsi="Times New Roman"/>
                <w:color w:val="000000"/>
                <w:sz w:val="24"/>
              </w:rPr>
            </w:pPr>
            <w:r>
              <w:rPr>
                <w:color w:val="000000"/>
                <w:sz w:val="24"/>
              </w:rPr>
              <w:t>- выявленные объекты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 объекты, обладающие признаками объектов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 территории объектов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 зоны охраны объектов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 защитные зоны объектов культурного наследия;</w:t>
            </w:r>
          </w:p>
          <w:p>
            <w:pPr>
              <w:pStyle w:val="BodyText"/>
              <w:spacing w:before="0" w:after="0"/>
              <w:ind w:firstLine="311" w:left="0" w:right="0"/>
              <w:jc w:val="both"/>
              <w:rPr/>
            </w:pPr>
            <w:r>
              <w:rPr>
                <w:color w:val="000000"/>
                <w:sz w:val="24"/>
              </w:rPr>
              <w:t xml:space="preserve">Участок не связан с земельным участком </w:t>
              <w:br/>
              <w:t> в границах территории объекта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Сведения о режимах использования (ограничения/обременения) Участка отсутствуют;</w:t>
            </w:r>
          </w:p>
          <w:p>
            <w:pPr>
              <w:pStyle w:val="BodyText"/>
              <w:spacing w:before="0" w:after="0"/>
              <w:ind w:firstLine="311" w:left="0" w:right="0"/>
              <w:jc w:val="both"/>
              <w:rPr>
                <w:rFonts w:ascii="Times New Roman" w:hAnsi="Times New Roman"/>
                <w:color w:val="000000"/>
                <w:sz w:val="24"/>
              </w:rPr>
            </w:pPr>
            <w:r>
              <w:rPr>
                <w:color w:val="000000"/>
                <w:sz w:val="24"/>
              </w:rPr>
              <w:t>Данные о проведенных историко-культурных исследованиях в границах Участка отсутствуют;</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Необходимость проведения историко-культурной экспертизы в границах Участка отсутствует.</w:t>
            </w:r>
          </w:p>
          <w:p>
            <w:pPr>
              <w:pStyle w:val="BodyText"/>
              <w:spacing w:before="0" w:after="0"/>
              <w:ind w:firstLine="311" w:left="0" w:right="0"/>
              <w:jc w:val="both"/>
              <w:rPr>
                <w:rFonts w:ascii="Times New Roman" w:hAnsi="Times New Roman"/>
                <w:color w:val="000000"/>
                <w:sz w:val="24"/>
                <w:szCs w:val="24"/>
              </w:rPr>
            </w:pPr>
            <w:r>
              <w:rPr>
                <w:color w:val="000000"/>
                <w:sz w:val="24"/>
              </w:rPr>
              <w:t xml:space="preserve">(Аналогичная информация отражена в письме </w:t>
            </w:r>
            <w:r>
              <w:rPr>
                <w:b/>
                <w:color w:val="000000"/>
                <w:sz w:val="24"/>
              </w:rPr>
              <w:t>государственной инспекции по охране объектов культурного наследия Пермского края</w:t>
            </w:r>
            <w:r>
              <w:rPr>
                <w:color w:val="000000"/>
              </w:rPr>
              <w:t xml:space="preserve"> </w:t>
            </w:r>
            <w:r>
              <w:rPr>
                <w:color w:val="000000"/>
                <w:sz w:val="24"/>
              </w:rPr>
              <w:t>письмом от 18.07.2024 № Исх55-01-17.2-317).</w:t>
            </w:r>
          </w:p>
          <w:p>
            <w:pPr>
              <w:pStyle w:val="BodyText"/>
              <w:spacing w:before="0" w:after="0"/>
              <w:ind w:firstLine="311" w:left="0" w:right="0"/>
              <w:jc w:val="both"/>
              <w:rPr>
                <w:color w:val="000000"/>
                <w:sz w:val="24"/>
              </w:rPr>
            </w:pPr>
            <w:r>
              <w:rPr>
                <w:color w:val="000000"/>
                <w:sz w:val="24"/>
              </w:rPr>
            </w:r>
          </w:p>
        </w:tc>
      </w:tr>
      <w:tr>
        <w:trPr>
          <w:trHeight w:val="104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BodyText"/>
              <w:spacing w:before="0" w:after="0"/>
              <w:ind w:firstLine="311" w:left="0" w:right="0"/>
              <w:jc w:val="both"/>
              <w:rPr/>
            </w:pPr>
            <w:r>
              <w:rPr>
                <w:color w:val="000000"/>
                <w:sz w:val="24"/>
              </w:rPr>
              <w:t xml:space="preserve">Согласно пункту 6.2 СП 55.13330.2016 высота </w:t>
              <w:br/>
              <w:t xml:space="preserve"> (от пола до потолка) комнат и кухни (кухни-столовой) </w:t>
              <w:br/>
              <w:t xml:space="preserve"> в климатических районах строительства IА, IБ, IГ, IД, определяемых по СП 131.13330, должна быть не менее </w:t>
              <w:br/>
              <w:t>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t>а высота пути эвакуации - не менее</w:t>
            </w:r>
            <w:r>
              <w:rPr>
                <w:color w:val="000000"/>
              </w:rPr>
              <w:t> </w:t>
            </w:r>
            <w:r>
              <w:rPr>
                <w:color w:val="000000"/>
                <w:sz w:val="24"/>
              </w:rPr>
              <w:t>2,2 м.</w:t>
            </w:r>
          </w:p>
          <w:p>
            <w:pPr>
              <w:pStyle w:val="BodyText"/>
              <w:spacing w:before="0" w:after="0"/>
              <w:ind w:firstLine="311" w:left="0" w:right="0"/>
              <w:jc w:val="both"/>
              <w:rPr/>
            </w:pPr>
            <w:r>
              <w:rPr>
                <w:color w:val="000000"/>
                <w:sz w:val="24"/>
              </w:rPr>
              <w:t xml:space="preserve">В жилых комнатах и кухнях, расположенных </w:t>
              <w:br/>
              <w:t>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pPr>
            <w:r>
              <w:rPr>
                <w:color w:val="000000"/>
                <w:sz w:val="24"/>
              </w:rPr>
              <w:t>Согласно информации, содержащейся в градостроительном плане земельного участка от 26.07.2024 № РФ-59-2-03-0-00-2024-1569-0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 .</w:t>
            </w:r>
          </w:p>
          <w:p>
            <w:pPr>
              <w:pStyle w:val="BodyText"/>
              <w:spacing w:before="0" w:after="0"/>
              <w:ind w:firstLine="311" w:left="0" w:right="0"/>
              <w:jc w:val="both"/>
              <w:rPr/>
            </w:pPr>
            <w:r>
              <w:rPr>
                <w:color w:val="000000"/>
                <w:sz w:val="24"/>
              </w:rPr>
              <w:t xml:space="preserve">Минимальный отступ от границ земельного участка </w:t>
              <w:br/>
              <w:t>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pPr>
            <w:r>
              <w:rPr>
                <w:color w:val="000000"/>
                <w:sz w:val="24"/>
              </w:rPr>
              <w:t>Максимальный процент застройки в границах Участка —</w:t>
            </w:r>
            <w:r>
              <w:rPr>
                <w:color w:val="000000"/>
              </w:rPr>
              <w:t xml:space="preserve"> </w:t>
            </w:r>
            <w:r>
              <w:rPr>
                <w:color w:val="000000"/>
                <w:sz w:val="24"/>
              </w:rPr>
              <w:t>30%.</w:t>
            </w:r>
          </w:p>
          <w:p>
            <w:pPr>
              <w:pStyle w:val="BodyText"/>
              <w:spacing w:before="0" w:after="0"/>
              <w:ind w:firstLine="311"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spacing w:before="0" w:after="0"/>
              <w:ind w:hanging="0" w:left="0" w:right="0"/>
              <w:jc w:val="both"/>
              <w:rPr>
                <w:rFonts w:ascii="Times New Roman" w:hAnsi="Times New Roman"/>
                <w:color w:val="000000"/>
                <w:sz w:val="24"/>
              </w:rPr>
            </w:pPr>
            <w:r>
              <w:rPr>
                <w:color w:val="000000"/>
                <w:sz w:val="24"/>
              </w:rPr>
            </w:r>
          </w:p>
        </w:tc>
      </w:tr>
      <w:tr>
        <w:trPr>
          <w:trHeight w:val="417"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3"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BodyText"/>
              <w:spacing w:before="0" w:after="0"/>
              <w:ind w:firstLine="311" w:left="0" w:right="0"/>
              <w:jc w:val="both"/>
              <w:rPr/>
            </w:pPr>
            <w:r>
              <w:rPr>
                <w:color w:val="000000"/>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w:t>
              <w:br/>
              <w:t> </w:t>
            </w:r>
            <w:r>
              <w:rPr>
                <w:color w:val="000000"/>
              </w:rPr>
              <w:t xml:space="preserve">№ </w:t>
            </w:r>
            <w:r>
              <w:rPr>
                <w:color w:val="000000"/>
                <w:sz w:val="24"/>
              </w:rPr>
              <w:t>861,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11" w:left="0" w:right="0"/>
              <w:jc w:val="both"/>
              <w:rPr/>
            </w:pPr>
            <w:r>
              <w:rPr>
                <w:color w:val="000000"/>
                <w:sz w:val="24"/>
              </w:rPr>
              <w:t xml:space="preserve">Плата за технологическое присоединение энергопринимающих устройств устанавливается исходя </w:t>
              <w:br/>
              <w:t>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 121-тп (в последней редакции).</w:t>
            </w:r>
          </w:p>
          <w:p>
            <w:pPr>
              <w:pStyle w:val="BodyText"/>
              <w:spacing w:before="0" w:after="0"/>
              <w:ind w:firstLine="311" w:left="0" w:right="0"/>
              <w:jc w:val="both"/>
              <w:rPr/>
            </w:pPr>
            <w:r>
              <w:rPr>
                <w:color w:val="000000"/>
                <w:sz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r>
              <w:rPr>
                <w:color w:val="000000"/>
                <w:sz w:val="24"/>
                <w:u w:val="single"/>
              </w:rPr>
              <w:t>https://портал-тп.рф</w:t>
            </w:r>
            <w:r>
              <w:rPr>
                <w:color w:val="000000"/>
              </w:rPr>
              <w:t xml:space="preserve"> </w:t>
            </w:r>
            <w:r>
              <w:rPr>
                <w:color w:val="000000"/>
                <w:sz w:val="24"/>
              </w:rPr>
              <w:t>или через Мобильное приложение ПАО «Россети».</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от 17.07.2024 № ПЭ/ПГЭС/01/22/7357</w:t>
            </w:r>
            <w:r>
              <w:rPr/>
              <w:t>).</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Для рассмотрения вопроса о предоставлении технических условий на подключение (технологическое присоединение) необходимо направить запрос  по типовой форме с приложением необходимых документов и сведений, указанных в пунктах 11 и 16 постановления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Петропавловская, 43, через личный кабинет на сайте ugaz.ru, на портале единого оператора газификации: </w:t>
            </w:r>
            <w:hyperlink r:id="rId14" w:tgtFrame="https://connectgas.ru./">
              <w:r>
                <w:rPr>
                  <w:rStyle w:val="Hyperlink"/>
                  <w:sz w:val="24"/>
                </w:rPr>
                <w:t>https://connectgas.ru.</w:t>
              </w:r>
            </w:hyperlink>
          </w:p>
          <w:p>
            <w:pPr>
              <w:pStyle w:val="BodyText"/>
              <w:spacing w:before="0" w:after="0"/>
              <w:ind w:firstLine="311" w:left="0" w:right="0"/>
              <w:jc w:val="both"/>
              <w:rPr/>
            </w:pPr>
            <w:r>
              <w:rPr>
                <w:color w:val="000000"/>
                <w:sz w:val="24"/>
              </w:rPr>
              <w:t>(Аналогичная информация отражена в письме</w:t>
            </w:r>
            <w:r>
              <w:rPr/>
              <w:t xml:space="preserve"> </w:t>
            </w:r>
            <w:r>
              <w:rPr>
                <w:b/>
                <w:color w:val="000000"/>
                <w:sz w:val="24"/>
              </w:rPr>
              <w:t>АО «Газпром газораспределение Пермь»</w:t>
            </w:r>
            <w:r>
              <w:rPr>
                <w:color w:val="000000"/>
              </w:rPr>
              <w:t xml:space="preserve"> </w:t>
            </w:r>
            <w:r>
              <w:rPr>
                <w:color w:val="000000"/>
                <w:sz w:val="24"/>
              </w:rPr>
              <w:t>от 17.07.2024 № ПФ-4382</w:t>
            </w:r>
            <w:r>
              <w:rPr/>
              <w:t>).</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 xml:space="preserve">В районе Участка отсутствуют централизованные сети водопровода и канализации, эксплуатируемые </w:t>
              <w:br/>
              <w:t> ООО «НОВОГОР-Прикамье».</w:t>
            </w:r>
          </w:p>
          <w:p>
            <w:pPr>
              <w:pStyle w:val="BodyText"/>
              <w:spacing w:before="0" w:after="0"/>
              <w:ind w:firstLine="311" w:left="0" w:right="0"/>
              <w:jc w:val="both"/>
              <w:rPr/>
            </w:pPr>
            <w:r>
              <w:rPr>
                <w:color w:val="000000"/>
                <w:sz w:val="24"/>
              </w:rPr>
              <w:t>Альтернативным методом снабжения водой может быть скважина, отвод стоков возможен на локальные очистные сооружения, либо в выгребную яму с последующим вывозом стоков спец. машинами,  при этом состав стоков должен соответствовать всем нормативным требованиям Российской Федерации.</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от скважины и отвод канализационных локально, предлагаем вам обратиться в организации, регулирующие недропользование.</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 xml:space="preserve">от 17.07.2024 </w:t>
            </w:r>
            <w:r>
              <w:rPr>
                <w:color w:val="000000"/>
              </w:rPr>
              <w:t xml:space="preserve">№ </w:t>
            </w:r>
            <w:r>
              <w:rPr>
                <w:color w:val="000000"/>
                <w:sz w:val="24"/>
              </w:rPr>
              <w:t>110-11739).</w:t>
            </w:r>
          </w:p>
          <w:p>
            <w:pPr>
              <w:pStyle w:val="BodyText"/>
              <w:spacing w:before="0" w:after="0"/>
              <w:ind w:firstLine="311" w:left="0" w:right="0"/>
              <w:jc w:val="both"/>
              <w:rPr/>
            </w:pPr>
            <w:r>
              <w:rPr/>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 </w:t>
            </w:r>
            <w:r>
              <w:rPr>
                <w:color w:val="000000"/>
                <w:sz w:val="24"/>
              </w:rPr>
              <w:t xml:space="preserve">Участок расположен вне зоны теплоснабжения </w:t>
              <w:br/>
              <w:t> ПАО «Т Плюс».</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rPr>
              <w:t xml:space="preserve"> </w:t>
            </w:r>
            <w:r>
              <w:rPr>
                <w:color w:val="000000"/>
                <w:sz w:val="24"/>
              </w:rPr>
              <w:t>от 18.07.2024 № 51000-32-02328).</w:t>
            </w:r>
          </w:p>
          <w:p>
            <w:pPr>
              <w:pStyle w:val="BodyText"/>
              <w:spacing w:before="0" w:after="0"/>
              <w:ind w:firstLine="311" w:left="0" w:right="0"/>
              <w:jc w:val="both"/>
              <w:rPr/>
            </w:pPr>
            <w:r>
              <w:rPr/>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Техническая возможность подключения к сетям теплоснабжения отсутствует. Рекомендовано рассмотреть альтернативный источник теплоснабжения -</w:t>
            </w:r>
            <w:r>
              <w:rPr>
                <w:color w:val="000000"/>
              </w:rPr>
              <w:t xml:space="preserve"> </w:t>
            </w:r>
            <w:r>
              <w:rPr>
                <w:color w:val="000000"/>
                <w:sz w:val="24"/>
              </w:rPr>
              <w:t>газ.</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департамента жилищно-коммунального хозяйства администрации города Перми </w:t>
            </w:r>
            <w:r>
              <w:rPr>
                <w:color w:val="000000"/>
                <w:sz w:val="24"/>
              </w:rPr>
              <w:t>(далее – ДЖКХ) письмом от 08.08.2024 № 059-04-17/3-771-ри).</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 xml:space="preserve">Технологическое присоединение к сетям связи </w:t>
              <w:br/>
              <w:t> </w:t>
            </w:r>
            <w:r>
              <w:rPr>
                <w:b/>
                <w:color w:val="000000"/>
                <w:sz w:val="24"/>
              </w:rPr>
              <w:t>ПАО «Ростелеком»</w:t>
            </w:r>
            <w:r>
              <w:rPr>
                <w:color w:val="000000"/>
              </w:rPr>
              <w:t> </w:t>
            </w:r>
            <w:r>
              <w:rPr>
                <w:color w:val="000000"/>
                <w:sz w:val="24"/>
              </w:rPr>
              <w:t>может быть произведено в точке подключения узел ВОЛС (г. Пермь, ул. Кронита, 8), максимальную нагрузку в точке подключения (технологического присоединения) возможно определить на стадии проектирования. В границах участка сети ПАО «Ростелеком» отсутствуют.</w:t>
            </w:r>
          </w:p>
          <w:p>
            <w:pPr>
              <w:pStyle w:val="BodyText"/>
              <w:spacing w:before="0" w:after="0"/>
              <w:ind w:firstLine="311" w:left="0" w:right="0"/>
              <w:jc w:val="both"/>
              <w:rPr/>
            </w:pPr>
            <w:r>
              <w:rPr>
                <w:color w:val="000000"/>
                <w:sz w:val="24"/>
              </w:rPr>
              <w:t xml:space="preserve">Срок действия технических условий составляет </w:t>
              <w:br/>
              <w:t xml:space="preserve"> 3 года со дня выдачи. В случае, если в течении 1 года </w:t>
              <w:br/>
              <w:t xml:space="preserve">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w:t>
            </w:r>
            <w:r>
              <w:rPr>
                <w:color w:val="000000"/>
              </w:rPr>
              <w:t xml:space="preserve">№ </w:t>
            </w:r>
            <w:r>
              <w:rPr>
                <w:color w:val="000000"/>
                <w:sz w:val="24"/>
              </w:rPr>
              <w:t>1196).</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Для подключения (технологического присоединения) </w:t>
              <w:br/>
              <w:t xml:space="preserve"> к сетям электросвязи ПАО «Ростелеком» необходимо обратиться по адресу: г. Пермь, ул. Крупской, 2, </w:t>
              <w:br/>
              <w:t xml:space="preserve"> тел.: +7 (342) 235-57-34 или направить запрос </w:t>
              <w:br/>
              <w:t xml:space="preserve"> на </w:t>
            </w:r>
            <w:hyperlink r:id="rId15" w:tgtFrame="mailto:perm-mail@ural.rt.ru.">
              <w:r>
                <w:rPr>
                  <w:rStyle w:val="Hyperlink"/>
                  <w:sz w:val="24"/>
                </w:rPr>
                <w:t>perm-mail@ural.rt.ru.</w:t>
              </w:r>
            </w:hyperlink>
          </w:p>
          <w:p>
            <w:pPr>
              <w:pStyle w:val="BodyText"/>
              <w:spacing w:before="0" w:after="0"/>
              <w:ind w:firstLine="311" w:left="0" w:right="0"/>
              <w:jc w:val="both"/>
              <w:rPr/>
            </w:pPr>
            <w:r>
              <w:rPr>
                <w:color w:val="000000"/>
                <w:sz w:val="24"/>
              </w:rPr>
              <w:t>(Аналогичная информация отражена в письме</w:t>
            </w:r>
            <w:r>
              <w:rPr/>
              <w:t xml:space="preserve"> </w:t>
            </w:r>
            <w:r>
              <w:rPr>
                <w:color w:val="000000"/>
                <w:sz w:val="24"/>
              </w:rPr>
              <w:t> </w:t>
            </w:r>
            <w:r>
              <w:rPr>
                <w:b/>
                <w:color w:val="000000"/>
                <w:sz w:val="24"/>
              </w:rPr>
              <w:t>ПАО «Ростелеком»</w:t>
            </w:r>
            <w:r>
              <w:rPr/>
              <w:t xml:space="preserve"> </w:t>
            </w:r>
            <w:r>
              <w:rPr>
                <w:color w:val="000000"/>
                <w:sz w:val="24"/>
              </w:rPr>
              <w:t>от 22.07.2024 № 01/05/105333/24).</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 xml:space="preserve">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предусмотрено строительство сетей водоснабжения </w:t>
              <w:br/>
              <w:t> и водоотведения в мкр. Чапаева с 2024 года (мероприятия не обеспечены финансированием).</w:t>
            </w:r>
          </w:p>
          <w:p>
            <w:pPr>
              <w:pStyle w:val="Normal"/>
              <w:ind w:firstLine="252"/>
              <w:jc w:val="both"/>
              <w:rPr>
                <w:sz w:val="24"/>
                <w:szCs w:val="24"/>
              </w:rPr>
            </w:pPr>
            <w:r>
              <w:rPr>
                <w:color w:val="000000"/>
                <w:sz w:val="24"/>
              </w:rPr>
              <w:t>(Аналогичная информация отражена в письме</w:t>
            </w:r>
            <w:r>
              <w:rPr>
                <w:sz w:val="24"/>
                <w:szCs w:val="24"/>
              </w:rPr>
              <w:t xml:space="preserve"> </w:t>
            </w:r>
            <w:r>
              <w:rPr>
                <w:b/>
                <w:color w:val="000000"/>
                <w:sz w:val="24"/>
              </w:rPr>
              <w:t>департамента жилищно-коммунального хозяйства</w:t>
            </w:r>
            <w:r>
              <w:rPr>
                <w:color w:val="000000"/>
              </w:rPr>
              <w:t xml:space="preserve"> </w:t>
            </w:r>
            <w:r>
              <w:rPr>
                <w:color w:val="000000"/>
                <w:sz w:val="24"/>
              </w:rPr>
              <w:t xml:space="preserve">от 24.07.2024 </w:t>
            </w:r>
            <w:r>
              <w:rPr>
                <w:color w:val="000000"/>
              </w:rPr>
              <w:t xml:space="preserve">№ </w:t>
            </w:r>
            <w:r>
              <w:rPr>
                <w:color w:val="000000"/>
                <w:sz w:val="24"/>
              </w:rPr>
              <w:t>059-04-17/3-709-ри</w:t>
            </w:r>
            <w:r>
              <w:rPr>
                <w:sz w:val="24"/>
                <w:szCs w:val="24"/>
              </w:rPr>
              <w:t>).</w:t>
            </w:r>
          </w:p>
          <w:p>
            <w:pPr>
              <w:pStyle w:val="Normal"/>
              <w:ind w:firstLine="252"/>
              <w:jc w:val="both"/>
              <w:rPr>
                <w:sz w:val="24"/>
                <w:szCs w:val="24"/>
              </w:rPr>
            </w:pPr>
            <w:r>
              <w:rPr>
                <w:sz w:val="24"/>
                <w:szCs w:val="24"/>
              </w:rPr>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b/>
                <w:sz w:val="24"/>
                <w:szCs w:val="24"/>
              </w:rPr>
            </w:pPr>
            <w:r>
              <w:rPr>
                <w:b/>
                <w:sz w:val="24"/>
                <w:szCs w:val="24"/>
              </w:rPr>
            </w:r>
          </w:p>
          <w:p>
            <w:pPr>
              <w:pStyle w:val="Normal"/>
              <w:ind w:right="0"/>
              <w:rPr>
                <w:b w:val="false"/>
                <w:bCs w:val="false"/>
                <w:sz w:val="24"/>
                <w:szCs w:val="24"/>
              </w:rPr>
            </w:pPr>
            <w:r>
              <w:rPr>
                <w:b w:val="false"/>
                <w:bCs w:val="false"/>
                <w:sz w:val="24"/>
                <w:szCs w:val="24"/>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147 600 руб.</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«Шаг аукциона» (3% от начальной цены)</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4 428 руб.</w:t>
            </w:r>
          </w:p>
        </w:tc>
      </w:tr>
      <w:tr>
        <w:trPr>
          <w:trHeight w:val="49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6"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rPr>
            </w:pPr>
            <w:r>
              <w:rPr>
                <w:b/>
                <w:sz w:val="24"/>
                <w:szCs w:val="24"/>
              </w:rPr>
              <w:t xml:space="preserve">Решение о проведении аукциона принято в соответствии со статьей 39.11 Земельного кодекса Российской Федерации, </w:t>
            </w:r>
            <w:r>
              <w:rPr>
                <w:b/>
                <w:color w:val="000000"/>
                <w:sz w:val="24"/>
                <w:szCs w:val="24"/>
              </w:rPr>
              <w:t>аукцион является открытым по составу участников.</w:t>
            </w:r>
          </w:p>
        </w:tc>
      </w:tr>
      <w:tr>
        <w:trPr>
          <w:trHeight w:val="557"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73 800 руб.</w:t>
            </w:r>
          </w:p>
          <w:p>
            <w:pPr>
              <w:pStyle w:val="Normal"/>
              <w:jc w:val="both"/>
              <w:rPr>
                <w:sz w:val="24"/>
                <w:szCs w:val="24"/>
              </w:rPr>
            </w:pPr>
            <w:r>
              <w:rPr>
                <w:sz w:val="24"/>
                <w:szCs w:val="24"/>
              </w:rPr>
            </w:r>
          </w:p>
        </w:tc>
      </w:tr>
      <w:tr>
        <w:trPr>
          <w:trHeight w:val="31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утвержден постановлением администрации города Перми от 29.05.2015 № 322, является Приложением 3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spacing w:lineRule="exact" w:line="240"/>
        <w:ind w:right="-263"/>
        <w:rPr>
          <w:b/>
          <w:bCs/>
        </w:rPr>
      </w:pPr>
      <w:r>
        <w:rPr>
          <w:b/>
          <w:bCs/>
        </w:rPr>
      </w:r>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26.10.2024</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26.11.2024</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 </w:t>
      </w:r>
      <w:r>
        <w:rPr>
          <w:rFonts w:eastAsia="Courier New"/>
          <w:b/>
          <w:bCs/>
          <w:lang w:bidi="ru-RU"/>
        </w:rPr>
        <w:t xml:space="preserve">27.11.2024.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lang w:bidi="ru-RU"/>
        </w:rPr>
        <w:t xml:space="preserve">Дата проведения аукциона (дата и время начала приема предложений </w:t>
      </w:r>
      <w:r>
        <w:rPr>
          <w:rFonts w:eastAsia="Courier New"/>
          <w:b/>
          <w:lang w:bidi="ru-RU"/>
        </w:rPr>
        <w:br w:type="textWrapping" w:clear="all"/>
      </w:r>
      <w:r>
        <w:rPr>
          <w:rFonts w:eastAsia="Courier New"/>
          <w:b/>
          <w:lang w:bidi="ru-RU"/>
        </w:rPr>
        <w:t>от участников аукциона) –</w:t>
      </w:r>
      <w:r>
        <w:rPr>
          <w:rFonts w:eastAsia="Courier New"/>
          <w:lang w:bidi="ru-RU"/>
        </w:rPr>
        <w:t xml:space="preserve"> </w:t>
      </w:r>
      <w:r>
        <w:rPr>
          <w:rFonts w:eastAsia="Courier New"/>
          <w:b/>
          <w:bCs/>
          <w:lang w:bidi="ru-RU"/>
        </w:rPr>
        <w:t>28.</w:t>
      </w:r>
      <w:r>
        <w:rPr>
          <w:rFonts w:eastAsia="Courier New"/>
          <w:b/>
          <w:lang w:bidi="ru-RU"/>
        </w:rPr>
        <w:t>11.2024</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7"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26.10.2024 по 26.11.2024.</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pPr>
        <w:pStyle w:val="Normal"/>
        <w:widowControl w:val="false"/>
        <w:spacing w:before="0" w:after="0"/>
        <w:ind w:firstLine="567" w:left="-567"/>
        <w:contextualSpacing/>
        <w:jc w:val="both"/>
        <w:rPr>
          <w:lang w:bidi="ru-RU"/>
        </w:rPr>
      </w:pPr>
      <w:r>
        <w:rPr>
          <w:lang w:bidi="ru-RU"/>
        </w:rPr>
        <w:t xml:space="preserve">Заявителю, не допущенному к участию в аукционе, внесенный им задаток возвращается </w:t>
      </w:r>
      <w:r>
        <w:rPr>
          <w:lang w:bidi="ru-RU"/>
        </w:rPr>
        <w:br w:type="textWrapping" w:clear="all"/>
      </w:r>
      <w:r>
        <w:rPr>
          <w:lang w:bidi="ru-RU"/>
        </w:rPr>
        <w:t xml:space="preserve">в течение трех рабочих дней со дня оформления протокола приема заявок на участие в аукционе. </w:t>
      </w:r>
    </w:p>
    <w:p>
      <w:pPr>
        <w:pStyle w:val="Normal"/>
        <w:widowControl w:val="false"/>
        <w:ind w:firstLine="567" w:left="-567"/>
        <w:jc w:val="both"/>
        <w:rPr>
          <w:lang w:bidi="ru-RU"/>
        </w:rPr>
      </w:pPr>
      <w:r>
        <w:rP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или единственного принявшего участие </w:t>
        <w:br/>
        <w:t>в аукционе участника.</w:t>
      </w:r>
    </w:p>
    <w:p>
      <w:pPr>
        <w:pStyle w:val="Normal"/>
        <w:widowControl w:val="false"/>
        <w:ind w:firstLine="567" w:left="-567"/>
        <w:jc w:val="both"/>
        <w:rPr>
          <w:lang w:bidi="ru-RU"/>
        </w:rPr>
      </w:pPr>
      <w:r>
        <w:rPr>
          <w:lang w:bidi="ru-RU"/>
        </w:rPr>
        <w:t xml:space="preserve">Организатор аукциона посредством штатного интерфейса торговой секции </w:t>
      </w:r>
      <w:r>
        <w:rPr>
          <w:lang w:bidi="ru-RU"/>
        </w:rPr>
        <w:br w:type="textWrapping" w:clear="all"/>
      </w:r>
      <w:r>
        <w:rPr>
          <w:lang w:bidi="ru-RU"/>
        </w:rPr>
        <w:t>в установленные сроки формирует поручение Оператору:</w:t>
      </w:r>
    </w:p>
    <w:p>
      <w:pPr>
        <w:pStyle w:val="Normal"/>
        <w:widowControl w:val="false"/>
        <w:ind w:firstLine="567" w:left="-567"/>
        <w:jc w:val="both"/>
        <w:rPr>
          <w:bCs/>
          <w:lang w:bidi="ru-RU"/>
        </w:rPr>
      </w:pPr>
      <w:r>
        <w:rP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bCs/>
          <w:lang w:bidi="ru-RU"/>
        </w:rPr>
      </w:pPr>
      <w:r>
        <w:rPr>
          <w:bCs/>
          <w:lang w:bidi="ru-RU"/>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w:t>
        <w:br/>
        <w:t xml:space="preserve">в соответствии с пунктами 13, 14, 20, 25 ст.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w:t>
        <w:br/>
        <w:t xml:space="preserve">от заключения указанных договоров, не возвращаются. </w:t>
      </w:r>
    </w:p>
    <w:p>
      <w:pPr>
        <w:pStyle w:val="Normal"/>
        <w:widowControl w:val="false"/>
        <w:spacing w:lineRule="auto" w:line="276"/>
        <w:jc w:val="both"/>
        <w:rPr>
          <w:bCs/>
          <w:lang w:bidi="ru-RU"/>
        </w:rPr>
      </w:pPr>
      <w:r>
        <w:rPr>
          <w:bCs/>
          <w:lang w:bidi="ru-RU"/>
        </w:rPr>
      </w:r>
    </w:p>
    <w:p>
      <w:pPr>
        <w:pStyle w:val="Normal"/>
        <w:widowControl w:val="false"/>
        <w:jc w:val="center"/>
        <w:rPr>
          <w:rFonts w:eastAsia="Courier New"/>
          <w:lang w:bidi="ru-RU"/>
        </w:rPr>
      </w:pPr>
      <w:r>
        <w:rPr>
          <w:b/>
        </w:rPr>
        <w:t>Организатор аукциона вправе:</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567" w:left="-567"/>
        <w:jc w:val="both"/>
        <w:rPr/>
      </w:pPr>
      <w: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о проведении аукциона. </w:t>
      </w:r>
    </w:p>
    <w:p>
      <w:pPr>
        <w:pStyle w:val="Normal"/>
        <w:widowControl w:val="false"/>
        <w:ind w:firstLine="567" w:left="-567"/>
        <w:jc w:val="both"/>
        <w:rPr/>
      </w:pPr>
      <w: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Извещение об отказе </w:t>
        <w:br/>
        <w:t xml:space="preserve">в проведении аукциона размещается на официальном сайте организатором аукциона </w:t>
        <w:br/>
        <w:t>и на электронной площадке в течение трех дней со дня принятия данного решения.</w:t>
      </w:r>
    </w:p>
    <w:p>
      <w:pPr>
        <w:pStyle w:val="Normal"/>
        <w:widowControl w:val="false"/>
        <w:ind w:firstLine="567" w:left="-567"/>
        <w:jc w:val="both"/>
        <w:rPr/>
      </w:pPr>
      <w: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pPr>
      <w:r>
        <w:rPr/>
        <w:t xml:space="preserve">В случае отмены аукциона организатором аукциона (в т. ч. одного или нескольких лотов) </w:t>
      </w:r>
      <w:r>
        <w:rPr/>
        <w:br w:type="textWrapping" w:clear="all"/>
      </w:r>
      <w:r>
        <w:rPr/>
        <w:t>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pPr>
      <w:r>
        <w:rPr/>
      </w:r>
    </w:p>
    <w:p>
      <w:pPr>
        <w:pStyle w:val="Normal"/>
        <w:widowControl w:val="false"/>
        <w:ind w:left="502"/>
        <w:jc w:val="center"/>
        <w:rPr>
          <w:rFonts w:eastAsia="Courier New"/>
          <w:b/>
          <w:bCs/>
          <w:lang w:bidi="ru-RU"/>
        </w:rPr>
      </w:pPr>
      <w:r>
        <w:rPr>
          <w:rFonts w:eastAsia="Courier New"/>
          <w:b/>
          <w:lang w:bidi="ru-RU"/>
        </w:rPr>
        <w:t>Порядок регистрации на электронной площадке</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567" w:left="-567"/>
        <w:jc w:val="both"/>
        <w:rPr>
          <w:bCs/>
          <w:lang w:bidi="ru-RU"/>
        </w:rPr>
      </w:pPr>
      <w:r>
        <w:rPr>
          <w:bCs/>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bCs/>
          <w:lang w:bidi="ru-RU"/>
        </w:rPr>
      </w:pPr>
      <w:r>
        <w:rPr>
          <w:bCs/>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b/>
          <w:color w:val="000000"/>
        </w:rPr>
      </w:pPr>
      <w:r>
        <w:rPr>
          <w:bCs/>
          <w:lang w:bidi="ru-RU"/>
        </w:rPr>
        <w:t xml:space="preserve">Дата и время регистрации участников аукциона на участие в аукционе на электронной площадке на сайте в сети Интернет: c 26.10.2024 по 26.11.2024 с 9.00 до 18.00 по местному времени (7:00 – 16:00 МСК). </w:t>
      </w:r>
    </w:p>
    <w:p>
      <w:pPr>
        <w:pStyle w:val="NormalWeb"/>
        <w:jc w:val="center"/>
        <w:rPr>
          <w:bCs/>
          <w:lang w:bidi="ru-RU"/>
        </w:rPr>
      </w:pPr>
      <w:r>
        <w:rPr>
          <w:b/>
          <w:color w:val="000000"/>
        </w:rPr>
        <w:t>Разъяснение положений извещения о проведении аукциона</w:t>
      </w:r>
    </w:p>
    <w:p>
      <w:pPr>
        <w:pStyle w:val="ListParagraph"/>
        <w:widowControl w:val="false"/>
        <w:ind w:firstLine="567" w:left="-567"/>
        <w:jc w:val="both"/>
        <w:rPr>
          <w:bCs/>
          <w:lang w:bidi="ru-RU"/>
        </w:rPr>
      </w:pPr>
      <w:r>
        <w:rPr>
          <w:bCs/>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bCs/>
          <w:lang w:bidi="ru-RU"/>
        </w:rPr>
      </w:pPr>
      <w:r>
        <w:rPr>
          <w:bCs/>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lang w:bidi="ru-RU"/>
        </w:rPr>
      </w:pPr>
      <w:r>
        <w:rPr>
          <w:bCs/>
          <w:lang w:bidi="ru-RU"/>
        </w:rPr>
      </w:r>
    </w:p>
    <w:p>
      <w:pPr>
        <w:pStyle w:val="Normal"/>
        <w:numPr>
          <w:ilvl w:val="0"/>
          <w:numId w:val="0"/>
        </w:numPr>
        <w:tabs>
          <w:tab w:val="clear" w:pos="708"/>
          <w:tab w:val="center" w:pos="5076" w:leader="none"/>
        </w:tabs>
        <w:ind w:hanging="0" w:left="0"/>
        <w:jc w:val="center"/>
        <w:outlineLvl w:val="0"/>
        <w:rPr>
          <w:b/>
          <w:bCs/>
        </w:rPr>
      </w:pPr>
      <w:r>
        <w:rPr>
          <w:b/>
          <w:bCs/>
        </w:rPr>
        <w:t xml:space="preserve">Требования к содержанию и составу заявки на участие в аукционе, инструкция </w:t>
      </w:r>
      <w:r>
        <w:rPr>
          <w:b/>
          <w:bCs/>
        </w:rPr>
        <w:br w:type="textWrapping" w:clear="all"/>
      </w:r>
      <w:r>
        <w:rPr>
          <w:b/>
          <w:bCs/>
        </w:rPr>
        <w:t>по её заполнению</w:t>
      </w:r>
    </w:p>
    <w:p>
      <w:pPr>
        <w:pStyle w:val="Normal"/>
        <w:numPr>
          <w:ilvl w:val="0"/>
          <w:numId w:val="0"/>
        </w:numPr>
        <w:tabs>
          <w:tab w:val="clear" w:pos="708"/>
          <w:tab w:val="center" w:pos="5076" w:leader="none"/>
        </w:tabs>
        <w:ind w:hanging="0" w:left="0"/>
        <w:jc w:val="center"/>
        <w:outlineLvl w:val="0"/>
        <w:rPr>
          <w:b/>
          <w:bCs/>
        </w:rPr>
      </w:pPr>
      <w:r>
        <w:rPr>
          <w:b/>
          <w:bCs/>
        </w:rPr>
      </w:r>
    </w:p>
    <w:p>
      <w:pPr>
        <w:pStyle w:val="Normal"/>
        <w:numPr>
          <w:ilvl w:val="0"/>
          <w:numId w:val="0"/>
        </w:numPr>
        <w:tabs>
          <w:tab w:val="clear" w:pos="708"/>
          <w:tab w:val="center" w:pos="5076" w:leader="none"/>
        </w:tabs>
        <w:ind w:firstLine="567" w:left="-567"/>
        <w:jc w:val="both"/>
        <w:outlineLvl w:val="0"/>
        <w:rPr>
          <w:rFonts w:eastAsia="Courier New"/>
          <w:lang w:bidi="ru-RU"/>
        </w:rPr>
      </w:pPr>
      <w: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br w:type="textWrapping" w:clear="all"/>
      </w:r>
      <w:r>
        <w:rPr/>
        <w:t>о проведении аукциона.</w:t>
      </w:r>
    </w:p>
    <w:p>
      <w:pPr>
        <w:pStyle w:val="Normal"/>
        <w:widowControl w:val="false"/>
        <w:ind w:firstLine="567" w:left="-567"/>
        <w:jc w:val="both"/>
        <w:rPr>
          <w:rFonts w:eastAsia="Calibri"/>
        </w:rPr>
      </w:pPr>
      <w:r>
        <w:rPr>
          <w:rFonts w:eastAsia="Courier New"/>
          <w:lang w:bidi="ru-RU"/>
        </w:rPr>
        <w:t xml:space="preserve">Для участия в аукционе заявители представляют в установленный в извещении </w:t>
      </w:r>
      <w:r>
        <w:rPr>
          <w:rFonts w:eastAsia="Courier New"/>
          <w:lang w:bidi="ru-RU"/>
        </w:rPr>
        <w:br w:type="textWrapping" w:clear="all"/>
      </w:r>
      <w:r>
        <w:rPr>
          <w:rFonts w:eastAsia="Courier New"/>
          <w:lang w:bidi="ru-RU"/>
        </w:rPr>
        <w:t>о проведении аукциона срок следующие документы:</w:t>
      </w:r>
    </w:p>
    <w:p>
      <w:pPr>
        <w:pStyle w:val="Normal"/>
        <w:ind w:firstLine="567" w:left="-567"/>
        <w:jc w:val="both"/>
        <w:rPr>
          <w:rFonts w:eastAsia="Calibri"/>
        </w:rPr>
      </w:pPr>
      <w:r>
        <w:rPr>
          <w:rFonts w:eastAsia="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rFonts w:eastAsia="Calibri"/>
        </w:rPr>
      </w:pPr>
      <w:r>
        <w:rPr>
          <w:rFonts w:eastAsia="Calibri"/>
        </w:rPr>
        <w:t>2) копии документов, удостоверяющих личность заявителя (для граждан), всех страниц;</w:t>
      </w:r>
    </w:p>
    <w:p>
      <w:pPr>
        <w:pStyle w:val="Normal"/>
        <w:ind w:firstLine="567" w:left="-567"/>
        <w:jc w:val="both"/>
        <w:rPr>
          <w:rFonts w:eastAsia="Calibri"/>
        </w:rPr>
      </w:pPr>
      <w:r>
        <w:rPr>
          <w:rFonts w:eastAsia="Calibri"/>
        </w:rPr>
        <w:t xml:space="preserve">3) надлежащим образом заверенный перевод на русский язык документов </w:t>
      </w:r>
      <w:r>
        <w:rPr>
          <w:rFonts w:eastAsia="Calibri"/>
        </w:rPr>
        <w:br w:type="textWrapping" w:clear="all"/>
      </w:r>
      <w:r>
        <w:rPr>
          <w:rFonts w:eastAsia="Calibri"/>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rFonts w:eastAsia="Calibri"/>
        </w:rPr>
      </w:pPr>
      <w:r>
        <w:rPr>
          <w:rFonts w:eastAsia="Calibri"/>
        </w:rPr>
        <w:t>4) документы, подтверждающие внесение задатка.</w:t>
      </w:r>
    </w:p>
    <w:p>
      <w:pPr>
        <w:pStyle w:val="Normal"/>
        <w:jc w:val="both"/>
        <w:rPr>
          <w:rFonts w:eastAsia="Calibri"/>
        </w:rPr>
      </w:pPr>
      <w:r>
        <w:rPr>
          <w:rFonts w:eastAsia="Calibri"/>
        </w:rPr>
      </w:r>
    </w:p>
    <w:p>
      <w:pPr>
        <w:pStyle w:val="Normal"/>
        <w:ind w:firstLine="708"/>
        <w:jc w:val="center"/>
        <w:rPr>
          <w:b/>
        </w:rPr>
      </w:pPr>
      <w:r>
        <w:rPr>
          <w:b/>
        </w:rPr>
        <w:t>Инструкция по заполнению и подаче заявки, порядок приема заявки</w:t>
      </w:r>
    </w:p>
    <w:p>
      <w:pPr>
        <w:pStyle w:val="Normal"/>
        <w:ind w:firstLine="708"/>
        <w:jc w:val="center"/>
        <w:rPr>
          <w:b/>
        </w:rPr>
      </w:pPr>
      <w:r>
        <w:rPr>
          <w:b/>
        </w:rPr>
      </w:r>
    </w:p>
    <w:p>
      <w:pPr>
        <w:pStyle w:val="Normal"/>
        <w:ind w:firstLine="567" w:left="-567"/>
        <w:jc w:val="both"/>
        <w:rPr/>
      </w:pPr>
      <w: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pPr>
      <w: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pPr>
      <w:r>
        <w:rPr/>
        <w:t xml:space="preserve">Подача заявки осуществляется заявителем, зарегистрированным в торговой секции, </w:t>
      </w:r>
      <w:r>
        <w:rPr/>
        <w:br w:type="textWrapping" w:clear="all"/>
      </w:r>
      <w: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pPr>
      <w:r>
        <w:rPr/>
        <w:t xml:space="preserve">Заявитель вправе подать заявку в любое время с момента размещения извещения </w:t>
      </w:r>
      <w:r>
        <w:rPr/>
        <w:br w:type="textWrapping" w:clear="all"/>
      </w:r>
      <w: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pPr>
      <w:r>
        <w:rPr/>
        <w:t>Один заявитель вправе подать только одну заявку на участие в аукционе в отношении каждого лота.</w:t>
      </w:r>
    </w:p>
    <w:p>
      <w:pPr>
        <w:pStyle w:val="Normal"/>
        <w:ind w:firstLine="567" w:left="-567"/>
        <w:jc w:val="both"/>
        <w:rPr/>
      </w:pPr>
      <w: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pPr>
      <w:r>
        <w:rPr/>
        <w:t xml:space="preserve">Участие в аукционе возможно при наличии на лицевом счете заявителя денежных средств </w:t>
      </w:r>
      <w:r>
        <w:rPr/>
        <w:br w:type="textWrapping" w:clear="all"/>
      </w:r>
      <w:r>
        <w:rPr/>
        <w:t xml:space="preserve">в размере не менее чем размер задатка на участие в аукционе, предусмотренный извещением </w:t>
      </w:r>
      <w:r>
        <w:rPr/>
        <w:br w:type="textWrapping" w:clear="all"/>
      </w:r>
      <w:r>
        <w:rPr/>
        <w:t>о проведении аукциона.</w:t>
      </w:r>
    </w:p>
    <w:p>
      <w:pPr>
        <w:pStyle w:val="Normal"/>
        <w:ind w:firstLine="567" w:left="-567"/>
        <w:jc w:val="both"/>
        <w:rPr/>
      </w:pPr>
      <w:r>
        <w:rPr/>
        <w:t>Все документы, входящие в состав заявки, должны иметь четко читаемый текст.</w:t>
      </w:r>
    </w:p>
    <w:p>
      <w:pPr>
        <w:pStyle w:val="Normal"/>
        <w:ind w:firstLine="567" w:left="-567"/>
        <w:jc w:val="both"/>
        <w:rPr>
          <w:bCs/>
        </w:rPr>
      </w:pPr>
      <w: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bCs/>
        </w:rPr>
      </w:pPr>
      <w:r>
        <w:rPr>
          <w:bCs/>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bCs/>
        </w:rPr>
      </w:pPr>
      <w:r>
        <w:rPr>
          <w:bCs/>
        </w:rPr>
        <w:t xml:space="preserve">а) отсутствия на лицевом счете заявителя достаточной суммы денежных средств </w:t>
      </w:r>
      <w:r>
        <w:rPr>
          <w:bCs/>
        </w:rPr>
        <w:br w:type="textWrapping" w:clear="all"/>
      </w:r>
      <w:r>
        <w:rPr>
          <w:bCs/>
        </w:rPr>
        <w:t>в размере задатка;</w:t>
      </w:r>
    </w:p>
    <w:p>
      <w:pPr>
        <w:pStyle w:val="Normal"/>
        <w:numPr>
          <w:ilvl w:val="0"/>
          <w:numId w:val="0"/>
        </w:numPr>
        <w:tabs>
          <w:tab w:val="clear" w:pos="708"/>
          <w:tab w:val="center" w:pos="5076" w:leader="none"/>
        </w:tabs>
        <w:ind w:firstLine="567" w:left="-567"/>
        <w:jc w:val="both"/>
        <w:outlineLvl w:val="0"/>
        <w:rPr>
          <w:bCs/>
        </w:rPr>
      </w:pPr>
      <w:r>
        <w:rPr>
          <w:bCs/>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bCs/>
        </w:rPr>
      </w:pPr>
      <w:r>
        <w:rPr>
          <w:bCs/>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bCs/>
        </w:rPr>
      </w:pPr>
      <w:r>
        <w:rPr>
          <w:bCs/>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bCs/>
        </w:rPr>
      </w:pPr>
      <w:r>
        <w:rPr>
          <w:bCs/>
        </w:rPr>
        <w:t xml:space="preserve">Протокол рассмотрения заявок на участие в аукционе подписывается не позднее чем </w:t>
      </w:r>
      <w:r>
        <w:rPr>
          <w:bCs/>
        </w:rPr>
        <w:br w:type="textWrapping" w:clear="all"/>
      </w:r>
      <w:r>
        <w:rPr>
          <w:bCs/>
        </w:rPr>
        <w:t>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pPr>
        <w:pStyle w:val="Normal"/>
        <w:numPr>
          <w:ilvl w:val="0"/>
          <w:numId w:val="0"/>
        </w:numPr>
        <w:tabs>
          <w:tab w:val="clear" w:pos="708"/>
          <w:tab w:val="center" w:pos="284" w:leader="none"/>
        </w:tabs>
        <w:ind w:firstLine="567" w:left="-567"/>
        <w:jc w:val="both"/>
        <w:outlineLvl w:val="0"/>
        <w:rPr>
          <w:bCs/>
        </w:rPr>
      </w:pPr>
      <w:r>
        <w:rPr>
          <w:bCs/>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rPr>
      </w:pPr>
      <w:r>
        <w:rPr>
          <w:bCs/>
        </w:rPr>
      </w:r>
    </w:p>
    <w:p>
      <w:pPr>
        <w:pStyle w:val="Normal"/>
        <w:widowControl w:val="false"/>
        <w:ind w:left="502"/>
        <w:jc w:val="center"/>
        <w:rPr>
          <w:b/>
          <w:bCs/>
          <w:lang w:bidi="ru-RU"/>
        </w:rPr>
      </w:pPr>
      <w:r>
        <w:rPr>
          <w:b/>
          <w:bCs/>
          <w:lang w:bidi="ru-RU"/>
        </w:rPr>
        <w:t>Порядок и срок изменения, отзыва заявки на участие в аукционе</w:t>
      </w:r>
    </w:p>
    <w:p>
      <w:pPr>
        <w:pStyle w:val="Normal"/>
        <w:widowControl w:val="false"/>
        <w:ind w:left="502"/>
        <w:rPr>
          <w:b/>
          <w:bCs/>
          <w:lang w:bidi="ru-RU"/>
        </w:rPr>
      </w:pPr>
      <w:r>
        <w:rPr>
          <w:b/>
          <w:bCs/>
          <w:lang w:bidi="ru-RU"/>
        </w:rPr>
      </w:r>
    </w:p>
    <w:p>
      <w:pPr>
        <w:pStyle w:val="Normal"/>
        <w:widowControl w:val="false"/>
        <w:ind w:firstLine="567" w:left="-567"/>
        <w:jc w:val="both"/>
        <w:rPr>
          <w:rFonts w:eastAsia="Courier New"/>
          <w:lang w:bidi="ru-RU"/>
        </w:rPr>
      </w:pPr>
      <w:r>
        <w:rPr/>
        <w:t xml:space="preserve">Заявитель имеет право отозвать принятую организатором аукциона заявку на участие </w:t>
      </w:r>
      <w:r>
        <w:rPr/>
        <w:br w:type="textWrapping" w:clear="all"/>
      </w:r>
      <w: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jc w:val="both"/>
        <w:rPr>
          <w:rFonts w:eastAsia="Courier New"/>
          <w:lang w:bidi="ru-RU"/>
        </w:rPr>
      </w:pPr>
      <w:r>
        <w:rPr>
          <w:rFonts w:eastAsia="Courier New"/>
          <w:lang w:bidi="ru-RU"/>
        </w:rPr>
      </w:r>
    </w:p>
    <w:p>
      <w:pPr>
        <w:pStyle w:val="Normal"/>
        <w:jc w:val="center"/>
        <w:rPr>
          <w:b/>
          <w:bCs/>
        </w:rPr>
      </w:pPr>
      <w:r>
        <w:rPr>
          <w:b/>
          <w:bCs/>
        </w:rPr>
        <w:t>Определение участников аукциона</w:t>
      </w:r>
    </w:p>
    <w:p>
      <w:pPr>
        <w:pStyle w:val="Normal"/>
        <w:jc w:val="center"/>
        <w:rPr>
          <w:b/>
          <w:bCs/>
        </w:rPr>
      </w:pPr>
      <w:r>
        <w:rPr>
          <w:b/>
          <w:bCs/>
        </w:rPr>
      </w:r>
    </w:p>
    <w:p>
      <w:pPr>
        <w:pStyle w:val="Normal"/>
        <w:ind w:firstLine="567" w:left="-567"/>
        <w:jc w:val="both"/>
        <w:rPr/>
      </w:pPr>
      <w:r>
        <w:rPr>
          <w:bCs/>
        </w:rPr>
        <w:t xml:space="preserve">По результатам рассмотрения заявок комиссия принимает решение о допуске заявителей </w:t>
      </w:r>
      <w:r>
        <w:rPr>
          <w:bCs/>
        </w:rPr>
        <w:br w:type="textWrapping" w:clear="all"/>
      </w:r>
      <w:r>
        <w:rPr>
          <w:bCs/>
        </w:rPr>
        <w:t>к участию в аукционе или об отказе в допуске к участию в аукционе.</w:t>
      </w:r>
    </w:p>
    <w:p>
      <w:pPr>
        <w:pStyle w:val="Normal"/>
        <w:jc w:val="both"/>
        <w:rPr>
          <w:sz w:val="20"/>
        </w:rPr>
      </w:pPr>
      <w:r>
        <w:rPr/>
        <w:t>Заявитель не допускается к участию в аукционе в следующих случаях:</w:t>
      </w:r>
    </w:p>
    <w:p>
      <w:pPr>
        <w:pStyle w:val="Normal"/>
        <w:widowControl w:val="false"/>
        <w:ind w:firstLine="567" w:left="-567"/>
        <w:jc w:val="both"/>
        <w:rPr/>
      </w:pPr>
      <w:r>
        <w:rPr>
          <w:sz w:val="20"/>
        </w:rPr>
        <w:t xml:space="preserve">1) </w:t>
      </w:r>
      <w: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pPr>
      <w:r>
        <w:rPr/>
        <w:t>2) непоступление задатка на дату рассмотрения заявок на участие в аукционе;</w:t>
      </w:r>
    </w:p>
    <w:p>
      <w:pPr>
        <w:pStyle w:val="Normal"/>
        <w:widowControl w:val="false"/>
        <w:ind w:firstLine="567" w:left="-567"/>
        <w:jc w:val="both"/>
        <w:rPr/>
      </w:pPr>
      <w: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pPr>
      <w: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pPr>
      <w: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pPr>
      <w:r>
        <w:rPr/>
        <w:t xml:space="preserve">По результатам рассмотрения заявок и документов к ним комиссия принимает решение </w:t>
        <w:br/>
        <w:t xml:space="preserve">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w:t>
        <w:br/>
        <w:t xml:space="preserve">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w:t>
        <w:br/>
        <w:t>и размещается на официальных сайтах и на электронной площадке не позднее чем на следующий день после дня подписания протокола.</w:t>
      </w:r>
    </w:p>
    <w:p>
      <w:pPr>
        <w:pStyle w:val="Normal"/>
        <w:widowControl w:val="false"/>
        <w:ind w:firstLine="567" w:left="-567"/>
        <w:jc w:val="both"/>
        <w:rPr/>
      </w:pPr>
      <w:r>
        <w:rPr/>
        <w:t xml:space="preserve">Заявитель приобретает статус участника аукциона с момента подписания протокола </w:t>
      </w:r>
      <w:r>
        <w:rPr/>
        <w:br w:type="textWrapping" w:clear="all"/>
      </w:r>
      <w:r>
        <w:rPr/>
        <w:t>о признании претендентов участниками аукциона.</w:t>
      </w:r>
    </w:p>
    <w:p>
      <w:pPr>
        <w:pStyle w:val="Normal"/>
        <w:widowControl w:val="false"/>
        <w:ind w:firstLine="567" w:left="-567"/>
        <w:jc w:val="both"/>
        <w:rPr/>
      </w:pPr>
      <w:r>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pPr>
        <w:pStyle w:val="Normal"/>
        <w:widowControl w:val="false"/>
        <w:spacing w:lineRule="auto" w:line="276"/>
        <w:ind w:firstLine="567" w:left="-567"/>
        <w:jc w:val="both"/>
        <w:rPr/>
      </w:pPr>
      <w:r>
        <w:rPr/>
      </w:r>
    </w:p>
    <w:p>
      <w:pPr>
        <w:pStyle w:val="Normal"/>
        <w:jc w:val="center"/>
        <w:rPr>
          <w:rFonts w:eastAsia="Courier New"/>
          <w:b/>
          <w:bCs/>
          <w:lang w:bidi="ru-RU"/>
        </w:rPr>
      </w:pPr>
      <w:r>
        <w:rPr>
          <w:b/>
          <w:bCs/>
        </w:rPr>
        <w:t>Порядок проведения аукциона</w:t>
      </w:r>
    </w:p>
    <w:p>
      <w:pPr>
        <w:pStyle w:val="Normal"/>
        <w:widowControl w:val="false"/>
        <w:ind w:left="502"/>
        <w:jc w:val="center"/>
        <w:rPr>
          <w:rFonts w:eastAsia="Courier New"/>
          <w:b/>
          <w:bCs/>
          <w:lang w:bidi="ru-RU"/>
        </w:rPr>
      </w:pPr>
      <w:r>
        <w:rPr>
          <w:rFonts w:eastAsia="Courier New"/>
          <w:b/>
          <w:bCs/>
          <w:lang w:bidi="ru-RU"/>
        </w:rPr>
      </w:r>
    </w:p>
    <w:p>
      <w:pPr>
        <w:pStyle w:val="Normal"/>
        <w:ind w:firstLine="567" w:left="-567"/>
        <w:jc w:val="both"/>
        <w:rPr>
          <w:rFonts w:eastAsia="Calibri"/>
        </w:rPr>
      </w:pPr>
      <w:r>
        <w:rPr>
          <w:rFonts w:eastAsia="Calibri"/>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rFonts w:eastAsia="Calibri"/>
        </w:rPr>
      </w:pPr>
      <w:r>
        <w:rPr>
          <w:rFonts w:eastAsia="Calibri"/>
        </w:rPr>
        <w:t>«Шаг аукциона» устанавливается Организатором аукциона в фиксированной сумме, составляющей 3% начальной цены аукциона, и не изменяется в течение всего времени подачи предложений о цене.</w:t>
      </w:r>
    </w:p>
    <w:p>
      <w:pPr>
        <w:pStyle w:val="Normal"/>
        <w:ind w:firstLine="567" w:left="-567"/>
        <w:jc w:val="both"/>
        <w:rPr>
          <w:rFonts w:eastAsia="Calibri"/>
        </w:rPr>
      </w:pPr>
      <w:r>
        <w:rPr>
          <w:rFonts w:eastAsia="Calibri"/>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rFonts w:eastAsia="Calibri"/>
        </w:rPr>
      </w:pPr>
      <w:r>
        <w:rPr>
          <w:rFonts w:eastAsia="Calibri"/>
        </w:rPr>
        <w:t xml:space="preserve">1) предложение о цене предмета аукциона увеличивает текущее максимальное предложение </w:t>
      </w:r>
      <w:r>
        <w:rPr>
          <w:rFonts w:eastAsia="Calibri"/>
        </w:rPr>
        <w:br w:type="textWrapping" w:clear="all"/>
      </w:r>
      <w:r>
        <w:rPr>
          <w:rFonts w:eastAsia="Calibri"/>
        </w:rPr>
        <w:t>о цене предмета аукциона на величину «шага аукциона»;</w:t>
      </w:r>
    </w:p>
    <w:p>
      <w:pPr>
        <w:pStyle w:val="Normal"/>
        <w:ind w:firstLine="567" w:left="-567"/>
        <w:jc w:val="both"/>
        <w:rPr>
          <w:rFonts w:eastAsia="Calibri"/>
        </w:rPr>
      </w:pPr>
      <w:r>
        <w:rPr>
          <w:rFonts w:eastAsia="Calibri"/>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rFonts w:eastAsia="Calibri"/>
        </w:rPr>
      </w:pPr>
      <w:r>
        <w:rPr>
          <w:rFonts w:eastAsia="Calibri"/>
        </w:rPr>
        <w:t>Время для подачи предложений о цене аукциона определяется в следующем порядке:</w:t>
      </w:r>
    </w:p>
    <w:p>
      <w:pPr>
        <w:pStyle w:val="Normal"/>
        <w:ind w:firstLine="567" w:left="-567"/>
        <w:jc w:val="both"/>
        <w:rPr>
          <w:rFonts w:eastAsia="Calibri"/>
        </w:rPr>
      </w:pPr>
      <w:r>
        <w:rPr>
          <w:rFonts w:eastAsia="Calibri"/>
        </w:rPr>
        <w:t xml:space="preserve">Время ожидания предложения участника аукциона о цене предмета аукциона составляет </w:t>
      </w:r>
      <w:r>
        <w:rPr>
          <w:rFonts w:eastAsia="Calibri"/>
        </w:rPr>
        <w:br w:type="textWrapping" w:clear="all"/>
      </w:r>
      <w:r>
        <w:rPr>
          <w:rFonts w:eastAsia="Calibri"/>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rFonts w:eastAsia="Calibri"/>
        </w:rPr>
      </w:pPr>
      <w:r>
        <w:rPr>
          <w:rFonts w:eastAsia="Calibri"/>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rFonts w:eastAsia="Calibri"/>
        </w:rPr>
      </w:pPr>
      <w:r>
        <w:rPr>
          <w:rFonts w:eastAsia="Calibri"/>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rPr>
        <w:br w:type="textWrapping" w:clear="all"/>
      </w:r>
      <w:r>
        <w:rPr>
          <w:rFonts w:eastAsia="Calibri"/>
        </w:rPr>
        <w:t>в момент его поступления и соответствующее уведомление участника аукциона, в случаях, если:</w:t>
      </w:r>
    </w:p>
    <w:p>
      <w:pPr>
        <w:pStyle w:val="Normal"/>
        <w:ind w:firstLine="567" w:left="-567"/>
        <w:jc w:val="both"/>
        <w:rPr>
          <w:rFonts w:eastAsia="Calibri"/>
        </w:rPr>
      </w:pPr>
      <w:r>
        <w:rPr>
          <w:rFonts w:eastAsia="Calibri"/>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rFonts w:eastAsia="Calibri"/>
        </w:rPr>
      </w:pPr>
      <w:r>
        <w:rPr>
          <w:rFonts w:eastAsia="Calibri"/>
        </w:rPr>
        <w:t>- представленное предложение о цене аукциона ниже начальной цены;</w:t>
      </w:r>
    </w:p>
    <w:p>
      <w:pPr>
        <w:pStyle w:val="Normal"/>
        <w:ind w:firstLine="567" w:left="-567"/>
        <w:jc w:val="both"/>
        <w:rPr>
          <w:rFonts w:eastAsia="Calibri"/>
        </w:rPr>
      </w:pPr>
      <w:r>
        <w:rPr>
          <w:rFonts w:eastAsia="Calibri"/>
        </w:rPr>
        <w:t>- представленное предложение о цене аукциона равно нулю;</w:t>
      </w:r>
    </w:p>
    <w:p>
      <w:pPr>
        <w:pStyle w:val="Normal"/>
        <w:ind w:firstLine="567" w:left="-567"/>
        <w:jc w:val="both"/>
        <w:rPr>
          <w:rFonts w:eastAsia="Calibri"/>
        </w:rPr>
      </w:pPr>
      <w:r>
        <w:rPr>
          <w:rFonts w:eastAsia="Calibri"/>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rFonts w:eastAsia="Calibri"/>
        </w:rPr>
      </w:pPr>
      <w:r>
        <w:rPr>
          <w:rFonts w:eastAsia="Calibri"/>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rFonts w:eastAsia="Calibri"/>
        </w:rPr>
      </w:pPr>
      <w:r>
        <w:rPr>
          <w:rFonts w:eastAsia="Calibri"/>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rFonts w:eastAsia="Calibri"/>
        </w:rPr>
      </w:pPr>
      <w:r>
        <w:rPr>
          <w:rFonts w:eastAsia="Calibri"/>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rFonts w:eastAsia="Calibri"/>
        </w:rPr>
      </w:pPr>
      <w:r>
        <w:rPr>
          <w:rFonts w:eastAsia="Calibri"/>
        </w:rPr>
        <w:t xml:space="preserve">Победителем аукциона признается участник аукциона, предложивший наибольшую цену </w:t>
      </w:r>
      <w:r>
        <w:rPr>
          <w:rFonts w:eastAsia="Calibri"/>
        </w:rPr>
        <w:br w:type="textWrapping" w:clear="all"/>
      </w:r>
      <w:r>
        <w:rPr>
          <w:rFonts w:eastAsia="Calibri"/>
        </w:rPr>
        <w:t>за земельный участок или наибольший размер ежегодной арендной платы за земельный участок.</w:t>
      </w:r>
    </w:p>
    <w:p>
      <w:pPr>
        <w:pStyle w:val="Normal"/>
        <w:ind w:firstLine="567" w:left="-567"/>
        <w:jc w:val="both"/>
        <w:rPr>
          <w:rFonts w:eastAsia="Calibri"/>
        </w:rPr>
      </w:pPr>
      <w:r>
        <w:rPr>
          <w:rFonts w:eastAsia="Calibri"/>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rPr>
      </w:pPr>
      <w:r>
        <w:rPr>
          <w:rFonts w:eastAsia="Calibri"/>
        </w:rPr>
      </w:r>
    </w:p>
    <w:p>
      <w:pPr>
        <w:pStyle w:val="Normal"/>
        <w:numPr>
          <w:ilvl w:val="0"/>
          <w:numId w:val="0"/>
        </w:numPr>
        <w:tabs>
          <w:tab w:val="clear" w:pos="708"/>
          <w:tab w:val="center" w:pos="5076" w:leader="none"/>
        </w:tabs>
        <w:ind w:hanging="0" w:left="0"/>
        <w:jc w:val="center"/>
        <w:outlineLvl w:val="0"/>
        <w:rPr>
          <w:bCs/>
        </w:rPr>
      </w:pPr>
      <w:r>
        <w:rPr>
          <w:b/>
          <w:bCs/>
        </w:rPr>
        <w:t>Порядок и срок заключения договора</w:t>
      </w:r>
      <w:r>
        <w:rPr>
          <w:b/>
          <w:bCs/>
        </w:rPr>
        <w:br w:type="textWrapping" w:clear="all"/>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pPr>
        <w:pStyle w:val="Normal"/>
        <w:numPr>
          <w:ilvl w:val="0"/>
          <w:numId w:val="0"/>
        </w:numPr>
        <w:tabs>
          <w:tab w:val="clear" w:pos="708"/>
          <w:tab w:val="center" w:pos="5076" w:leader="none"/>
        </w:tabs>
        <w:ind w:firstLine="567" w:left="-567"/>
        <w:jc w:val="both"/>
        <w:outlineLvl w:val="0"/>
        <w:rPr>
          <w:bCs/>
        </w:rPr>
      </w:pPr>
      <w:r>
        <w:rPr>
          <w:bCs/>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 xml:space="preserve">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w:t>
        <w:br/>
        <w:t>в государственной или муниципальной собственности, либо подписанный проект договора аренды такого участка.</w:t>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bCs/>
        </w:rPr>
      </w:pPr>
      <w:r>
        <w:rPr>
          <w:bCs/>
        </w:rPr>
        <w:t>Проекты договоров являются частью извещения и представлены в Приложениях 2, 3  к настоящему извещению.</w:t>
        <w:tab/>
      </w:r>
    </w:p>
    <w:p>
      <w:pPr>
        <w:pStyle w:val="Normal"/>
        <w:ind w:firstLine="567" w:left="-567"/>
        <w:jc w:val="both"/>
        <w:rPr>
          <w:bCs/>
        </w:rPr>
      </w:pPr>
      <w:r>
        <w:rPr>
          <w:bC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numPr>
          <w:ilvl w:val="0"/>
          <w:numId w:val="0"/>
        </w:numPr>
        <w:tabs>
          <w:tab w:val="clear" w:pos="708"/>
          <w:tab w:val="center" w:pos="567" w:leader="none"/>
        </w:tabs>
        <w:ind w:firstLine="567" w:left="-567"/>
        <w:jc w:val="both"/>
        <w:outlineLvl w:val="0"/>
        <w:rPr>
          <w:rFonts w:eastAsia="Courier New"/>
          <w:lang w:bidi="ru-RU"/>
        </w:rPr>
      </w:pPr>
      <w:r>
        <w:rPr>
          <w:bCs/>
        </w:rPr>
        <w:tab/>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numPr>
          <w:ilvl w:val="0"/>
          <w:numId w:val="0"/>
        </w:numPr>
        <w:tabs>
          <w:tab w:val="clear" w:pos="708"/>
          <w:tab w:val="center" w:pos="567" w:leader="none"/>
        </w:tabs>
        <w:ind w:firstLine="567" w:left="-567"/>
        <w:jc w:val="both"/>
        <w:outlineLvl w:val="0"/>
        <w:rPr>
          <w:rFonts w:eastAsia="Courier New"/>
          <w:lang w:bidi="ru-RU"/>
        </w:rPr>
      </w:pPr>
      <w:r>
        <w:rPr>
          <w:rFonts w:eastAsia="Courier New"/>
          <w:lang w:bidi="ru-RU"/>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w:t>
        <w:br/>
        <w:t xml:space="preserve">с которыми указанные договоры заключаются в соответствии с пунктом 13, 14 или 20 </w:t>
        <w:br/>
        <w:t>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8"/>
      <w:headerReference w:type="first" r:id="rId19"/>
      <w:footerReference w:type="default" r:id="rId20"/>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sz w:val="28"/>
        <w:szCs w:val="28"/>
      </w:rPr>
      <w:fldChar w:fldCharType="begin"/>
    </w:r>
    <w:r>
      <w:rPr>
        <w:sz w:val="28"/>
        <w:szCs w:val="28"/>
      </w:rPr>
      <w:instrText xml:space="preserve"> PAGE </w:instrText>
    </w:r>
    <w:r>
      <w:rPr>
        <w:sz w:val="28"/>
        <w:szCs w:val="28"/>
      </w:rPr>
      <w:fldChar w:fldCharType="separate"/>
    </w:r>
    <w:r>
      <w:rPr>
        <w:sz w:val="28"/>
        <w:szCs w:val="28"/>
      </w:rPr>
      <w:t>29</w:t>
    </w:r>
    <w:r>
      <w:rPr>
        <w:sz w:val="28"/>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customStyle="1">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14" w:customStyle="1">
    <w:name w:val="Гиперссылка1"/>
    <w:qFormat/>
    <w:rPr>
      <w:color w:val="0000FF"/>
      <w:u w:val="single"/>
    </w:rPr>
  </w:style>
  <w:style w:type="character" w:styleId="Style17">
    <w:name w:val="Символ нумерации"/>
    <w:qFormat/>
    <w:rPr/>
  </w:style>
  <w:style w:type="paragraph" w:styleId="Style18" w:customStyle="1">
    <w:name w:val="Заголовок"/>
    <w:basedOn w:val="Normal"/>
    <w:next w:val="BodyText"/>
    <w:qFormat/>
    <w:pPr>
      <w:keepNext w:val="true"/>
      <w:spacing w:before="240" w:after="120"/>
    </w:pPr>
    <w:rPr>
      <w:rFonts w:ascii="Open Sans" w:hAnsi="Open Sans"/>
      <w:sz w:val="28"/>
      <w:szCs w:val="28"/>
    </w:rPr>
  </w:style>
  <w:style w:type="paragraph" w:styleId="BodyText">
    <w:name w:val="Body Text"/>
    <w:basedOn w:val="Normal"/>
    <w:pPr>
      <w:jc w:val="right"/>
    </w:pPr>
    <w:rPr>
      <w:sz w:val="28"/>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i/>
      <w:iCs/>
    </w:rPr>
  </w:style>
  <w:style w:type="paragraph" w:styleId="Indexheading1">
    <w:name w:val="index heading1"/>
    <w:basedOn w:val="Style18"/>
    <w:qFormat/>
    <w:pPr/>
    <w:rPr/>
  </w:style>
  <w:style w:type="paragraph" w:styleId="ListParagraph">
    <w:name w:val="List Paragraph"/>
    <w:basedOn w:val="Normal"/>
    <w:qFormat/>
    <w:pPr>
      <w:ind w:left="708"/>
    </w:pPr>
    <w:rPr/>
  </w:style>
  <w:style w:type="paragraph" w:styleId="NoSpacing">
    <w:name w:val="No Spacing"/>
    <w:uiPriority w:val="1"/>
    <w:qFormat/>
    <w:pPr>
      <w:widowControl/>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8"/>
    <w:pPr/>
    <w:rPr/>
  </w:style>
  <w:style w:type="paragraph" w:styleId="TOCHeading">
    <w:name w:val="TOC Heading"/>
    <w:uiPriority w:val="39"/>
    <w:unhideWhenUsed/>
    <w:qFormat/>
    <w:pPr>
      <w:widowControl/>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1" w:customStyle="1">
    <w:name w:val="index heading11"/>
    <w:basedOn w:val="Normal"/>
    <w:qFormat/>
    <w:pPr>
      <w:suppressLineNumbers/>
    </w:pPr>
    <w:rPr/>
  </w:style>
  <w:style w:type="paragraph" w:styleId="Caption11" w:customStyle="1">
    <w:name w:val="Caption11"/>
    <w:basedOn w:val="Normal"/>
    <w:qFormat/>
    <w:pPr>
      <w:suppressLineNumbers/>
      <w:spacing w:before="120" w:after="120"/>
    </w:pPr>
    <w:rPr>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0"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1"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numbering" w:styleId="NoList" w:default="1">
    <w:name w:val="No List"/>
    <w:uiPriority w:val="99"/>
    <w:semiHidden/>
    <w:unhideWhenUsed/>
    <w:qFormat/>
  </w:style>
  <w:style w:type="table" w:default="1" w:styleId="794">
    <w:name w:val="Normal Table"/>
    <w:uiPriority w:val="99"/>
    <w:semiHidden/>
    <w:unhideWhenUsed/>
    <w:tblPr>
      <w:tblCellMar>
        <w:left w:w="108" w:type="dxa"/>
        <w:top w:w="0" w:type="dxa"/>
        <w:right w:w="108" w:type="dxa"/>
        <w:bottom w:w="0" w:type="dxa"/>
      </w:tblCellMar>
    </w:tblPr>
  </w:style>
  <w:style w:type="table" w:styleId="795">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customStyle="1" w:styleId="796">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customStyle="1" w:styleId="797">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blPr/>
      <w:tcPr>
        <w:shd w:val="clear" w:color="F2F2F2" w:fill="F2F2F2" w:themeFill="text1" w:themeFillTint="0"/>
      </w:tcPr>
    </w:tblStylePr>
    <w:tblStylePr w:type="band1Vert">
      <w:tblPr/>
      <w:tcPr>
        <w:shd w:val="clear" w:color="F2F2F2"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798">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799">
    <w:name w:val="Plain Table 3"/>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customStyle="1" w:styleId="800">
    <w:name w:val="Plain Table 4"/>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801">
    <w:name w:val="Plain Table 5"/>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customStyle="1" w:styleId="802">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customStyle="1" w:styleId="803">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b/>
      </w:rPr>
      <w:tblPr/>
    </w:tblStylePr>
    <w:tblStylePr w:type="firstRow">
      <w:rPr>
        <w:b/>
      </w:rPr>
      <w:tblPr/>
      <w:tcPr>
        <w:tcBorders>
          <w:bottom w:val="single" w:color="97B4D8" w:themeColor="accent1" w:sz="12" w:space="0"/>
        </w:tcBorders>
      </w:tcPr>
    </w:tblStylePr>
    <w:tblStylePr w:type="lastCol">
      <w:rPr>
        <w:b/>
      </w:rPr>
      <w:tblPr/>
    </w:tblStylePr>
    <w:tblStylePr w:type="lastRow">
      <w:rPr>
        <w:b/>
      </w:rPr>
      <w:tblPr/>
    </w:tblStylePr>
  </w:style>
  <w:style w:type="table" w:customStyle="1" w:styleId="804">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b/>
      </w:rPr>
      <w:tblPr/>
    </w:tblStylePr>
    <w:tblStylePr w:type="firstRow">
      <w:rPr>
        <w:b/>
      </w:rPr>
      <w:tblPr/>
      <w:tcPr>
        <w:tcBorders>
          <w:bottom w:val="single" w:color="DA9896" w:themeColor="accent2" w:sz="12" w:space="0"/>
        </w:tcBorders>
      </w:tcPr>
    </w:tblStylePr>
    <w:tblStylePr w:type="lastCol">
      <w:rPr>
        <w:b/>
      </w:rPr>
      <w:tblPr/>
    </w:tblStylePr>
    <w:tblStylePr w:type="lastRow">
      <w:rPr>
        <w:b/>
      </w:rPr>
      <w:tblPr/>
    </w:tblStylePr>
  </w:style>
  <w:style w:type="table" w:customStyle="1" w:styleId="805">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b/>
      </w:rPr>
      <w:tblPr/>
    </w:tblStylePr>
    <w:tblStylePr w:type="firstRow">
      <w:rPr>
        <w:b/>
      </w:rPr>
      <w:tblPr/>
      <w:tcPr>
        <w:tcBorders>
          <w:bottom w:val="single" w:color="C4D79D" w:themeColor="accent3" w:sz="12" w:space="0"/>
        </w:tcBorders>
      </w:tcPr>
    </w:tblStylePr>
    <w:tblStylePr w:type="lastCol">
      <w:rPr>
        <w:b/>
      </w:rPr>
      <w:tblPr/>
    </w:tblStylePr>
    <w:tblStylePr w:type="lastRow">
      <w:rPr>
        <w:b/>
      </w:rPr>
      <w:tblPr/>
    </w:tblStylePr>
  </w:style>
  <w:style w:type="table" w:customStyle="1" w:styleId="806">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b/>
      </w:rPr>
      <w:tblPr/>
    </w:tblStylePr>
    <w:tblStylePr w:type="firstRow">
      <w:rPr>
        <w:b/>
      </w:rPr>
      <w:tblPr/>
      <w:tcPr>
        <w:tcBorders>
          <w:bottom w:val="single" w:color="B4A4C8" w:themeColor="accent4" w:sz="12" w:space="0"/>
        </w:tcBorders>
      </w:tcPr>
    </w:tblStylePr>
    <w:tblStylePr w:type="lastCol">
      <w:rPr>
        <w:b/>
      </w:rPr>
      <w:tblPr/>
    </w:tblStylePr>
    <w:tblStylePr w:type="lastRow">
      <w:rPr>
        <w:b/>
      </w:rPr>
      <w:tblPr/>
    </w:tblStylePr>
  </w:style>
  <w:style w:type="table" w:customStyle="1" w:styleId="807">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b/>
      </w:rPr>
      <w:tblPr/>
    </w:tblStylePr>
    <w:tblStylePr w:type="firstRow">
      <w:rPr>
        <w:b/>
      </w:rPr>
      <w:tblPr/>
      <w:tcPr>
        <w:tcBorders>
          <w:bottom w:val="single" w:color="95CEDD" w:themeColor="accent5" w:sz="12" w:space="0"/>
        </w:tcBorders>
      </w:tcPr>
    </w:tblStylePr>
    <w:tblStylePr w:type="lastCol">
      <w:rPr>
        <w:b/>
      </w:rPr>
      <w:tblPr/>
    </w:tblStylePr>
    <w:tblStylePr w:type="lastRow">
      <w:rPr>
        <w:b/>
      </w:rPr>
      <w:tblPr/>
    </w:tblStylePr>
  </w:style>
  <w:style w:type="table" w:customStyle="1" w:styleId="808">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b/>
      </w:rPr>
      <w:tblPr/>
    </w:tblStylePr>
    <w:tblStylePr w:type="firstRow">
      <w:rPr>
        <w:b/>
      </w:rPr>
      <w:tblPr/>
      <w:tcPr>
        <w:tcBorders>
          <w:bottom w:val="single" w:color="FAC192" w:themeColor="accent6" w:sz="12" w:space="0"/>
        </w:tcBorders>
      </w:tcPr>
    </w:tblStylePr>
    <w:tblStylePr w:type="lastCol">
      <w:rPr>
        <w:b/>
      </w:rPr>
      <w:tblPr/>
    </w:tblStylePr>
    <w:tblStylePr w:type="lastRow">
      <w:rPr>
        <w:b/>
      </w:rPr>
      <w:tblPr/>
    </w:tblStylePr>
  </w:style>
  <w:style w:type="table" w:customStyle="1" w:styleId="809">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customStyle="1" w:styleId="810">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Col">
      <w:rPr>
        <w:b/>
      </w:rPr>
      <w:tbl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style>
  <w:style w:type="table" w:customStyle="1" w:styleId="811">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Col">
      <w:rPr>
        <w:b/>
      </w:rPr>
      <w:tbl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style>
  <w:style w:type="table" w:customStyle="1" w:styleId="812">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Col">
      <w:rPr>
        <w:b/>
      </w:rPr>
      <w:tbl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style>
  <w:style w:type="table" w:customStyle="1" w:styleId="813">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Col">
      <w:rPr>
        <w:b/>
      </w:rPr>
      <w:tbl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style>
  <w:style w:type="table" w:customStyle="1" w:styleId="814">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customStyle="1" w:styleId="815">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customStyle="1" w:styleId="816">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7">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8">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9">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0">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1">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2">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3">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824">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sz w:val="22"/>
      </w:rPr>
      <w:tblPr/>
      <w:tcPr>
        <w:shd w:val="clear" w:color="DCE6F2" w:fill="DCE6F2" w:themeFill="accent1" w:themeFillTint="32"/>
      </w:tcPr>
    </w:tblStylePr>
    <w:tblStylePr w:type="band1Vert">
      <w:rPr>
        <w:sz w:val="22"/>
      </w:rPr>
      <w:tblPr/>
      <w:tcPr>
        <w:shd w:val="clear" w:color="DCE6F2" w:fill="DCE6F2" w:themeFill="accent1" w:themeFillTint="32"/>
      </w:tcPr>
    </w:tblStylePr>
    <w:tblStylePr w:type="firstCol">
      <w:rPr>
        <w:b/>
      </w:rPr>
      <w:tblPr/>
    </w:tblStyle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Col">
      <w:rPr>
        <w:b/>
      </w:rPr>
      <w:tblPr/>
    </w:tblStylePr>
    <w:tblStylePr w:type="lastRow">
      <w:rPr>
        <w:b/>
      </w:rPr>
      <w:tblPr/>
      <w:tcPr>
        <w:tcBorders>
          <w:top w:val="single" w:color="5D8AC2" w:themeColor="accent1" w:sz="4" w:space="0"/>
        </w:tcBorders>
      </w:tcPr>
    </w:tblStylePr>
  </w:style>
  <w:style w:type="table" w:customStyle="1" w:styleId="825">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Col">
      <w:rPr>
        <w:b/>
      </w:rPr>
      <w:tblPr/>
    </w:tblStylePr>
    <w:tblStylePr w:type="lastRow">
      <w:rPr>
        <w:b/>
      </w:rPr>
      <w:tblPr/>
      <w:tcPr>
        <w:tcBorders>
          <w:top w:val="single" w:color="D99695" w:themeColor="accent2" w:sz="4" w:space="0"/>
        </w:tcBorders>
      </w:tcPr>
    </w:tblStylePr>
  </w:style>
  <w:style w:type="table" w:customStyle="1" w:styleId="826">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Col">
      <w:rPr>
        <w:b/>
      </w:rPr>
      <w:tblPr/>
    </w:tblStylePr>
    <w:tblStylePr w:type="lastRow">
      <w:rPr>
        <w:b/>
      </w:rPr>
      <w:tblPr/>
      <w:tcPr>
        <w:tcBorders>
          <w:top w:val="single" w:color="9ABB59" w:themeColor="accent3" w:sz="4" w:space="0"/>
        </w:tcBorders>
      </w:tcPr>
    </w:tblStylePr>
  </w:style>
  <w:style w:type="table" w:customStyle="1" w:styleId="827">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Col">
      <w:rPr>
        <w:b/>
      </w:rPr>
      <w:tblPr/>
    </w:tblStylePr>
    <w:tblStylePr w:type="lastRow">
      <w:rPr>
        <w:b/>
      </w:rPr>
      <w:tblPr/>
      <w:tcPr>
        <w:tcBorders>
          <w:top w:val="single" w:color="B2A1C6" w:themeColor="accent4" w:sz="4" w:space="0"/>
        </w:tcBorders>
      </w:tcPr>
    </w:tblStylePr>
  </w:style>
  <w:style w:type="table" w:customStyle="1" w:styleId="828">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Col">
      <w:rPr>
        <w:b/>
      </w:rPr>
      <w:tblPr/>
    </w:tblStylePr>
    <w:tblStylePr w:type="lastRow">
      <w:rPr>
        <w:b/>
      </w:rPr>
      <w:tblPr/>
      <w:tcPr>
        <w:tcBorders>
          <w:top w:val="single" w:color="4BACC6" w:themeColor="accent5" w:sz="4" w:space="0"/>
        </w:tcBorders>
      </w:tcPr>
    </w:tblStylePr>
  </w:style>
  <w:style w:type="table" w:customStyle="1" w:styleId="829">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Col">
      <w:rPr>
        <w:b/>
      </w:rPr>
      <w:tblPr/>
    </w:tblStylePr>
    <w:tblStylePr w:type="lastRow">
      <w:rPr>
        <w:b/>
      </w:rPr>
      <w:tblPr/>
      <w:tcPr>
        <w:tcBorders>
          <w:top w:val="single" w:color="F79646" w:themeColor="accent6" w:sz="4" w:space="0"/>
        </w:tcBorders>
      </w:tcPr>
    </w:tblStylePr>
  </w:style>
  <w:style w:type="table" w:customStyle="1" w:styleId="830">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83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EC4E0" w:fill="AEC4E0" w:themeFill="accent1" w:themeFillTint="75"/>
      </w:tcPr>
    </w:tblStylePr>
    <w:tblStylePr w:type="band1Vert">
      <w:tblPr/>
      <w:tcPr>
        <w:shd w:val="clear" w:color="AEC4E0" w:fill="AEC4E0" w:themeFill="accent1" w:themeFillTint="75"/>
      </w:tcPr>
    </w:tblStylePr>
    <w:tblStylePr w:type="firstCol">
      <w:rPr>
        <w:b/>
        <w:sz w:val="22"/>
      </w:rPr>
      <w:tblPr/>
      <w:tcPr>
        <w:shd w:val="clear" w:color="4F81BD" w:fill="4F81BD" w:themeFill="accent1"/>
      </w:tcPr>
    </w:tblStylePr>
    <w:tblStylePr w:type="firstRow">
      <w:rPr>
        <w:b/>
        <w:sz w:val="22"/>
      </w:rPr>
      <w:tblPr/>
      <w:tcPr>
        <w:shd w:val="clear" w:color="4F81BD" w:fill="4F81BD" w:themeFill="accent1"/>
      </w:tcPr>
    </w:tblStylePr>
    <w:tblStylePr w:type="lastCol">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style>
  <w:style w:type="table" w:customStyle="1" w:styleId="832">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E2AEAD" w:fill="E2AEAD" w:themeFill="accent2" w:themeFillTint="75"/>
      </w:tcPr>
    </w:tblStylePr>
    <w:tblStylePr w:type="band1Vert">
      <w:tblPr/>
      <w:tcPr>
        <w:shd w:val="clear" w:color="E2AEAD" w:fill="E2AEAD" w:themeFill="accent2" w:themeFillTint="75"/>
      </w:tcPr>
    </w:tblStylePr>
    <w:tblStylePr w:type="firstCol">
      <w:rPr>
        <w:b/>
        <w:sz w:val="22"/>
      </w:rPr>
      <w:tblPr/>
      <w:tcPr>
        <w:shd w:val="clear" w:color="C0504D" w:fill="C0504D" w:themeFill="accent2"/>
      </w:tcPr>
    </w:tblStylePr>
    <w:tblStylePr w:type="firstRow">
      <w:rPr>
        <w:b/>
        <w:sz w:val="22"/>
      </w:rPr>
      <w:tblPr/>
      <w:tcPr>
        <w:shd w:val="clear" w:color="C0504D" w:fill="C0504D" w:themeFill="accent2"/>
      </w:tcPr>
    </w:tblStylePr>
    <w:tblStylePr w:type="lastCol">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style>
  <w:style w:type="table" w:customStyle="1" w:styleId="833">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D0DFB2" w:fill="D0DFB2" w:themeFill="accent3" w:themeFillTint="75"/>
      </w:tcPr>
    </w:tblStylePr>
    <w:tblStylePr w:type="band1Vert">
      <w:tblPr/>
      <w:tcPr>
        <w:shd w:val="clear" w:color="D0DFB2" w:fill="D0DFB2" w:themeFill="accent3" w:themeFillTint="75"/>
      </w:tcPr>
    </w:tblStylePr>
    <w:tblStylePr w:type="firstCol">
      <w:rPr>
        <w:b/>
        <w:sz w:val="22"/>
      </w:rPr>
      <w:tblPr/>
      <w:tcPr>
        <w:shd w:val="clear" w:color="9BBB59" w:fill="9BBB59" w:themeFill="accent3"/>
      </w:tcPr>
    </w:tblStylePr>
    <w:tblStylePr w:type="firstRow">
      <w:rPr>
        <w:b/>
        <w:sz w:val="22"/>
      </w:rPr>
      <w:tblPr/>
      <w:tcPr>
        <w:shd w:val="clear" w:color="9BBB59" w:fill="9BBB59" w:themeFill="accent3"/>
      </w:tcPr>
    </w:tblStylePr>
    <w:tblStylePr w:type="lastCol">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style>
  <w:style w:type="table" w:customStyle="1" w:styleId="834">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C4B7D4" w:fill="C4B7D4" w:themeFill="accent4" w:themeFillTint="75"/>
      </w:tcPr>
    </w:tblStylePr>
    <w:tblStylePr w:type="band1Vert">
      <w:tblPr/>
      <w:tcPr>
        <w:shd w:val="clear" w:color="C4B7D4" w:fill="C4B7D4" w:themeFill="accent4" w:themeFillTint="75"/>
      </w:tcPr>
    </w:tblStylePr>
    <w:tblStylePr w:type="firstCol">
      <w:rPr>
        <w:b/>
        <w:sz w:val="22"/>
      </w:rPr>
      <w:tblPr/>
      <w:tcPr>
        <w:shd w:val="clear" w:color="8064A2" w:fill="8064A2" w:themeFill="accent4"/>
      </w:tcPr>
    </w:tblStylePr>
    <w:tblStylePr w:type="firstRow">
      <w:rPr>
        <w:b/>
        <w:sz w:val="22"/>
      </w:rPr>
      <w:tblPr/>
      <w:tcPr>
        <w:shd w:val="clear" w:color="8064A2" w:fill="8064A2" w:themeFill="accent4"/>
      </w:tcPr>
    </w:tblStylePr>
    <w:tblStylePr w:type="lastCol">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style>
  <w:style w:type="table" w:customStyle="1" w:styleId="835">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CD8E4" w:fill="ACD8E4" w:themeFill="accent5" w:themeFillTint="75"/>
      </w:tcPr>
    </w:tblStylePr>
    <w:tblStylePr w:type="band1Vert">
      <w:tblPr/>
      <w:tcPr>
        <w:shd w:val="clear" w:color="ACD8E4" w:fill="ACD8E4" w:themeFill="accent5" w:themeFillTint="75"/>
      </w:tcPr>
    </w:tblStylePr>
    <w:tblStylePr w:type="firstCol">
      <w:rPr>
        <w:b/>
        <w:sz w:val="22"/>
      </w:rPr>
      <w:tblPr/>
      <w:tcPr>
        <w:shd w:val="clear" w:color="4BACC6" w:fill="4BACC6" w:themeFill="accent5"/>
      </w:tcPr>
    </w:tblStylePr>
    <w:tblStylePr w:type="firstRow">
      <w:rPr>
        <w:b/>
        <w:sz w:val="22"/>
      </w:rPr>
      <w:tblPr/>
      <w:tcPr>
        <w:shd w:val="clear" w:color="4BACC6" w:fill="4BACC6" w:themeFill="accent5"/>
      </w:tcPr>
    </w:tblStylePr>
    <w:tblStylePr w:type="lastCol">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style>
  <w:style w:type="table" w:customStyle="1" w:styleId="836">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FBCEAA" w:fill="FBCEAA" w:themeFill="accent6" w:themeFillTint="75"/>
      </w:tcPr>
    </w:tblStylePr>
    <w:tblStylePr w:type="band1Vert">
      <w:tblPr/>
      <w:tcPr>
        <w:shd w:val="clear" w:color="FBCEAA" w:fill="FBCEAA" w:themeFill="accent6" w:themeFillTint="75"/>
      </w:tcPr>
    </w:tblStylePr>
    <w:tblStylePr w:type="firstCol">
      <w:rPr>
        <w:b/>
        <w:sz w:val="22"/>
      </w:rPr>
      <w:tblPr/>
      <w:tcPr>
        <w:shd w:val="clear" w:color="F79646" w:fill="F79646" w:themeFill="accent6"/>
      </w:tcPr>
    </w:tblStylePr>
    <w:tblStylePr w:type="firstRow">
      <w:rPr>
        <w:b/>
        <w:sz w:val="22"/>
      </w:rPr>
      <w:tblPr/>
      <w:tcPr>
        <w:shd w:val="clear" w:color="F79646" w:fill="F79646" w:themeFill="accent6"/>
      </w:tcPr>
    </w:tblStylePr>
    <w:tblStylePr w:type="lastCol">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style>
  <w:style w:type="table" w:customStyle="1" w:styleId="837">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838">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A6BFDD"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839">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840">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9ABB59"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841">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842">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BACC6"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3">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themeColor="accent5"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F79646"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4">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F2F2F2" w:fill="F2F2F2" w:themeFill="text1" w:themeFillTint="0"/>
      </w:tcPr>
    </w:tblStylePr>
    <w:tblStylePr w:type="band1Vert">
      <w:tblPr/>
      <w:tcPr>
        <w:shd w:val="clear" w:color="F2F2F2"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45">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firstRow">
      <w:rPr>
        <w:b/>
        <w:color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lastRow">
      <w:rPr>
        <w:b/>
        <w:color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46">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b/>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b/>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47">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firstRow">
      <w:rPr>
        <w:b/>
        <w:color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lastRow">
      <w:rPr>
        <w:b/>
        <w:color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48">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b/>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b/>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49">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firstRow">
      <w:rPr>
        <w:b/>
        <w:color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lastRow">
      <w:rPr>
        <w:b/>
        <w:color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50">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themeColor="accent6"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firstRow">
      <w:rPr>
        <w:b/>
        <w:color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lastRow">
      <w:rPr>
        <w:b/>
        <w:color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851">
    <w:name w:val="List Table 1 Light"/>
    <w:uiPriority w:val="99"/>
    <w:tblPr>
      <w:tblStyleRowBandSize w:val="1"/>
      <w:tblStyleColBandSize w:val="1"/>
      <w:tblCellMar>
        <w:left w:w="0" w:type="dxa"/>
        <w:top w:w="0" w:type="dxa"/>
        <w:right w:w="0" w:type="dxa"/>
        <w:bottom w:w="0" w:type="dxa"/>
      </w:tblCellMar>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852">
    <w:name w:val="List Table 1 Light - Accent 1"/>
    <w:uiPriority w:val="99"/>
    <w:tblPr>
      <w:tblStyleRowBandSize w:val="1"/>
      <w:tblStyleColBandSize w:val="1"/>
      <w:tblCellMar>
        <w:left w:w="0" w:type="dxa"/>
        <w:top w:w="0" w:type="dxa"/>
        <w:right w:w="0" w:type="dxa"/>
        <w:bottom w:w="0" w:type="dxa"/>
      </w:tblCellMar>
    </w:tblPr>
    <w:tblStylePr w:type="band1Horz">
      <w:tblPr/>
      <w:tcPr>
        <w:shd w:val="clear" w:color="D2DFEE" w:fill="D2DFEE" w:themeFill="accent1" w:themeFillTint="40"/>
      </w:tcPr>
    </w:tblStylePr>
    <w:tblStylePr w:type="band1Vert">
      <w:tblPr/>
      <w:tcPr>
        <w:shd w:val="clear" w:color="D2DFEE" w:fill="D2DF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Col">
      <w:rPr>
        <w:b/>
      </w:rPr>
      <w:tbl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style>
  <w:style w:type="table" w:customStyle="1" w:styleId="853">
    <w:name w:val="List Table 1 Light - Accent 2"/>
    <w:uiPriority w:val="99"/>
    <w:tblPr>
      <w:tblStyleRowBandSize w:val="1"/>
      <w:tblStyleColBandSize w:val="1"/>
      <w:tblCellMar>
        <w:left w:w="0" w:type="dxa"/>
        <w:top w:w="0" w:type="dxa"/>
        <w:right w:w="0" w:type="dxa"/>
        <w:bottom w:w="0" w:type="dxa"/>
      </w:tblCellMar>
    </w:tblPr>
    <w:tblStylePr w:type="band1Horz">
      <w:tblPr/>
      <w:tcPr>
        <w:shd w:val="clear" w:color="EFD2D2" w:fill="EFD2D2" w:themeFill="accent2" w:themeFillTint="40"/>
      </w:tcPr>
    </w:tblStylePr>
    <w:tblStylePr w:type="band1Vert">
      <w:tblPr/>
      <w:tcPr>
        <w:shd w:val="clear" w:color="EFD2D2" w:fill="EFD2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Col">
      <w:rPr>
        <w:b/>
      </w:rPr>
      <w:tbl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style>
  <w:style w:type="table" w:customStyle="1" w:styleId="854">
    <w:name w:val="List Table 1 Light - Accent 3"/>
    <w:uiPriority w:val="99"/>
    <w:tblPr>
      <w:tblStyleRowBandSize w:val="1"/>
      <w:tblStyleColBandSize w:val="1"/>
      <w:tblCellMar>
        <w:left w:w="0" w:type="dxa"/>
        <w:top w:w="0" w:type="dxa"/>
        <w:right w:w="0" w:type="dxa"/>
        <w:bottom w:w="0" w:type="dxa"/>
      </w:tblCellMar>
    </w:tblPr>
    <w:tblStylePr w:type="band1Horz">
      <w:tblPr/>
      <w:tcPr>
        <w:shd w:val="clear" w:color="E5EED5" w:fill="E5EED5" w:themeFill="accent3" w:themeFillTint="40"/>
      </w:tcPr>
    </w:tblStylePr>
    <w:tblStylePr w:type="band1Vert">
      <w:tblPr/>
      <w:tcPr>
        <w:shd w:val="clear" w:color="E5EED5" w:fill="E5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Col">
      <w:rPr>
        <w:b/>
      </w:rPr>
      <w:tbl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style>
  <w:style w:type="table" w:customStyle="1" w:styleId="855">
    <w:name w:val="List Table 1 Light - Accent 4"/>
    <w:uiPriority w:val="99"/>
    <w:tblPr>
      <w:tblStyleRowBandSize w:val="1"/>
      <w:tblStyleColBandSize w:val="1"/>
      <w:tblCellMar>
        <w:left w:w="0" w:type="dxa"/>
        <w:top w:w="0" w:type="dxa"/>
        <w:right w:w="0" w:type="dxa"/>
        <w:bottom w:w="0" w:type="dxa"/>
      </w:tblCellMar>
    </w:tblPr>
    <w:tblStylePr w:type="band1Horz">
      <w:tblPr/>
      <w:tcPr>
        <w:shd w:val="clear" w:color="DFD8E7" w:fill="DFD8E7" w:themeFill="accent4" w:themeFillTint="40"/>
      </w:tcPr>
    </w:tblStylePr>
    <w:tblStylePr w:type="band1Vert">
      <w:tblPr/>
      <w:tcPr>
        <w:shd w:val="clear" w:color="DFD8E7"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Col">
      <w:rPr>
        <w:b/>
      </w:rPr>
      <w:tbl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style>
  <w:style w:type="table" w:customStyle="1" w:styleId="856">
    <w:name w:val="List Table 1 Light - Accent 5"/>
    <w:uiPriority w:val="99"/>
    <w:tblPr>
      <w:tblStyleRowBandSize w:val="1"/>
      <w:tblStyleColBandSize w:val="1"/>
      <w:tblCellMar>
        <w:left w:w="0" w:type="dxa"/>
        <w:top w:w="0" w:type="dxa"/>
        <w:right w:w="0" w:type="dxa"/>
        <w:bottom w:w="0" w:type="dxa"/>
      </w:tblCellMar>
    </w:tblPr>
    <w:tblStylePr w:type="band1Horz">
      <w:tblPr/>
      <w:tcPr>
        <w:shd w:val="clear" w:color="D1EAF0" w:fill="D1EAF0" w:themeFill="accent5" w:themeFillTint="40"/>
      </w:tcPr>
    </w:tblStylePr>
    <w:tblStylePr w:type="band1Vert">
      <w:tblPr/>
      <w:tcPr>
        <w:shd w:val="clear" w:color="D1EAF0"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style>
  <w:style w:type="table" w:customStyle="1" w:styleId="857">
    <w:name w:val="List Table 1 Light - Accent 6"/>
    <w:uiPriority w:val="99"/>
    <w:tblPr>
      <w:tblStyleRowBandSize w:val="1"/>
      <w:tblStyleColBandSize w:val="1"/>
      <w:tblCellMar>
        <w:left w:w="0" w:type="dxa"/>
        <w:top w:w="0" w:type="dxa"/>
        <w:right w:w="0" w:type="dxa"/>
        <w:bottom w:w="0" w:type="dxa"/>
      </w:tblCellMar>
    </w:tblPr>
    <w:tblStylePr w:type="band1Horz">
      <w:tblPr/>
      <w:tcPr>
        <w:shd w:val="clear" w:color="FDE4D0" w:fill="FDE4D0" w:themeFill="accent6" w:themeFillTint="40"/>
      </w:tcPr>
    </w:tblStylePr>
    <w:tblStylePr w:type="band1Vert">
      <w:tblPr/>
      <w:tcPr>
        <w:shd w:val="clear" w:color="FDE4D0" w:fill="FDE4D0"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style>
  <w:style w:type="table" w:customStyle="1" w:styleId="858">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sz w:val="22"/>
      </w:rPr>
      <w:tbl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customStyle="1" w:styleId="859">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sz w:val="22"/>
      </w:rPr>
      <w:tblPr/>
    </w:tblStyle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Col">
      <w:rPr>
        <w:b/>
        <w:sz w:val="22"/>
      </w:rPr>
      <w:tbl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style>
  <w:style w:type="table" w:customStyle="1" w:styleId="860">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sz w:val="22"/>
      </w:rPr>
      <w:tblPr/>
    </w:tblStyle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Col">
      <w:rPr>
        <w:b/>
        <w:sz w:val="22"/>
      </w:rPr>
      <w:tbl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style>
  <w:style w:type="table" w:customStyle="1" w:styleId="861">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sz w:val="22"/>
      </w:rPr>
      <w:tblPr/>
    </w:tblStyle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Col">
      <w:rPr>
        <w:b/>
        <w:sz w:val="22"/>
      </w:rPr>
      <w:tbl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style>
  <w:style w:type="table" w:customStyle="1" w:styleId="862">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sz w:val="22"/>
      </w:rPr>
      <w:tblPr/>
    </w:tblStyle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Col">
      <w:rPr>
        <w:b/>
        <w:sz w:val="22"/>
      </w:rPr>
      <w:tbl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style>
  <w:style w:type="table" w:customStyle="1" w:styleId="863">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sz w:val="22"/>
      </w:rPr>
      <w:tblPr/>
    </w:tblStyle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Col">
      <w:rPr>
        <w:b/>
        <w:sz w:val="22"/>
      </w:rPr>
      <w:tbl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style>
  <w:style w:type="table" w:customStyle="1" w:styleId="864">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sz w:val="22"/>
      </w:rPr>
      <w:tblPr/>
    </w:tblStyle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Col">
      <w:rPr>
        <w:b/>
        <w:sz w:val="22"/>
      </w:rPr>
      <w:tbl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style>
  <w:style w:type="table" w:customStyle="1" w:styleId="865">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66">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sz w:val="22"/>
      </w:rPr>
      <w:tblPr/>
      <w:tcPr>
        <w:tcBorders>
          <w:top w:val="single" w:color="4F81BD" w:themeColor="accent1" w:sz="4" w:space="0"/>
          <w:bottom w:val="single" w:color="4F81BD" w:themeColor="accent1" w:sz="4" w:space="0"/>
        </w:tcBorders>
      </w:tcPr>
    </w:tblStylePr>
    <w:tblStylePr w:type="band1Vert">
      <w:rPr>
        <w:sz w:val="22"/>
      </w:rPr>
      <w:tblPr/>
      <w:tcPr>
        <w:tcBorders>
          <w:left w:val="single" w:color="4F81BD" w:themeColor="accent1" w:sz="4" w:space="0"/>
          <w:right w:val="single" w:color="4F81BD" w:themeColor="accent1" w:sz="4" w:space="0"/>
        </w:tcBorders>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67">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sz w:val="22"/>
      </w:rPr>
      <w:tblPr/>
      <w:tcPr>
        <w:tcBorders>
          <w:top w:val="single" w:color="D99695" w:themeColor="accent2" w:sz="4" w:space="0"/>
          <w:bottom w:val="single" w:color="D99695" w:themeColor="accent2" w:sz="4" w:space="0"/>
        </w:tcBorders>
      </w:tcPr>
    </w:tblStylePr>
    <w:tblStylePr w:type="band1Vert">
      <w:rPr>
        <w:sz w:val="22"/>
      </w:rPr>
      <w:tblPr/>
      <w:tcPr>
        <w:tcBorders>
          <w:left w:val="single" w:color="D99695" w:themeColor="accent2" w:sz="4" w:space="0"/>
          <w:right w:val="single" w:color="D99695" w:themeColor="accent2" w:sz="4" w:space="0"/>
        </w:tcBorders>
      </w:tcPr>
    </w:tblStylePr>
    <w:tblStylePr w:type="firstCol">
      <w:rPr>
        <w:b/>
      </w:rPr>
      <w:tblPr/>
    </w:tblStylePr>
    <w:tblStylePr w:type="firstRow">
      <w:rPr>
        <w:b/>
        <w:sz w:val="22"/>
      </w:rPr>
      <w:tblPr/>
      <w:tcPr>
        <w:shd w:val="clear" w:color="D99695" w:fill="D99695" w:themeFill="accent2" w:themeFillTint="97"/>
      </w:tcPr>
    </w:tblStylePr>
    <w:tblStylePr w:type="lastCol">
      <w:rPr>
        <w:b/>
      </w:rPr>
      <w:tblPr/>
    </w:tblStylePr>
    <w:tblStylePr w:type="lastRow">
      <w:rPr>
        <w:b/>
      </w:rPr>
      <w:tblPr/>
    </w:tblStylePr>
  </w:style>
  <w:style w:type="table" w:customStyle="1" w:styleId="868">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sz w:val="22"/>
      </w:rPr>
      <w:tblPr/>
      <w:tcPr>
        <w:tcBorders>
          <w:top w:val="single" w:color="C3D69B" w:themeColor="accent3" w:sz="4" w:space="0"/>
          <w:bottom w:val="single" w:color="C3D69B" w:themeColor="accent3" w:sz="4" w:space="0"/>
        </w:tcBorders>
      </w:tcPr>
    </w:tblStylePr>
    <w:tblStylePr w:type="band1Vert">
      <w:rPr>
        <w:sz w:val="22"/>
      </w:rPr>
      <w:tblPr/>
      <w:tcPr>
        <w:tcBorders>
          <w:left w:val="single" w:color="C3D69B" w:themeColor="accent3" w:sz="4" w:space="0"/>
          <w:right w:val="single" w:color="C3D69B" w:themeColor="accent3" w:sz="4" w:space="0"/>
        </w:tcBorders>
      </w:tcPr>
    </w:tblStylePr>
    <w:tblStylePr w:type="firstCol">
      <w:rPr>
        <w:b/>
      </w:rPr>
      <w:tblPr/>
    </w:tblStylePr>
    <w:tblStylePr w:type="firstRow">
      <w:rPr>
        <w:b/>
        <w:sz w:val="22"/>
      </w:rPr>
      <w:tblPr/>
      <w:tcPr>
        <w:shd w:val="clear" w:color="C3D69B" w:fill="C3D69B" w:themeFill="accent3" w:themeFillTint="98"/>
      </w:tcPr>
    </w:tblStylePr>
    <w:tblStylePr w:type="lastCol">
      <w:rPr>
        <w:b/>
      </w:rPr>
      <w:tblPr/>
    </w:tblStylePr>
    <w:tblStylePr w:type="lastRow">
      <w:rPr>
        <w:b/>
      </w:rPr>
      <w:tblPr/>
    </w:tblStylePr>
  </w:style>
  <w:style w:type="table" w:customStyle="1" w:styleId="869">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sz w:val="22"/>
      </w:rPr>
      <w:tblPr/>
      <w:tcPr>
        <w:tcBorders>
          <w:top w:val="single" w:color="B2A1C6" w:themeColor="accent4" w:sz="4" w:space="0"/>
          <w:bottom w:val="single" w:color="B2A1C6" w:themeColor="accent4" w:sz="4" w:space="0"/>
        </w:tcBorders>
      </w:tcPr>
    </w:tblStylePr>
    <w:tblStylePr w:type="band1Vert">
      <w:rPr>
        <w:sz w:val="22"/>
      </w:rPr>
      <w:tblPr/>
      <w:tcPr>
        <w:tcBorders>
          <w:left w:val="single" w:color="B2A1C6" w:themeColor="accent4" w:sz="4" w:space="0"/>
          <w:right w:val="single" w:color="B2A1C6" w:themeColor="accent4" w:sz="4" w:space="0"/>
        </w:tcBorders>
      </w:tcPr>
    </w:tblStylePr>
    <w:tblStylePr w:type="firstCol">
      <w:rPr>
        <w:b/>
      </w:rPr>
      <w:tblPr/>
    </w:tblStylePr>
    <w:tblStylePr w:type="firstRow">
      <w:rPr>
        <w:b/>
        <w:sz w:val="22"/>
      </w:rPr>
      <w:tblPr/>
      <w:tcPr>
        <w:shd w:val="clear" w:color="B2A1C6" w:fill="B2A1C6" w:themeFill="accent4" w:themeFillTint="9a"/>
      </w:tcPr>
    </w:tblStylePr>
    <w:tblStylePr w:type="lastCol">
      <w:rPr>
        <w:b/>
      </w:rPr>
      <w:tblPr/>
    </w:tblStylePr>
    <w:tblStylePr w:type="lastRow">
      <w:rPr>
        <w:b/>
      </w:rPr>
      <w:tblPr/>
    </w:tblStylePr>
  </w:style>
  <w:style w:type="table" w:customStyle="1" w:styleId="870">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sz w:val="22"/>
      </w:rPr>
      <w:tblPr/>
      <w:tcPr>
        <w:tcBorders>
          <w:top w:val="single" w:color="92CCDC" w:themeColor="accent5" w:sz="4" w:space="0"/>
          <w:bottom w:val="single" w:color="92CCDC" w:themeColor="accent5" w:sz="4" w:space="0"/>
        </w:tcBorders>
      </w:tcPr>
    </w:tblStylePr>
    <w:tblStylePr w:type="band1Vert">
      <w:rPr>
        <w:sz w:val="22"/>
      </w:rPr>
      <w:tblPr/>
      <w:tcPr>
        <w:tcBorders>
          <w:left w:val="single" w:color="92CCDC" w:themeColor="accent5" w:sz="4" w:space="0"/>
          <w:right w:val="single" w:color="92CCDC" w:themeColor="accent5" w:sz="4" w:space="0"/>
        </w:tcBorders>
      </w:tcPr>
    </w:tblStylePr>
    <w:tblStylePr w:type="firstCol">
      <w:rPr>
        <w:b/>
      </w:rPr>
      <w:tblPr/>
    </w:tblStylePr>
    <w:tblStylePr w:type="firstRow">
      <w:rPr>
        <w:b/>
        <w:sz w:val="22"/>
      </w:rPr>
      <w:tblPr/>
      <w:tcPr>
        <w:shd w:val="clear" w:color="92CCDC" w:fill="92CCDC" w:themeFill="accent5" w:themeFillTint="9a"/>
      </w:tcPr>
    </w:tblStylePr>
    <w:tblStylePr w:type="lastCol">
      <w:rPr>
        <w:b/>
      </w:rPr>
      <w:tblPr/>
    </w:tblStylePr>
    <w:tblStylePr w:type="lastRow">
      <w:rPr>
        <w:b/>
      </w:rPr>
      <w:tblPr/>
    </w:tblStylePr>
  </w:style>
  <w:style w:type="table" w:customStyle="1" w:styleId="871">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sz w:val="22"/>
      </w:rPr>
      <w:tblPr/>
      <w:tcPr>
        <w:tcBorders>
          <w:top w:val="single" w:color="FAC090" w:themeColor="accent6" w:sz="4" w:space="0"/>
          <w:bottom w:val="single" w:color="FAC090" w:themeColor="accent6" w:sz="4" w:space="0"/>
        </w:tcBorders>
      </w:tcPr>
    </w:tblStylePr>
    <w:tblStylePr w:type="band1Vert">
      <w:rPr>
        <w:sz w:val="22"/>
      </w:rPr>
      <w:tblPr/>
      <w:tcPr>
        <w:tcBorders>
          <w:left w:val="single" w:color="FAC090" w:themeColor="accent6" w:sz="4" w:space="0"/>
          <w:right w:val="single" w:color="FAC090" w:themeColor="accent6" w:sz="4" w:space="0"/>
        </w:tcBorders>
      </w:tcPr>
    </w:tblStylePr>
    <w:tblStylePr w:type="firstCol">
      <w:rPr>
        <w:b/>
      </w:rPr>
      <w:tblPr/>
    </w:tblStylePr>
    <w:tblStylePr w:type="firstRow">
      <w:rPr>
        <w:b/>
        <w:sz w:val="22"/>
      </w:rPr>
      <w:tblPr/>
      <w:tcPr>
        <w:shd w:val="clear" w:color="FAC090" w:fill="FAC090" w:themeFill="accent6" w:themeFillTint="98"/>
      </w:tcPr>
    </w:tblStylePr>
    <w:tblStylePr w:type="lastCol">
      <w:rPr>
        <w:b/>
      </w:rPr>
      <w:tblPr/>
    </w:tblStylePr>
    <w:tblStylePr w:type="lastRow">
      <w:rPr>
        <w:b/>
      </w:rPr>
      <w:tblPr/>
    </w:tblStylePr>
  </w:style>
  <w:style w:type="table" w:customStyle="1" w:styleId="872">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73">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74">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rPr>
      <w:tblPr/>
    </w:tblStylePr>
    <w:tblStylePr w:type="firstRow">
      <w:rPr>
        <w:b/>
        <w:sz w:val="22"/>
      </w:rPr>
      <w:tblPr/>
      <w:tcPr>
        <w:shd w:val="clear" w:color="C0504D" w:fill="C0504D" w:themeFill="accent2"/>
      </w:tcPr>
    </w:tblStylePr>
    <w:tblStylePr w:type="lastCol">
      <w:rPr>
        <w:b/>
      </w:rPr>
      <w:tblPr/>
    </w:tblStylePr>
    <w:tblStylePr w:type="lastRow">
      <w:rPr>
        <w:b/>
      </w:rPr>
      <w:tblPr/>
    </w:tblStylePr>
  </w:style>
  <w:style w:type="table" w:customStyle="1" w:styleId="875">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rPr>
      <w:tblPr/>
    </w:tblStylePr>
    <w:tblStylePr w:type="firstRow">
      <w:rPr>
        <w:b/>
        <w:sz w:val="22"/>
      </w:rPr>
      <w:tblPr/>
      <w:tcPr>
        <w:shd w:val="clear" w:color="9BBB59" w:fill="9BBB59" w:themeFill="accent3"/>
      </w:tcPr>
    </w:tblStylePr>
    <w:tblStylePr w:type="lastCol">
      <w:rPr>
        <w:b/>
      </w:rPr>
      <w:tblPr/>
    </w:tblStylePr>
    <w:tblStylePr w:type="lastRow">
      <w:rPr>
        <w:b/>
      </w:rPr>
      <w:tblPr/>
    </w:tblStylePr>
  </w:style>
  <w:style w:type="table" w:customStyle="1" w:styleId="876">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rPr>
      <w:tblPr/>
    </w:tblStylePr>
    <w:tblStylePr w:type="firstRow">
      <w:rPr>
        <w:b/>
        <w:sz w:val="22"/>
      </w:rPr>
      <w:tblPr/>
      <w:tcPr>
        <w:shd w:val="clear" w:color="8064A2" w:fill="8064A2" w:themeFill="accent4"/>
      </w:tcPr>
    </w:tblStylePr>
    <w:tblStylePr w:type="lastCol">
      <w:rPr>
        <w:b/>
      </w:rPr>
      <w:tblPr/>
    </w:tblStylePr>
    <w:tblStylePr w:type="lastRow">
      <w:rPr>
        <w:b/>
      </w:rPr>
      <w:tblPr/>
    </w:tblStylePr>
  </w:style>
  <w:style w:type="table" w:customStyle="1" w:styleId="877">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rPr>
      <w:tblPr/>
    </w:tblStylePr>
    <w:tblStylePr w:type="firstRow">
      <w:rPr>
        <w:b/>
        <w:sz w:val="22"/>
      </w:rPr>
      <w:tblPr/>
      <w:tcPr>
        <w:shd w:val="clear" w:color="4BACC6" w:fill="4BACC6" w:themeFill="accent5"/>
      </w:tcPr>
    </w:tblStylePr>
    <w:tblStylePr w:type="lastCol">
      <w:rPr>
        <w:b/>
      </w:rPr>
      <w:tblPr/>
    </w:tblStylePr>
    <w:tblStylePr w:type="lastRow">
      <w:rPr>
        <w:b/>
      </w:rPr>
      <w:tblPr/>
    </w:tblStylePr>
  </w:style>
  <w:style w:type="table" w:customStyle="1" w:styleId="878">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rPr>
      <w:tblPr/>
    </w:tblStylePr>
    <w:tblStylePr w:type="firstRow">
      <w:rPr>
        <w:b/>
        <w:sz w:val="22"/>
      </w:rPr>
      <w:tblPr/>
      <w:tcPr>
        <w:shd w:val="clear" w:color="F79646" w:fill="F79646" w:themeFill="accent6"/>
      </w:tcPr>
    </w:tblStylePr>
    <w:tblStylePr w:type="lastCol">
      <w:rPr>
        <w:b/>
      </w:rPr>
      <w:tblPr/>
    </w:tblStylePr>
    <w:tblStylePr w:type="lastRow">
      <w:rPr>
        <w:b/>
      </w:rPr>
      <w:tblPr/>
    </w:tblStylePr>
  </w:style>
  <w:style w:type="table" w:customStyle="1" w:styleId="879">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customStyle="1" w:styleId="880">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Col">
      <w:tblPr/>
      <w:tcPr>
        <w:tcBorders>
          <w:left w:val="single" w:color="FFFFFF" w:themeColor="light1" w:sz="4" w:space="0"/>
          <w:right w:val="single" w:color="4F81BD" w:themeColor="accent1" w:sz="32" w:space="0"/>
        </w:tcBorders>
      </w:tcPr>
    </w:tblStylePr>
    <w:tblStylePr w:type="lastRow">
      <w:rPr>
        <w:b/>
        <w:color w:themeColor="light1"/>
        <w:sz w:val="22"/>
      </w:rPr>
      <w:tblPr/>
    </w:tblStylePr>
  </w:style>
  <w:style w:type="table" w:customStyle="1" w:styleId="881">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firstRow">
      <w:rPr>
        <w:b/>
        <w:color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Col">
      <w:tblPr/>
      <w:tcPr>
        <w:tcBorders>
          <w:left w:val="single" w:color="FFFFFF" w:themeColor="light1" w:sz="4" w:space="0"/>
          <w:right w:val="single" w:color="D99695" w:themeColor="accent2" w:sz="32" w:space="0"/>
        </w:tcBorders>
      </w:tcPr>
    </w:tblStylePr>
    <w:tblStylePr w:type="lastRow">
      <w:rPr>
        <w:b/>
        <w:color w:themeColor="light1"/>
        <w:sz w:val="22"/>
      </w:rPr>
      <w:tblPr/>
    </w:tblStylePr>
  </w:style>
  <w:style w:type="table" w:customStyle="1" w:styleId="882">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firstRow">
      <w:rPr>
        <w:b/>
        <w:color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Col">
      <w:tblPr/>
      <w:tcPr>
        <w:tcBorders>
          <w:left w:val="single" w:color="FFFFFF" w:themeColor="light1" w:sz="4" w:space="0"/>
          <w:right w:val="single" w:color="C3D69B" w:themeColor="accent3" w:sz="32" w:space="0"/>
        </w:tcBorders>
      </w:tcPr>
    </w:tblStylePr>
    <w:tblStylePr w:type="lastRow">
      <w:rPr>
        <w:b/>
        <w:color w:themeColor="light1"/>
        <w:sz w:val="22"/>
      </w:rPr>
      <w:tblPr/>
    </w:tblStylePr>
  </w:style>
  <w:style w:type="table" w:customStyle="1" w:styleId="883">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firstRow">
      <w:rPr>
        <w:b/>
        <w:color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Col">
      <w:tblPr/>
      <w:tcPr>
        <w:tcBorders>
          <w:left w:val="single" w:color="FFFFFF" w:themeColor="light1" w:sz="4" w:space="0"/>
          <w:right w:val="single" w:color="B2A1C6" w:themeColor="accent4" w:sz="32" w:space="0"/>
        </w:tcBorders>
      </w:tcPr>
    </w:tblStylePr>
    <w:tblStylePr w:type="lastRow">
      <w:rPr>
        <w:b/>
        <w:color w:themeColor="light1"/>
        <w:sz w:val="22"/>
      </w:rPr>
      <w:tblPr/>
    </w:tblStylePr>
  </w:style>
  <w:style w:type="table" w:customStyle="1" w:styleId="884">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firstRow">
      <w:rPr>
        <w:b/>
        <w:color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Col">
      <w:tblPr/>
      <w:tcPr>
        <w:tcBorders>
          <w:left w:val="single" w:color="FFFFFF" w:themeColor="light1" w:sz="4" w:space="0"/>
          <w:right w:val="single" w:color="92CCDC" w:themeColor="accent5" w:sz="32" w:space="0"/>
        </w:tcBorders>
      </w:tcPr>
    </w:tblStylePr>
    <w:tblStylePr w:type="lastRow">
      <w:rPr>
        <w:b/>
        <w:color w:themeColor="light1"/>
        <w:sz w:val="22"/>
      </w:rPr>
      <w:tblPr/>
    </w:tblStylePr>
  </w:style>
  <w:style w:type="table" w:customStyle="1" w:styleId="885">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firstRow">
      <w:rPr>
        <w:b/>
        <w:color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Col">
      <w:tblPr/>
      <w:tcPr>
        <w:tcBorders>
          <w:left w:val="single" w:color="FFFFFF" w:themeColor="light1" w:sz="4" w:space="0"/>
          <w:right w:val="single" w:color="FAC090" w:themeColor="accent6" w:sz="32" w:space="0"/>
        </w:tcBorders>
      </w:tcPr>
    </w:tblStylePr>
    <w:tblStylePr w:type="lastRow">
      <w:rPr>
        <w:b/>
        <w:color w:themeColor="light1"/>
        <w:sz w:val="22"/>
      </w:rPr>
      <w:tblPr/>
    </w:tblStylePr>
  </w:style>
  <w:style w:type="table" w:customStyle="1" w:styleId="886">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customStyle="1" w:styleId="887">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4F81BD"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4F81BD" w:themeColor="accent1" w:sz="4" w:space="0"/>
        </w:tcBorders>
      </w:tcPr>
    </w:tblStylePr>
  </w:style>
  <w:style w:type="table" w:customStyle="1" w:styleId="888">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D99695" w:themeColor="accent2" w:sz="4" w:space="0"/>
        </w:tcBorders>
      </w:tcPr>
    </w:tblStylePr>
  </w:style>
  <w:style w:type="table" w:customStyle="1" w:styleId="889">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C3D69B"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C3D69B" w:themeColor="accent3" w:sz="4" w:space="0"/>
        </w:tcBorders>
      </w:tcPr>
    </w:tblStylePr>
  </w:style>
  <w:style w:type="table" w:customStyle="1" w:styleId="890">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B2A1C6" w:themeColor="accent4" w:sz="4" w:space="0"/>
        </w:tcBorders>
      </w:tcPr>
    </w:tblStylePr>
  </w:style>
  <w:style w:type="table" w:customStyle="1" w:styleId="891">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92CCDC"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92CCDC" w:themeColor="accent5" w:sz="4" w:space="0"/>
        </w:tcBorders>
      </w:tcPr>
    </w:tblStylePr>
  </w:style>
  <w:style w:type="table" w:customStyle="1" w:styleId="892">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FAC09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FAC090" w:themeColor="accent6" w:sz="4" w:space="0"/>
        </w:tcBorders>
      </w:tcPr>
    </w:tblStylePr>
  </w:style>
  <w:style w:type="table" w:customStyle="1" w:styleId="893">
    <w:name w:val="List Table 7 Colorful"/>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94">
    <w:name w:val="List Table 7 Colorful - Accent 1"/>
    <w:uiPriority w:val="99"/>
    <w:tblPr>
      <w:tblStyleRowBandSize w:val="1"/>
      <w:tblStyleColBandSize w:val="1"/>
      <w:tblBorders>
        <w:right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i/>
        <w:color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i/>
        <w:color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95">
    <w:name w:val="List Table 7 Colorful - Accent 2"/>
    <w:uiPriority w:val="99"/>
    <w:tblPr>
      <w:tblStyleRowBandSize w:val="1"/>
      <w:tblStyleColBandSize w:val="1"/>
      <w:tblBorders>
        <w:right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i/>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i/>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96">
    <w:name w:val="List Table 7 Colorful - Accent 3"/>
    <w:uiPriority w:val="99"/>
    <w:tblPr>
      <w:tblStyleRowBandSize w:val="1"/>
      <w:tblStyleColBandSize w:val="1"/>
      <w:tblBorders>
        <w:right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firstRow">
      <w:rPr>
        <w:i/>
        <w:color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lastRow">
      <w:rPr>
        <w:i/>
        <w:color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97">
    <w:name w:val="List Table 7 Colorful - Accent 4"/>
    <w:uiPriority w:val="99"/>
    <w:tblPr>
      <w:tblStyleRowBandSize w:val="1"/>
      <w:tblStyleColBandSize w:val="1"/>
      <w:tblBorders>
        <w:right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i/>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i/>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98">
    <w:name w:val="List Table 7 Colorful - Accent 5"/>
    <w:uiPriority w:val="99"/>
    <w:tblPr>
      <w:tblStyleRowBandSize w:val="1"/>
      <w:tblStyleColBandSize w:val="1"/>
      <w:tblBorders>
        <w:right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firstRow">
      <w:rPr>
        <w:i/>
        <w:color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lastRow">
      <w:rPr>
        <w:i/>
        <w:color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99">
    <w:name w:val="List Table 7 Colorful - Accent 6"/>
    <w:uiPriority w:val="99"/>
    <w:tblPr>
      <w:tblStyleRowBandSize w:val="1"/>
      <w:tblStyleColBandSize w:val="1"/>
      <w:tblBorders>
        <w:right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firstRow">
      <w:rPr>
        <w:i/>
        <w:color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lastRow">
      <w:rPr>
        <w:i/>
        <w:color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900">
    <w:name w:val="Lined - Accent"/>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1">
    <w:name w:val="Lined - Accent 1"/>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2">
    <w:name w:val="Lined - Accent 2"/>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03">
    <w:name w:val="Lined - Accent 3"/>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04">
    <w:name w:val="Lined - Accent 4"/>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05">
    <w:name w:val="Lined - Accent 5"/>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06">
    <w:name w:val="Lined - Accent 6"/>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07">
    <w:name w:val="Bordered &amp; Lined - Accent"/>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8">
    <w:name w:val="Bordered &amp; Lined - Accent 1"/>
    <w:uiPriority w:val="99"/>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9">
    <w:name w:val="Bordered &amp; Lined - Accent 2"/>
    <w:uiPriority w:val="99"/>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10">
    <w:name w:val="Bordered &amp; Lined - Accent 3"/>
    <w:uiPriority w:val="99"/>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11">
    <w:name w:val="Bordered &amp; Lined - Accent 4"/>
    <w:uiPriority w:val="99"/>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12">
    <w:name w:val="Bordered &amp; Lined - Accent 5"/>
    <w:uiPriority w:val="99"/>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13">
    <w:name w:val="Bordered &amp; Lined - Accent 6"/>
    <w:uiPriority w:val="99"/>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14">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sz w:val="22"/>
      </w:rPr>
      <w:tblPr/>
    </w:tblStylePr>
    <w:tblStylePr w:type="firstRow">
      <w:rPr>
        <w:sz w:val="22"/>
      </w:rPr>
      <w:tblPr/>
      <w:tcPr>
        <w:tcBorders>
          <w:bottom w:val="single" w:color="7F7F7F" w:themeColor="text1" w:sz="12" w:space="0"/>
        </w:tcBorders>
      </w:tcPr>
    </w:tblStylePr>
    <w:tblStylePr w:type="lastCol">
      <w:rPr>
        <w:sz w:val="22"/>
      </w:rPr>
      <w:tblPr/>
      <w:tcPr>
        <w:tcBorders>
          <w:left w:val="single" w:color="7F7F7F" w:themeColor="text1" w:sz="12" w:space="0"/>
        </w:tcBorders>
      </w:tcPr>
    </w:tblStylePr>
    <w:tblStylePr w:type="lastRow">
      <w:rPr>
        <w:sz w:val="22"/>
      </w:rPr>
      <w:tblPr/>
      <w:tcPr>
        <w:tcBorders>
          <w:top w:val="single" w:color="7F7F7F" w:themeColor="text1" w:sz="12" w:space="0"/>
        </w:tcBorders>
      </w:tcPr>
    </w:tblStylePr>
  </w:style>
  <w:style w:type="table" w:customStyle="1" w:styleId="915">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sz w:val="22"/>
      </w:rPr>
      <w:tblPr/>
    </w:tblStylePr>
    <w:tblStylePr w:type="firstRow">
      <w:rPr>
        <w:sz w:val="22"/>
      </w:rPr>
      <w:tblPr/>
      <w:tcPr>
        <w:tcBorders>
          <w:bottom w:val="single" w:color="4F81BD" w:themeColor="accent1" w:sz="12" w:space="0"/>
        </w:tcBorders>
      </w:tcPr>
    </w:tblStylePr>
    <w:tblStylePr w:type="lastCol">
      <w:rPr>
        <w:sz w:val="22"/>
      </w:rPr>
      <w:tblPr/>
      <w:tcPr>
        <w:tcBorders>
          <w:left w:val="single" w:color="4F81BD" w:themeColor="accent1" w:sz="12" w:space="0"/>
        </w:tcBorders>
      </w:tcPr>
    </w:tblStylePr>
    <w:tblStylePr w:type="lastRow">
      <w:rPr>
        <w:sz w:val="22"/>
      </w:rPr>
      <w:tblPr/>
      <w:tcPr>
        <w:tcBorders>
          <w:top w:val="single" w:color="4F81BD" w:themeColor="accent1" w:sz="12" w:space="0"/>
        </w:tcBorders>
      </w:tcPr>
    </w:tblStylePr>
  </w:style>
  <w:style w:type="table" w:customStyle="1" w:styleId="916">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sz w:val="22"/>
      </w:rPr>
      <w:tblPr/>
    </w:tblStylePr>
    <w:tblStylePr w:type="firstRow">
      <w:rPr>
        <w:sz w:val="22"/>
      </w:rPr>
      <w:tblPr/>
      <w:tcPr>
        <w:tcBorders>
          <w:bottom w:val="single" w:color="D99695" w:themeColor="accent2" w:sz="12" w:space="0"/>
        </w:tcBorders>
      </w:tcPr>
    </w:tblStylePr>
    <w:tblStylePr w:type="lastCol">
      <w:rPr>
        <w:sz w:val="22"/>
      </w:rPr>
      <w:tblPr/>
      <w:tcPr>
        <w:tcBorders>
          <w:left w:val="single" w:color="D99695" w:themeColor="accent2" w:sz="12" w:space="0"/>
        </w:tcBorders>
      </w:tcPr>
    </w:tblStylePr>
    <w:tblStylePr w:type="lastRow">
      <w:rPr>
        <w:sz w:val="22"/>
      </w:rPr>
      <w:tblPr/>
      <w:tcPr>
        <w:tcBorders>
          <w:top w:val="single" w:color="D99695" w:themeColor="accent2" w:sz="12" w:space="0"/>
        </w:tcBorders>
      </w:tcPr>
    </w:tblStylePr>
  </w:style>
  <w:style w:type="table" w:customStyle="1" w:styleId="917">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sz w:val="22"/>
      </w:rPr>
      <w:tblPr/>
    </w:tblStylePr>
    <w:tblStylePr w:type="firstRow">
      <w:rPr>
        <w:sz w:val="22"/>
      </w:rPr>
      <w:tblPr/>
      <w:tcPr>
        <w:tcBorders>
          <w:bottom w:val="single" w:color="C3D69B" w:themeColor="accent3" w:sz="12" w:space="0"/>
        </w:tcBorders>
      </w:tcPr>
    </w:tblStylePr>
    <w:tblStylePr w:type="lastCol">
      <w:rPr>
        <w:sz w:val="22"/>
      </w:rPr>
      <w:tblPr/>
      <w:tcPr>
        <w:tcBorders>
          <w:left w:val="single" w:color="C3D69B" w:themeColor="accent3" w:sz="12" w:space="0"/>
        </w:tcBorders>
      </w:tcPr>
    </w:tblStylePr>
    <w:tblStylePr w:type="lastRow">
      <w:rPr>
        <w:sz w:val="22"/>
      </w:rPr>
      <w:tblPr/>
      <w:tcPr>
        <w:tcBorders>
          <w:top w:val="single" w:color="C3D69B" w:themeColor="accent3" w:sz="12" w:space="0"/>
        </w:tcBorders>
      </w:tcPr>
    </w:tblStylePr>
  </w:style>
  <w:style w:type="table" w:customStyle="1" w:styleId="918">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sz w:val="22"/>
      </w:rPr>
      <w:tblPr/>
    </w:tblStylePr>
    <w:tblStylePr w:type="firstRow">
      <w:rPr>
        <w:sz w:val="22"/>
      </w:rPr>
      <w:tblPr/>
      <w:tcPr>
        <w:tcBorders>
          <w:bottom w:val="single" w:color="B2A1C6" w:themeColor="accent4" w:sz="12" w:space="0"/>
        </w:tcBorders>
      </w:tcPr>
    </w:tblStylePr>
    <w:tblStylePr w:type="lastCol">
      <w:rPr>
        <w:sz w:val="22"/>
      </w:rPr>
      <w:tblPr/>
      <w:tcPr>
        <w:tcBorders>
          <w:left w:val="single" w:color="B2A1C6" w:themeColor="accent4" w:sz="12" w:space="0"/>
        </w:tcBorders>
      </w:tcPr>
    </w:tblStylePr>
    <w:tblStylePr w:type="lastRow">
      <w:rPr>
        <w:sz w:val="22"/>
      </w:rPr>
      <w:tblPr/>
      <w:tcPr>
        <w:tcBorders>
          <w:top w:val="single" w:color="B2A1C6" w:themeColor="accent4" w:sz="12" w:space="0"/>
        </w:tcBorders>
      </w:tcPr>
    </w:tblStylePr>
  </w:style>
  <w:style w:type="table" w:customStyle="1" w:styleId="919">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sz w:val="22"/>
      </w:rPr>
      <w:tblPr/>
    </w:tblStylePr>
    <w:tblStylePr w:type="firstRow">
      <w:rPr>
        <w:sz w:val="22"/>
      </w:rPr>
      <w:tblPr/>
      <w:tcPr>
        <w:tcBorders>
          <w:bottom w:val="single" w:color="92CCDC" w:themeColor="accent5" w:sz="12" w:space="0"/>
        </w:tcBorders>
      </w:tcPr>
    </w:tblStylePr>
    <w:tblStylePr w:type="lastCol">
      <w:rPr>
        <w:sz w:val="22"/>
      </w:rPr>
      <w:tblPr/>
      <w:tcPr>
        <w:tcBorders>
          <w:left w:val="single" w:color="92CCDC" w:themeColor="accent5" w:sz="12" w:space="0"/>
        </w:tcBorders>
      </w:tcPr>
    </w:tblStylePr>
    <w:tblStylePr w:type="lastRow">
      <w:rPr>
        <w:sz w:val="22"/>
      </w:rPr>
      <w:tblPr/>
      <w:tcPr>
        <w:tcBorders>
          <w:top w:val="single" w:color="92CCDC" w:themeColor="accent5" w:sz="12" w:space="0"/>
        </w:tcBorders>
      </w:tcPr>
    </w:tblStylePr>
  </w:style>
  <w:style w:type="table" w:customStyle="1" w:styleId="920">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sz w:val="22"/>
      </w:rPr>
      <w:tblPr/>
    </w:tblStylePr>
    <w:tblStylePr w:type="firstRow">
      <w:rPr>
        <w:sz w:val="22"/>
      </w:rPr>
      <w:tblPr/>
      <w:tcPr>
        <w:tcBorders>
          <w:bottom w:val="single" w:color="FAC090" w:themeColor="accent6" w:sz="12" w:space="0"/>
        </w:tcBorders>
      </w:tcPr>
    </w:tblStylePr>
    <w:tblStylePr w:type="lastCol">
      <w:rPr>
        <w:sz w:val="22"/>
      </w:rPr>
      <w:tblPr/>
      <w:tcPr>
        <w:tcBorders>
          <w:left w:val="single" w:color="FAC090" w:themeColor="accent6" w:sz="12" w:space="0"/>
        </w:tcBorders>
      </w:tcPr>
    </w:tblStylePr>
    <w:tblStylePr w:type="lastRow">
      <w:rPr>
        <w:sz w:val="22"/>
      </w:rPr>
      <w:tblPr/>
      <w:tcPr>
        <w:tcBorders>
          <w:top w:val="single" w:color="FAC090" w:themeColor="accent6" w:sz="12"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s://connectgas.ru./" TargetMode="External"/><Relationship Id="rId11" Type="http://schemas.openxmlformats.org/officeDocument/2006/relationships/hyperlink" Target="mailto:perm-mail@ural.rt.ru." TargetMode="External"/><Relationship Id="rId12" Type="http://schemas.openxmlformats.org/officeDocument/2006/relationships/hyperlink" Target="http://www.torgi.gov.ru/" TargetMode="External"/><Relationship Id="rId13" Type="http://schemas.openxmlformats.org/officeDocument/2006/relationships/hyperlink" Target="http://www.gorodperm.ru/" TargetMode="External"/><Relationship Id="rId14" Type="http://schemas.openxmlformats.org/officeDocument/2006/relationships/hyperlink" Target="https://connectgas.ru./" TargetMode="External"/><Relationship Id="rId15" Type="http://schemas.openxmlformats.org/officeDocument/2006/relationships/hyperlink" Target="mailto:perm-mail@ural.rt.ru." TargetMode="External"/><Relationship Id="rId16" Type="http://schemas.openxmlformats.org/officeDocument/2006/relationships/hyperlink" Target="http://www.torgi.gov.ru/" TargetMode="External"/><Relationship Id="rId17" Type="http://schemas.openxmlformats.org/officeDocument/2006/relationships/hyperlink" Target="http://utp.sberbank-ast.ru/AP/Notice/653/Requisites" TargetMode="External"/><Relationship Id="rId18" Type="http://schemas.openxmlformats.org/officeDocument/2006/relationships/header" Target="header1.xml"/><Relationship Id="rId19" Type="http://schemas.openxmlformats.org/officeDocument/2006/relationships/header" Target="header2.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LibreOffice/7.6.7.2$Linux_X86_64 LibreOffice_project/60$Build-2</Application>
  <AppVersion>15.0000</AppVersion>
  <Pages>29</Pages>
  <Words>9123</Words>
  <Characters>65110</Characters>
  <CharactersWithSpaces>74208</CharactersWithSpaces>
  <Paragraphs>434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2024-09-02T08:08:00Z</dcterms:created>
  <dc:creator>Tatyannikova</dc:creator>
  <dc:description/>
  <dc:language>ru-RU</dc:language>
  <cp:lastModifiedBy/>
  <dcterms:modified xsi:type="dcterms:W3CDTF">2024-10-24T11:45:44Z</dcterms:modified>
  <cp:revision>31</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