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Приложение 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о проведении 28.11.2024 электронных аукционов </w:t>
      </w:r>
      <w:r>
        <w:rPr>
          <w:rFonts w:cs="Times New Roman" w:ascii="Times New Roman" w:hAnsi="Times New Roman"/>
          <w:sz w:val="24"/>
          <w:szCs w:val="24"/>
          <w:lang w:val="en-US"/>
        </w:rPr>
        <w:t>на право заключения договоров аренды земельных участков</w:t>
      </w:r>
    </w:p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78000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 ____________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cs="Times New Roman" w:ascii="Times New Roman" w:hAnsi="Times New Roman"/>
          <w:b/>
          <w:sz w:val="24"/>
          <w:szCs w:val="24"/>
        </w:rPr>
        <w:t>в лице ___________________________________, действующего на основании доверенности от ______________ № 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именуемый </w:t>
        <w:br/>
        <w:t xml:space="preserve">в дальнейшем Арендатор, действующий на основании ________, с другой стороны, совместно именуемые «Стороны», на основании </w:t>
      </w:r>
      <w:r>
        <w:rPr>
          <w:rFonts w:cs="Times New Roman" w:ascii="Times New Roman" w:hAnsi="Times New Roman"/>
          <w:b/>
          <w:sz w:val="24"/>
          <w:szCs w:val="24"/>
        </w:rPr>
        <w:t xml:space="preserve">протокола о результатах электронного аукциона </w:t>
        <w:br/>
        <w:t xml:space="preserve">на право заключения договоров аренды земельных участков от </w:t>
      </w:r>
      <w:r>
        <w:rPr>
          <w:rFonts w:cs="Times New Roman" w:ascii="Times New Roman" w:hAnsi="Times New Roman"/>
          <w:sz w:val="24"/>
          <w:szCs w:val="24"/>
        </w:rPr>
        <w:t xml:space="preserve">_________ по лоту </w:t>
        <w:br/>
        <w:t xml:space="preserve">№ ________ (далее – протокол), заключили настоящий договор о следующем. 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59:01:3812828:132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>593</w:t>
      </w:r>
      <w:r>
        <w:rPr>
          <w:rFonts w:cs="Times New Roman" w:ascii="Times New Roman" w:hAnsi="Times New Roman"/>
          <w:sz w:val="24"/>
          <w:szCs w:val="24"/>
        </w:rPr>
        <w:t xml:space="preserve"> кв.м, расположенный на землях населенных пунктов </w:t>
        <w:br/>
        <w:t xml:space="preserve">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 xml:space="preserve">Российская Федерация, край Пермский, г.о. Пермский, г. Пермь, ул. Кизеловская, зу 14 </w:t>
      </w:r>
      <w:r>
        <w:rPr>
          <w:rFonts w:cs="Times New Roman" w:ascii="Times New Roman" w:hAnsi="Times New Roman"/>
          <w:sz w:val="24"/>
          <w:szCs w:val="24"/>
        </w:rPr>
        <w:t xml:space="preserve">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территориальных зонах: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частично зона среднеэтажной жилой застройки (Ж-2);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частично зона обслуживания и деловой активности местного значения (Ц-2).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зонах с особыми условиями использования территории: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частично охранная зона ВЛ 0.4 кВ ТП 4384 МОПРА;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частично охранная зона КЛ 6 кВ ф. К. Дачи-1, КЛ 6 кВ ф. К. Дачи-2, КЛ 6  кВ ф. К. Дачи-3, КЛ 6 кВ ф. Школа-1 от ТП-0131 до РП-33, КЛ 6 кВ ф. ВДН-1, КЛ 6 кВ ф. ВДН-2, КЛ 6 кВ ф. КНС-1, КЛ 6 кВ ф. КНС-2;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частично охранная зона ВЛ 0,4 кВ от ТП4383, от ТП4384, от ТП4385, от ТП4386, КЛ 0,4 кВ от ТП4383, от ТП4385, от ТП4386 (электросетевой комплекс «Подстанция 110/6кВ «Северная» с линиями электропередачи, трансформаторными подстанциями </w:t>
        <w:br/>
        <w:t>и распределительными пунктами);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приаэродромная территория аэродрома аэропорта Большое Савино.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прочих ограничений </w:t>
      </w: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зона образовательного учреждения.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/>
          <w:sz w:val="24"/>
          <w:szCs w:val="24"/>
        </w:rPr>
        <w:t xml:space="preserve">с северной и восточной стороны огорожен деревянным забором, </w:t>
        <w:br/>
        <w:t xml:space="preserve">с южной стороны расположена часть деревянного забора, доступ не ограничен, рельеф ровный. На </w:t>
      </w:r>
      <w:r>
        <w:rPr>
          <w:rFonts w:cs="Times New Roman" w:ascii="Times New Roman" w:hAnsi="Times New Roman"/>
          <w:sz w:val="24"/>
          <w:szCs w:val="24"/>
        </w:rPr>
        <w:t xml:space="preserve">земельном </w:t>
      </w:r>
      <w:r>
        <w:rPr>
          <w:rFonts w:ascii="Times New Roman" w:hAnsi="Times New Roman"/>
          <w:sz w:val="24"/>
          <w:szCs w:val="24"/>
        </w:rPr>
        <w:t>участке произрастают низкорослые кустарники. Орджоникидзевским районным судом города Перми вынесено заочное решение о признании имеющейся на участке постройки самовольной и ее снос (гражданское дело от 21.03.2024 № 2-1065-2024).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Разрешенное использование - для индивидуального жилищного строительства.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</w:t>
        <w:br/>
        <w:t xml:space="preserve">и 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</w:t>
        <w:br/>
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Согласно пункту 6.1 СП 55.13330.2016 площади помещений строящихся </w:t>
        <w:br/>
        <w:t xml:space="preserve">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 </w:t>
        <w:br/>
        <w:t xml:space="preserve">(на двух человек - 10 м2); кухни - 8 м2; кухонной зоны в кухне-столовой - 6 м2. В домах </w:t>
        <w:br/>
        <w:t>с одной комнатой допускается проектировать кухни или кухни-ниши площадью не менее 5 м2. Площадь спальни и кухни в мансардном этаже (или этаже с наклонными ограждающими конструкциями) допускается не менее 7 м2 при условии, что общая жилая комната имеет площадь не менее 16 м2.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</w:t>
        <w:br/>
        <w:t>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Согласно информации, содержащейся в градостроительном плане земельного участка </w:t>
        <w:br/>
        <w:t xml:space="preserve">от 19.01.2024 № РФ-59-2-03-0-00-2024-0067-0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23.12.2015 № 1102). 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Максимальный процент застройки в границах Участка – 30%.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Арендодатель имеет право: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Арендодатель обязан: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выполнять в полном объеме все условия настоящего договора;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передать Арендатору земельный участок по акту приема-передачи;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2.2.4. в 3-дневный срок после получения уведомления, указанного в пункте 3.2.18 настоящего договора, провести осмотр земельного участка, составить акт осмотра земельного участка, подтверждающий снос самовольной постройки.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Арендатор имеет право: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3.1.1. использовать земельный участок в соответствии с условиями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  <w:br/>
        <w:t xml:space="preserve">за исключением сооружений, которые могут размещаться на таких земельных участках </w:t>
        <w:br/>
        <w:t>на основании сервитута, публичного сервитута или в соответствии со статьей 39.36 Земельного кодекса Российской Федерации.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Арендатор обязан: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3.2.2. использовать земельный участок в границах, сведения о которых со-держатся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3.2.4. своевременно вносить арендную плату;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3.2.8. не допускать строительства на земельном участке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>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не вправе уступать права и осуществлять перевод долга по обязательствам, возникшим из договора аренды;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3.2.12. в случае изменения адреса или иных реквизитов Арендатора в пятидневный срок направить Арендодателю письменное уведомление.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объектов некапитального типа победитель аукциона обязан осуществить демонтаж выявленных объектов за счет собственных средств и (или) </w:t>
        <w:br/>
        <w:t xml:space="preserve">с привлечением средств других лиц без отнесения соответствующих расходов </w:t>
        <w:br/>
        <w:t>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3.2.15.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  <w:br/>
        <w:t xml:space="preserve">и иных правил, нормативов;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3.2.17. за свой счет и (или) с привлечением средств других лиц осуществить снос самовольных построек в срок, не превышающий 12 месяцев, в отношении которых было принято решение о сносе самовольной постройки;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3.2.20.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паспорт), установленные правилами благоустройства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3.2.21. проектом строительства 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нанести существующие деревья на стройгенплан: на земельном участке произрастает </w:t>
        <w:br/>
        <w:t>1 дерево породы тополь;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  <w:br/>
        <w:t>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зеленых насаждений вести в соответствии с решением Пермской городской Думы от 15.12.2020 № 277;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 и отвод ливневых вод осуществлять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виды образующих отходов и мест их размещения на период эксплуатации;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конкретные мероприятия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площадки.</w:t>
      </w:r>
    </w:p>
    <w:p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3.2.22. для присоединения 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</w:t>
        <w:br/>
        <w:t>№ 45).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3.2.23.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предусмотреть электроосвещение территории объекта;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3.2.24. при планировании 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</w:t>
        <w:br/>
        <w:t xml:space="preserve">по управлению имуществом и градостроительной деятельности Пермского края от 25.02.2021 </w:t>
        <w:br/>
        <w:t xml:space="preserve">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<w:br/>
        <w:t xml:space="preserve">и конструктивным решениям», утвержденных Приказом МЧС России от 24.04.2013 № 288 </w:t>
        <w:br/>
        <w:t>и иной документации, касающейся норм противопожарной безопасности;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2.4.25. соблюдать ограничения по условиям сохранения и планируемого размещения образовательных учреждений, установленные решением Пермской городской Думы </w:t>
        <w:br/>
        <w:t>от 26.06.2007 № 143 «Об утверждении Правил землепользования и застройки города Перми»;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2.4.26. </w:t>
      </w:r>
      <w:r>
        <w:rPr>
          <w:rFonts w:ascii="Times New Roman" w:hAnsi="Times New Roman"/>
          <w:sz w:val="24"/>
          <w:szCs w:val="24"/>
        </w:rPr>
        <w:t xml:space="preserve">учитывать требования постановления Правительства Российской Федерации </w:t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2.4.27. соблюдать правила охранных зон воздушного пространства, установленные постановлением Правительства РФ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3.2.28.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51"/>
      <w:bookmarkEnd w:id="2"/>
      <w:r>
        <w:rPr>
          <w:rFonts w:cs="Times New Roman" w:ascii="Times New Roman" w:hAnsi="Times New Roman"/>
          <w:sz w:val="24"/>
          <w:szCs w:val="24"/>
        </w:rPr>
        <w:t>4.2. Ежегодный размер арендной платы составляет _____________________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копеек).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</w:t>
        <w:br/>
        <w:t>за первый год использования по настоящему Договору, не возвращается.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с </w:t>
      </w:r>
      <w:r>
        <w:rPr>
          <w:rFonts w:cs="Times New Roman" w:ascii="Times New Roman" w:hAnsi="Times New Roman"/>
          <w:b/>
          <w:sz w:val="24"/>
          <w:szCs w:val="24"/>
        </w:rPr>
        <w:t>___________</w:t>
      </w:r>
      <w:r>
        <w:rPr>
          <w:rFonts w:cs="Times New Roman" w:ascii="Times New Roman" w:hAnsi="Times New Roman"/>
          <w:sz w:val="24"/>
          <w:szCs w:val="24"/>
        </w:rPr>
        <w:t xml:space="preserve">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7.2. Договор подлежит досрочному расторжению по требованию Арендодателя </w:t>
        <w:br/>
        <w:t>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</w:t>
        <w:br/>
        <w:t>в соответствии с действующим законодательством (загрязнение или иное негативное воздействие на земли и почву);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7.5.5. невыполнения Арендатором обязательства, предусмотренного пунктом 3.2.18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 xml:space="preserve">не превышающий срока действия настоящего договора, с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  <w:br/>
        <w:t>по договору.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(приложение).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614000, г. Пермь,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851" w:gutter="0" w:header="0" w:top="851" w:footer="0" w:bottom="851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4784405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10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c14e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c14e7d"/>
    <w:rPr>
      <w:sz w:val="20"/>
      <w:szCs w:val="20"/>
    </w:rPr>
  </w:style>
  <w:style w:type="character" w:styleId="Style15">
    <w:name w:val="Символ сноски"/>
    <w:semiHidden/>
    <w:unhideWhenUsed/>
    <w:qFormat/>
    <w:rsid w:val="00c14e7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ad532c"/>
    <w:rPr>
      <w:rFonts w:ascii="Times New Roman" w:hAnsi="Times New Roman" w:cs="Times New Roman"/>
      <w:b/>
      <w:bCs w:val="fals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22ab2"/>
    <w:rPr/>
  </w:style>
  <w:style w:type="character" w:styleId="Style17" w:customStyle="1">
    <w:name w:val="Нижний колонтитул Знак"/>
    <w:basedOn w:val="DefaultParagraphFont"/>
    <w:uiPriority w:val="99"/>
    <w:qFormat/>
    <w:rsid w:val="00622ab2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ce1e5a"/>
    <w:rPr>
      <w:rFonts w:ascii="Tahoma" w:hAnsi="Tahoma" w:cs="Tahoma"/>
      <w:sz w:val="16"/>
      <w:szCs w:val="16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1a4c16"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9"/>
    <w:uiPriority w:val="99"/>
    <w:semiHidden/>
    <w:unhideWhenUsed/>
    <w:rsid w:val="001a4c16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c14e7d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4"/>
    <w:uiPriority w:val="99"/>
    <w:semiHidden/>
    <w:unhideWhenUsed/>
    <w:rsid w:val="00c14e7d"/>
    <w:pPr>
      <w:spacing w:lineRule="auto" w:line="240" w:before="0" w:after="0"/>
    </w:pPr>
    <w:rPr>
      <w:sz w:val="20"/>
      <w:szCs w:val="20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ce1e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LibreOffice/7.6.7.2$Linux_X86_64 LibreOffice_project/60$Build-2</Application>
  <AppVersion>15.0000</AppVersion>
  <Pages>10</Pages>
  <Words>3910</Words>
  <Characters>27605</Characters>
  <CharactersWithSpaces>31555</CharactersWithSpaces>
  <Paragraphs>178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cp:lastPrinted>2022-01-24T06:29:00Z</cp:lastPrinted>
  <dcterms:modified xsi:type="dcterms:W3CDTF">2024-10-14T14:46:25Z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