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47"/>
        <w:numPr>
          <w:ilvl w:val="0"/>
          <w:numId w:val="0"/>
        </w:numPr>
        <w:ind w:left="0" w:firstLine="0"/>
        <w:jc w:val="center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sz w:val="28"/>
          <w:szCs w:val="28"/>
        </w:rPr>
      </w:r>
    </w:p>
    <w:p>
      <w:pPr>
        <w:pStyle w:val="74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  <w:r>
        <w:rPr>
          <w:b/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по продаже земельного участка</w:t>
      </w:r>
      <w:r>
        <w:rPr>
          <w:b/>
          <w:sz w:val="28"/>
          <w:szCs w:val="28"/>
        </w:rPr>
      </w:r>
    </w:p>
    <w:p>
      <w:pPr>
        <w:pStyle w:val="747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30.10.2024 </w:t>
      </w:r>
      <w:r>
        <w:rPr>
          <w:sz w:val="28"/>
          <w:szCs w:val="28"/>
        </w:rPr>
      </w:r>
    </w:p>
    <w:p>
      <w:pPr>
        <w:pStyle w:val="747"/>
        <w:contextualSpacing w:val="0"/>
        <w:jc w:val="both"/>
        <w:spacing w:before="0" w:after="0" w:line="252" w:lineRule="auto"/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contextualSpacing w:val="0"/>
        <w:ind w:firstLine="720"/>
        <w:jc w:val="both"/>
        <w:spacing w:before="0" w:after="0" w:line="252" w:lineRule="auto"/>
        <w:tabs>
          <w:tab w:val="clear" w:pos="708" w:leader="none"/>
          <w:tab w:val="left" w:pos="2805" w:leader="none"/>
        </w:tabs>
        <w:suppressLineNumbers w:val="0"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</w:t>
      </w:r>
      <w:r>
        <w:rPr>
          <w:sz w:val="28"/>
          <w:szCs w:val="28"/>
        </w:rPr>
        <w:t xml:space="preserve">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</w:t>
      </w:r>
      <w:r>
        <w:rPr>
          <w:sz w:val="28"/>
          <w:szCs w:val="28"/>
        </w:rPr>
        <w:t xml:space="preserve">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  <w:r/>
    </w:p>
    <w:p>
      <w:pPr>
        <w:pStyle w:val="747"/>
        <w:jc w:val="both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47"/>
        <w:ind w:left="2520" w:hanging="2520"/>
        <w:jc w:val="both"/>
        <w:spacing w:before="0" w:after="120"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747"/>
        <w:contextualSpacing w:val="0"/>
        <w:ind w:left="2517" w:hanging="2517"/>
        <w:jc w:val="both"/>
        <w:spacing w:before="0" w:after="0" w:line="252" w:lineRule="auto"/>
        <w:suppressLineNumbers w:val="0"/>
      </w:pPr>
      <w:r>
        <w:rPr>
          <w:sz w:val="28"/>
          <w:szCs w:val="28"/>
          <w:lang w:eastAsia="en-US"/>
        </w:rPr>
        <w:t xml:space="preserve">Заместитель председателя комиссии: </w:t>
      </w:r>
      <w:r>
        <w:rPr>
          <w:rFonts w:eastAsia="Droid Sans Fallback" w:cs="Lohit Devanagari"/>
          <w:color w:val="auto"/>
          <w:sz w:val="28"/>
          <w:szCs w:val="28"/>
          <w:lang w:val="ru-RU" w:eastAsia="en-US" w:bidi="ar-SA"/>
        </w:rPr>
        <w:t xml:space="preserve">Суфиярова А.В.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и.о. </w:t>
      </w:r>
      <w:r>
        <w:rPr>
          <w:sz w:val="28"/>
          <w:szCs w:val="28"/>
          <w:lang w:eastAsia="en-US"/>
        </w:rPr>
        <w:t xml:space="preserve">заместител</w:t>
      </w:r>
      <w:r>
        <w:rPr>
          <w:sz w:val="28"/>
          <w:szCs w:val="28"/>
          <w:lang w:eastAsia="en-US"/>
        </w:rPr>
        <w:t xml:space="preserve">я</w:t>
      </w:r>
      <w:r>
        <w:rPr>
          <w:sz w:val="28"/>
          <w:szCs w:val="28"/>
          <w:lang w:eastAsia="en-US"/>
        </w:rPr>
        <w:t xml:space="preserve"> начальника департамента земельных отношений администрации города Перми;  </w:t>
      </w:r>
      <w:r/>
    </w:p>
    <w:p>
      <w:pPr>
        <w:pStyle w:val="747"/>
        <w:contextualSpacing w:val="0"/>
        <w:ind w:left="2517" w:hanging="2517"/>
        <w:jc w:val="both"/>
        <w:spacing w:before="0" w:after="0" w:line="252" w:lineRule="auto"/>
        <w:suppressLineNumbers w:val="0"/>
      </w:pPr>
      <w:r>
        <w:rPr>
          <w:sz w:val="28"/>
          <w:szCs w:val="28"/>
          <w:lang w:eastAsia="en-US"/>
        </w:rPr>
        <w:t xml:space="preserve"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747"/>
        <w:contextualSpacing w:val="0"/>
        <w:ind w:left="2517" w:hanging="2517"/>
        <w:jc w:val="both"/>
        <w:spacing w:before="0" w:after="0" w:line="252" w:lineRule="auto"/>
        <w:rPr>
          <w:color w:val="ff0000"/>
          <w:sz w:val="28"/>
          <w:szCs w:val="28"/>
        </w:rPr>
        <w:suppressLineNumbers w:val="0"/>
      </w:pPr>
      <w:r>
        <w:rPr>
          <w:color w:val="ff0000"/>
          <w:sz w:val="28"/>
          <w:szCs w:val="28"/>
          <w:lang w:eastAsia="en-US"/>
        </w:rPr>
      </w:r>
      <w:r>
        <w:rPr>
          <w:color w:val="ff0000"/>
          <w:sz w:val="28"/>
          <w:szCs w:val="28"/>
        </w:rPr>
      </w:r>
    </w:p>
    <w:p>
      <w:pPr>
        <w:pStyle w:val="747"/>
        <w:contextualSpacing w:val="0"/>
        <w:ind w:left="1843" w:hanging="1843"/>
        <w:jc w:val="both"/>
        <w:spacing w:before="0" w:after="0" w:line="252" w:lineRule="auto"/>
        <w:suppressLineNumbers w:val="0"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  <w:r/>
    </w:p>
    <w:p>
      <w:pPr>
        <w:pStyle w:val="747"/>
        <w:contextualSpacing w:val="0"/>
        <w:ind w:left="1843"/>
        <w:jc w:val="both"/>
        <w:spacing w:before="0" w:after="0" w:line="252" w:lineRule="auto"/>
        <w:suppressLineNumbers w:val="0"/>
      </w:pPr>
      <w:r>
        <w:rPr>
          <w:sz w:val="28"/>
          <w:szCs w:val="28"/>
        </w:rPr>
        <w:t xml:space="preserve">Дмитриева Д.С., начальник отдела градостроительства, земельных</w:t>
        <w:br/>
        <w:t xml:space="preserve">и имущественных отношений администрации Дзержинского района города Перми;</w:t>
      </w:r>
      <w:r/>
    </w:p>
    <w:p>
      <w:pPr>
        <w:pStyle w:val="791"/>
        <w:contextualSpacing w:val="0"/>
        <w:ind w:left="1843"/>
        <w:jc w:val="both"/>
        <w:spacing w:before="0" w:after="0" w:line="252" w:lineRule="auto"/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Меренкова А.Н., начальник отдела градостроительства, земельных и имущественных отношений администрации Ленинского района города Перми; </w:t>
      </w:r>
      <w:r/>
    </w:p>
    <w:p>
      <w:pPr>
        <w:pStyle w:val="791"/>
        <w:contextualSpacing w:val="0"/>
        <w:ind w:left="1843"/>
        <w:jc w:val="both"/>
        <w:spacing w:before="0" w:after="0" w:line="252" w:lineRule="auto"/>
        <w:suppressLineNumbers w:val="0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Четина Ю.И., заместитель начальника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  <w:r/>
    </w:p>
    <w:p>
      <w:pPr>
        <w:pStyle w:val="74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contextualSpacing w:val="0"/>
        <w:ind w:left="0" w:right="0" w:firstLine="0"/>
        <w:jc w:val="both"/>
        <w:spacing w:before="0" w:after="0" w:line="252" w:lineRule="auto"/>
        <w:suppressLineNumbers w:val="0"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 xml:space="preserve">аукционе, назначенном                           на</w:t>
      </w:r>
      <w:r>
        <w:rPr>
          <w:sz w:val="28"/>
          <w:szCs w:val="28"/>
          <w:lang w:val="ru-RU"/>
        </w:rPr>
        <w:t xml:space="preserve"> 31.10.2024 (процедура №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SBR012-2409270115)</w:t>
      </w:r>
      <w:r>
        <w:rPr>
          <w:sz w:val="28"/>
          <w:szCs w:val="28"/>
        </w:rPr>
        <w:t xml:space="preserve">, установила</w:t>
      </w:r>
      <w:r>
        <w:rPr>
          <w:bCs/>
          <w:sz w:val="28"/>
          <w:szCs w:val="28"/>
        </w:rPr>
        <w:t xml:space="preserve">:</w:t>
      </w:r>
      <w:r/>
    </w:p>
    <w:p>
      <w:pPr>
        <w:pStyle w:val="821"/>
        <w:ind w:left="28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47"/>
        <w:ind w:left="0" w:right="0" w:firstLine="0"/>
        <w:jc w:val="both"/>
        <w:spacing w:before="0" w:after="0" w:line="276" w:lineRule="auto"/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</w:pPr>
      <w:r>
        <w:rPr>
          <w:b/>
          <w:sz w:val="28"/>
          <w:szCs w:val="28"/>
        </w:rPr>
        <w:t xml:space="preserve">по лоту № 1 – </w:t>
      </w:r>
      <w:r>
        <w:rPr>
          <w:b w:val="0"/>
          <w:bCs w:val="0"/>
          <w:sz w:val="28"/>
          <w:szCs w:val="28"/>
        </w:rPr>
        <w:t xml:space="preserve">з</w:t>
      </w:r>
      <w:r>
        <w:rPr>
          <w:sz w:val="28"/>
          <w:szCs w:val="28"/>
          <w:lang w:val="ru-RU" w:eastAsia="ru-RU" w:bidi="ar-SA"/>
        </w:rPr>
        <w:t xml:space="preserve">емельный 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участок с кадастровым номером 59:01:3812828:130 площадью 72</w:t>
      </w: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2 кв. м., расположенный по адресу: Российская Федерация, край Пермский, г.о. Пермский, г. Пермь, ул. Новогодняя, зу 2г, для индивидуального жилищного строительства. Разрешенное использование земельного участка – для </w:t>
      </w:r>
      <w:r/>
    </w:p>
    <w:p>
      <w:pPr>
        <w:ind w:left="0" w:right="0" w:firstLine="0"/>
        <w:jc w:val="both"/>
        <w:spacing w:before="0" w:after="0" w:line="276" w:lineRule="auto"/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76" w:lineRule="auto"/>
        <w:rPr>
          <w:sz w:val="28"/>
          <w:szCs w:val="28"/>
          <w:highlight w:val="none"/>
        </w:rPr>
      </w:pP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76" w:lineRule="auto"/>
        <w:rPr>
          <w:sz w:val="28"/>
          <w:szCs w:val="28"/>
          <w:highlight w:val="none"/>
        </w:rPr>
      </w:pPr>
      <w:r>
        <w:rPr>
          <w:rFonts w:eastAsia="Droid Sans Fallback" w:cs="Lohit Devanagari"/>
          <w:bCs/>
          <w:color w:val="auto"/>
          <w:sz w:val="28"/>
          <w:szCs w:val="28"/>
          <w:lang w:val="ru-RU" w:eastAsia="ru-RU" w:bidi="ar-SA"/>
        </w:rPr>
        <w:t xml:space="preserve">индивидуального жилищного строительства </w:t>
      </w:r>
      <w:r>
        <w:rPr>
          <w:sz w:val="28"/>
          <w:szCs w:val="28"/>
        </w:rPr>
        <w:t xml:space="preserve">поступили заявки </w:t>
      </w:r>
      <w:r>
        <w:rPr>
          <w:bCs/>
          <w:sz w:val="28"/>
          <w:szCs w:val="28"/>
        </w:rPr>
        <w:t xml:space="preserve">от следующих заявителей:</w:t>
      </w:r>
      <w:r/>
      <w:r/>
    </w:p>
    <w:p>
      <w:pPr>
        <w:pStyle w:val="74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заявителе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подачи заявки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Савин Василий Григорьевич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22.10.2024</w:t>
            </w:r>
            <w:r>
              <w:rPr>
                <w:sz w:val="28"/>
                <w:szCs w:val="28"/>
                <w:highlight w:val="yellow"/>
              </w:rPr>
            </w:r>
          </w:p>
        </w:tc>
      </w:tr>
    </w:tbl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0" w:right="0" w:firstLine="0"/>
        <w:jc w:val="both"/>
        <w:spacing w:before="0" w:after="0" w:line="57" w:lineRule="atLeast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21"/>
        <w:ind w:left="0" w:firstLine="28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 xml:space="preserve">от следующих заявителей:</w:t>
      </w:r>
      <w:r>
        <w:rPr>
          <w:bCs/>
          <w:sz w:val="28"/>
          <w:szCs w:val="28"/>
        </w:rPr>
      </w:r>
    </w:p>
    <w:p>
      <w:pPr>
        <w:pStyle w:val="821"/>
        <w:ind w:left="0" w:firstLine="283"/>
        <w:jc w:val="both"/>
        <w:spacing w:before="0" w:after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</w:r>
      <w:r>
        <w:rPr>
          <w:bCs/>
          <w:sz w:val="28"/>
          <w:szCs w:val="28"/>
          <w:lang w:val="ru-RU"/>
        </w:rPr>
      </w:r>
    </w:p>
    <w:p>
      <w:pPr>
        <w:pStyle w:val="821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 xml:space="preserve">1</w:t>
      </w:r>
      <w:r>
        <w:rPr>
          <w:b/>
          <w:sz w:val="28"/>
          <w:szCs w:val="28"/>
          <w:lang w:val="ru-RU"/>
        </w:rPr>
      </w:r>
    </w:p>
    <w:tbl>
      <w:tblPr>
        <w:tblW w:w="9900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588"/>
        <w:gridCol w:w="33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заявителе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Сумма задатка, руб.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88" w:type="dxa"/>
            <w:textDirection w:val="lrTb"/>
            <w:noWrap w:val="false"/>
          </w:tcPr>
          <w:p>
            <w:pPr>
              <w:pStyle w:val="747"/>
              <w:jc w:val="left"/>
              <w:spacing w:before="0" w:after="0"/>
              <w:widowControl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</w:rPr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en-US" w:eastAsia="en-US" w:bidi="ar-SA"/>
              </w:rPr>
              <w:t xml:space="preserve">Савин Василий Григорьевич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11" w:type="dxa"/>
            <w:textDirection w:val="lrTb"/>
            <w:noWrap w:val="false"/>
          </w:tcPr>
          <w:p>
            <w:pPr>
              <w:pStyle w:val="74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541 500,00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747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firstLine="708"/>
        <w:jc w:val="both"/>
        <w:spacing w:line="276" w:lineRule="auto"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</w:t>
      </w:r>
      <w:r>
        <w:rPr>
          <w:sz w:val="28"/>
          <w:szCs w:val="28"/>
        </w:rPr>
        <w:t xml:space="preserve">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</w:t>
        <w:br/>
        <w:t xml:space="preserve">в муниципальной собственности города Перми, и участках, собст</w:t>
      </w:r>
      <w:r>
        <w:rPr>
          <w:sz w:val="28"/>
          <w:szCs w:val="28"/>
        </w:rPr>
        <w:t xml:space="preserve">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 xml:space="preserve">комиссия решила</w:t>
      </w:r>
      <w:r>
        <w:rPr>
          <w:sz w:val="28"/>
          <w:szCs w:val="28"/>
        </w:rPr>
        <w:t xml:space="preserve">:</w:t>
      </w:r>
      <w:r/>
    </w:p>
    <w:p>
      <w:pPr>
        <w:pStyle w:val="819"/>
        <w:jc w:val="both"/>
        <w:spacing w:line="276" w:lineRule="auto"/>
        <w:tabs>
          <w:tab w:val="left" w:pos="0" w:leader="none"/>
          <w:tab w:val="clear" w:pos="708" w:leader="none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  <w:r>
        <w:rPr>
          <w:b/>
          <w:sz w:val="28"/>
          <w:szCs w:val="28"/>
          <w:lang w:val="ru-RU"/>
        </w:rPr>
      </w:r>
    </w:p>
    <w:p>
      <w:pPr>
        <w:pStyle w:val="791"/>
        <w:ind w:firstLine="708"/>
        <w:jc w:val="both"/>
        <w:spacing w:line="276" w:lineRule="auto"/>
      </w:pP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1. признать аукцион несостоявшимся по лоту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</w:rPr>
        <w:t xml:space="preserve">№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b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1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</w:rPr>
        <w:t xml:space="preserve"> в связи с тем, что </w:t>
        <w:br/>
        <w:t xml:space="preserve"> по окончании срока подачи заявок на участие в аукционе по данному лоту подана только одна заявка на участие в аукционе.</w:t>
      </w:r>
      <w:r/>
    </w:p>
    <w:p>
      <w:pPr>
        <w:pStyle w:val="791"/>
        <w:ind w:left="0" w:right="0" w:firstLine="709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Единственная заявка на участие в аукционе и заявитель, подавший указанную заявку, соответствуют всем требованиям и условиям, указанным в извещении о проведении аукциона. </w:t>
      </w:r>
      <w:r/>
    </w:p>
    <w:p>
      <w:pPr>
        <w:pStyle w:val="791"/>
        <w:ind w:left="0" w:right="0" w:firstLine="708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соответствии с пунктом 12 статьи 39.13 Земельного кодекса уполномоченный орган в течение пяти дней со дня истечения срока, предусмотренного п. 11 ст. 39.13 Земельного кодекса обязан направить заявителю, при</w:t>
      </w:r>
      <w:r>
        <w:rPr>
          <w:color w:val="000000"/>
          <w:sz w:val="28"/>
          <w:szCs w:val="28"/>
        </w:rPr>
        <w:t xml:space="preserve">знанному единственным участником аукциона, подписанный проект договора купли – продажи земельного участка. При этом договор </w:t>
        <w:br/>
        <w:t xml:space="preserve"> купли – продажи земельного участка заключается по начальной цене, определенной в размере, равном начальной цене предмета аукциона:</w:t>
      </w:r>
      <w:r/>
    </w:p>
    <w:p>
      <w:pPr>
        <w:pStyle w:val="791"/>
        <w:ind w:left="0" w:right="0" w:firstLine="0"/>
        <w:jc w:val="both"/>
        <w:spacing w:before="0" w:after="0" w:line="276" w:lineRule="auto"/>
      </w:pPr>
      <w:r>
        <w:rPr>
          <w:sz w:val="28"/>
          <w:szCs w:val="28"/>
        </w:rPr>
        <w:t xml:space="preserve"> </w:t>
      </w:r>
      <w:r/>
    </w:p>
    <w:p>
      <w:pPr>
        <w:pStyle w:val="791"/>
        <w:ind w:left="0" w:right="0" w:firstLine="0"/>
        <w:jc w:val="both"/>
        <w:spacing w:before="0" w:after="0" w:line="276" w:lineRule="auto"/>
        <w:rPr>
          <w:b/>
          <w:bCs/>
          <w:color w:val="000000"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  <w:t xml:space="preserve">по лоту № 1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(</w:t>
      </w:r>
      <w:r>
        <w:rPr>
          <w:b/>
          <w:color w:val="000000"/>
          <w:sz w:val="28"/>
          <w:szCs w:val="28"/>
          <w:lang w:val="ru-RU" w:eastAsia="ru-RU" w:bidi="ar-SA"/>
        </w:rPr>
        <w:t xml:space="preserve">ул. Новогодняя, зу 2г</w:t>
      </w:r>
      <w:r>
        <w:rPr>
          <w:b/>
          <w:color w:val="000000"/>
          <w:sz w:val="28"/>
          <w:szCs w:val="28"/>
        </w:rPr>
        <w:t xml:space="preserve">) – 1 083 000,00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руб.</w:t>
      </w:r>
      <w:r/>
    </w:p>
    <w:p>
      <w:pPr>
        <w:pStyle w:val="791"/>
        <w:ind w:left="0" w:right="0" w:firstLine="0"/>
        <w:jc w:val="both"/>
        <w:spacing w:before="0" w:after="0" w:line="276" w:lineRule="auto"/>
      </w:pPr>
      <w:r>
        <w:rPr>
          <w:b/>
          <w:color w:val="000000"/>
          <w:sz w:val="28"/>
          <w:szCs w:val="28"/>
          <w:highlight w:val="none"/>
        </w:rPr>
      </w:r>
      <w:r>
        <w:rPr>
          <w:b/>
          <w:color w:val="000000"/>
          <w:sz w:val="28"/>
          <w:szCs w:val="28"/>
          <w:highlight w:val="none"/>
        </w:rPr>
      </w:r>
    </w:p>
    <w:p>
      <w:pPr>
        <w:pStyle w:val="791"/>
        <w:ind w:left="0" w:right="0" w:firstLine="709"/>
        <w:jc w:val="both"/>
        <w:spacing w:before="0" w:after="0" w:line="276" w:lineRule="auto"/>
      </w:pPr>
      <w:r>
        <w:rPr>
          <w:color w:val="000000"/>
          <w:sz w:val="28"/>
          <w:szCs w:val="28"/>
        </w:rPr>
        <w:t xml:space="preserve">В соотв</w:t>
      </w:r>
      <w:r>
        <w:rPr>
          <w:color w:val="000000"/>
          <w:sz w:val="28"/>
          <w:szCs w:val="28"/>
        </w:rPr>
        <w:t xml:space="preserve">етствии с пунктом 13 статьи 39.13 Земельного кодекса по результатам электронного аукциона договор купли – продажи земельного участка заключается в электронной форме и подписывается усиленной квалифицированной электронной подписью сторон такого договора.   </w:t>
      </w:r>
      <w:r/>
    </w:p>
    <w:p>
      <w:pPr>
        <w:pStyle w:val="821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А.А. Хаткевич</w:t>
      </w:r>
      <w:r>
        <w:rPr>
          <w:sz w:val="28"/>
          <w:szCs w:val="28"/>
        </w:rPr>
      </w:r>
    </w:p>
    <w:p>
      <w:pPr>
        <w:pStyle w:val="747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А.В. Суфиярова </w:t>
      </w:r>
      <w:r>
        <w:rPr>
          <w:sz w:val="28"/>
          <w:szCs w:val="28"/>
        </w:rPr>
      </w:r>
    </w:p>
    <w:p>
      <w:pPr>
        <w:pStyle w:val="74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5610" w:hanging="5610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О.И. Павлова</w:t>
      </w:r>
      <w:r>
        <w:rPr>
          <w:sz w:val="28"/>
          <w:szCs w:val="28"/>
        </w:rPr>
      </w:r>
    </w:p>
    <w:p>
      <w:pPr>
        <w:pStyle w:val="747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Н.Н. Борцова  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</w:p>
    <w:p>
      <w:pPr>
        <w:pStyle w:val="747"/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47"/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Д.С. Дмитриева</w:t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655"/>
        <w:spacing w:before="120" w:after="12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А.Н. Меренкова</w:t>
      </w:r>
      <w:r>
        <w:rPr>
          <w:sz w:val="28"/>
          <w:szCs w:val="28"/>
          <w:highlight w:val="none"/>
        </w:rPr>
      </w:r>
    </w:p>
    <w:p>
      <w:pPr>
        <w:pStyle w:val="747"/>
        <w:spacing w:before="120" w:after="1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7938" w:hanging="283"/>
        <w:rPr>
          <w:sz w:val="28"/>
          <w:szCs w:val="28"/>
        </w:rPr>
      </w:pPr>
      <w:r>
        <w:rPr>
          <w:sz w:val="28"/>
          <w:szCs w:val="28"/>
        </w:rPr>
        <w:t xml:space="preserve">Ю.И. Четина </w:t>
      </w:r>
      <w:r>
        <w:rPr>
          <w:sz w:val="28"/>
          <w:szCs w:val="28"/>
        </w:rPr>
      </w:r>
    </w:p>
    <w:p>
      <w:pPr>
        <w:pStyle w:val="747"/>
        <w:ind w:left="7938" w:hanging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47"/>
        <w:ind w:left="7938" w:hanging="28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426" w:right="567" w:bottom="766" w:left="1418" w:header="0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3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ind w:right="360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ind w:right="360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0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0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3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9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03"/>
                            <w:rPr>
                              <w:rStyle w:val="784"/>
                            </w:rPr>
                          </w:pPr>
                          <w:r>
                            <w:rPr>
                              <w:rStyle w:val="78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784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78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9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03"/>
                      <w:rPr>
                        <w:rStyle w:val="784"/>
                      </w:rPr>
                    </w:pPr>
                    <w:r>
                      <w:rPr>
                        <w:rStyle w:val="784"/>
                        <w:color w:val="000000"/>
                      </w:rPr>
                      <w:fldChar w:fldCharType="begin"/>
                    </w:r>
                    <w:r>
                      <w:rPr>
                        <w:rStyle w:val="784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784"/>
                        <w:color w:val="000000"/>
                      </w:rPr>
                      <w:fldChar w:fldCharType="separate"/>
                    </w:r>
                    <w:r>
                      <w:rPr>
                        <w:rStyle w:val="784"/>
                        <w:color w:val="000000"/>
                      </w:rPr>
                      <w:t xml:space="preserve">3</w:t>
                    </w:r>
                    <w:r>
                      <w:rPr>
                        <w:rStyle w:val="784"/>
                        <w:color w:val="000000"/>
                      </w:rPr>
                      <w:fldChar w:fldCharType="end"/>
                    </w:r>
                    <w:r>
                      <w:rPr>
                        <w:rStyle w:val="78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47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48">
    <w:name w:val="Heading 1"/>
    <w:basedOn w:val="74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49">
    <w:name w:val="Heading 2"/>
    <w:basedOn w:val="7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50">
    <w:name w:val="Heading 3"/>
    <w:basedOn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1">
    <w:name w:val="Heading 4"/>
    <w:basedOn w:val="7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2">
    <w:name w:val="Heading 5"/>
    <w:basedOn w:val="7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3">
    <w:name w:val="Heading 6"/>
    <w:basedOn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54">
    <w:name w:val="Heading 7"/>
    <w:basedOn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56">
    <w:name w:val="Heading 9"/>
    <w:basedOn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7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58">
    <w:name w:val="Heading 2 Char"/>
    <w:uiPriority w:val="9"/>
    <w:qFormat/>
    <w:rPr>
      <w:rFonts w:ascii="Arial" w:hAnsi="Arial" w:eastAsia="Arial" w:cs="Arial"/>
      <w:sz w:val="34"/>
    </w:rPr>
  </w:style>
  <w:style w:type="character" w:styleId="759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60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6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62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63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65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66">
    <w:name w:val="Title Char"/>
    <w:uiPriority w:val="10"/>
    <w:qFormat/>
    <w:rPr>
      <w:sz w:val="48"/>
      <w:szCs w:val="48"/>
    </w:rPr>
  </w:style>
  <w:style w:type="character" w:styleId="767">
    <w:name w:val="Subtitle Char"/>
    <w:uiPriority w:val="11"/>
    <w:qFormat/>
    <w:rPr>
      <w:sz w:val="24"/>
      <w:szCs w:val="24"/>
    </w:rPr>
  </w:style>
  <w:style w:type="character" w:styleId="768">
    <w:name w:val="Quote Char"/>
    <w:uiPriority w:val="29"/>
    <w:qFormat/>
    <w:rPr>
      <w:i/>
    </w:rPr>
  </w:style>
  <w:style w:type="character" w:styleId="769">
    <w:name w:val="Intense Quote Char"/>
    <w:uiPriority w:val="30"/>
    <w:qFormat/>
    <w:rPr>
      <w:i/>
    </w:rPr>
  </w:style>
  <w:style w:type="character" w:styleId="770">
    <w:name w:val="Header Char"/>
    <w:uiPriority w:val="99"/>
    <w:qFormat/>
  </w:style>
  <w:style w:type="character" w:styleId="771">
    <w:name w:val="Footer Char"/>
    <w:uiPriority w:val="99"/>
    <w:qFormat/>
  </w:style>
  <w:style w:type="character" w:styleId="772">
    <w:name w:val="Caption Char"/>
    <w:uiPriority w:val="99"/>
    <w:qFormat/>
  </w:style>
  <w:style w:type="character" w:styleId="773">
    <w:name w:val="Hyperlink"/>
    <w:uiPriority w:val="99"/>
    <w:unhideWhenUsed/>
    <w:rPr>
      <w:color w:val="0000ff" w:themeColor="hyperlink"/>
      <w:u w:val="single"/>
    </w:rPr>
  </w:style>
  <w:style w:type="character" w:styleId="774">
    <w:name w:val="Footnote Text Char"/>
    <w:uiPriority w:val="99"/>
    <w:qFormat/>
    <w:rPr>
      <w:sz w:val="18"/>
    </w:rPr>
  </w:style>
  <w:style w:type="character" w:styleId="775">
    <w:name w:val="Символ сноски"/>
    <w:uiPriority w:val="99"/>
    <w:unhideWhenUsed/>
    <w:qFormat/>
    <w:rPr>
      <w:vertAlign w:val="superscript"/>
    </w:rPr>
  </w:style>
  <w:style w:type="character" w:styleId="776">
    <w:name w:val="footnote reference"/>
    <w:rPr>
      <w:vertAlign w:val="superscript"/>
    </w:rPr>
  </w:style>
  <w:style w:type="character" w:styleId="777">
    <w:name w:val="Endnote Text Char"/>
    <w:uiPriority w:val="99"/>
    <w:qFormat/>
    <w:rPr>
      <w:sz w:val="20"/>
    </w:rPr>
  </w:style>
  <w:style w:type="character" w:styleId="77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79">
    <w:name w:val="endnote reference"/>
    <w:rPr>
      <w:vertAlign w:val="superscript"/>
    </w:rPr>
  </w:style>
  <w:style w:type="character" w:styleId="780">
    <w:name w:val="Основной шрифт абзаца"/>
    <w:semiHidden/>
    <w:qFormat/>
  </w:style>
  <w:style w:type="character" w:styleId="781">
    <w:name w:val="Основной текст с отступом 3 Знак"/>
    <w:qFormat/>
    <w:rPr>
      <w:sz w:val="16"/>
      <w:szCs w:val="16"/>
    </w:rPr>
  </w:style>
  <w:style w:type="character" w:styleId="782">
    <w:name w:val="Текст Знак"/>
    <w:qFormat/>
    <w:rPr>
      <w:rFonts w:ascii="Courier New" w:hAnsi="Courier New"/>
    </w:rPr>
  </w:style>
  <w:style w:type="character" w:styleId="783">
    <w:name w:val="Текст выноски Знак"/>
    <w:qFormat/>
    <w:rPr>
      <w:rFonts w:ascii="Tahoma" w:hAnsi="Tahoma" w:cs="Tahoma"/>
      <w:sz w:val="16"/>
      <w:szCs w:val="16"/>
    </w:rPr>
  </w:style>
  <w:style w:type="character" w:styleId="784">
    <w:name w:val="Основной текст с отступом Знак"/>
    <w:qFormat/>
    <w:rPr>
      <w:sz w:val="24"/>
      <w:szCs w:val="24"/>
    </w:rPr>
  </w:style>
  <w:style w:type="character" w:styleId="785">
    <w:name w:val="Верхний колонтитул Знак"/>
    <w:qFormat/>
    <w:rPr>
      <w:sz w:val="24"/>
      <w:szCs w:val="24"/>
    </w:rPr>
  </w:style>
  <w:style w:type="character" w:styleId="786">
    <w:name w:val="Нижний колонтитул Знак"/>
    <w:qFormat/>
    <w:rPr>
      <w:sz w:val="24"/>
      <w:szCs w:val="24"/>
    </w:rPr>
  </w:style>
  <w:style w:type="character" w:styleId="787">
    <w:name w:val="Текст сноски Знак"/>
    <w:basedOn w:val="780"/>
    <w:qFormat/>
  </w:style>
  <w:style w:type="character" w:styleId="788">
    <w:name w:val="Знак сноски"/>
    <w:qFormat/>
    <w:rPr>
      <w:vertAlign w:val="superscript"/>
    </w:rPr>
  </w:style>
  <w:style w:type="character" w:styleId="789" w:default="1">
    <w:name w:val="Default Paragraph Font"/>
    <w:uiPriority w:val="1"/>
    <w:semiHidden/>
    <w:unhideWhenUsed/>
    <w:qFormat/>
  </w:style>
  <w:style w:type="paragraph" w:styleId="790">
    <w:name w:val="Заголовок"/>
    <w:basedOn w:val="747"/>
    <w:next w:val="791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91">
    <w:name w:val="Body Text"/>
    <w:basedOn w:val="747"/>
    <w:pPr>
      <w:spacing w:before="0" w:after="140" w:line="276" w:lineRule="auto"/>
    </w:pPr>
  </w:style>
  <w:style w:type="paragraph" w:styleId="792">
    <w:name w:val="List"/>
    <w:basedOn w:val="791"/>
    <w:rPr>
      <w:rFonts w:cs="Lohit Devanagari"/>
    </w:rPr>
  </w:style>
  <w:style w:type="paragraph" w:styleId="793">
    <w:name w:val="Caption"/>
    <w:basedOn w:val="7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94">
    <w:name w:val="Указатель"/>
    <w:basedOn w:val="747"/>
    <w:qFormat/>
    <w:pPr>
      <w:suppressLineNumbers/>
    </w:pPr>
    <w:rPr>
      <w:rFonts w:cs="Lohit Devanagari"/>
    </w:rPr>
  </w:style>
  <w:style w:type="paragraph" w:styleId="795">
    <w:name w:val="List Paragraph"/>
    <w:basedOn w:val="747"/>
    <w:uiPriority w:val="34"/>
    <w:qFormat/>
    <w:pPr>
      <w:contextualSpacing/>
      <w:ind w:left="720"/>
      <w:spacing w:before="0" w:after="0"/>
    </w:pPr>
  </w:style>
  <w:style w:type="paragraph" w:styleId="796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797">
    <w:name w:val="Title"/>
    <w:basedOn w:val="74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98">
    <w:name w:val="Subtitle"/>
    <w:basedOn w:val="747"/>
    <w:uiPriority w:val="11"/>
    <w:qFormat/>
    <w:pPr>
      <w:spacing w:before="200" w:after="200"/>
    </w:pPr>
    <w:rPr>
      <w:sz w:val="24"/>
      <w:szCs w:val="24"/>
    </w:rPr>
  </w:style>
  <w:style w:type="paragraph" w:styleId="799">
    <w:name w:val="Quote"/>
    <w:basedOn w:val="747"/>
    <w:uiPriority w:val="29"/>
    <w:qFormat/>
    <w:pPr>
      <w:ind w:left="720" w:right="720"/>
    </w:pPr>
    <w:rPr>
      <w:i/>
    </w:rPr>
  </w:style>
  <w:style w:type="paragraph" w:styleId="800">
    <w:name w:val="Intense Quote"/>
    <w:basedOn w:val="747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01">
    <w:name w:val="Колонтитул"/>
    <w:basedOn w:val="747"/>
    <w:qFormat/>
  </w:style>
  <w:style w:type="paragraph" w:styleId="802">
    <w:name w:val="Header"/>
    <w:basedOn w:val="7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3">
    <w:name w:val="Footer"/>
    <w:basedOn w:val="747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04">
    <w:name w:val="footnote text"/>
    <w:basedOn w:val="74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05">
    <w:name w:val="endnote text"/>
    <w:basedOn w:val="74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06">
    <w:name w:val="toc 1"/>
    <w:basedOn w:val="747"/>
    <w:uiPriority w:val="39"/>
    <w:unhideWhenUsed/>
    <w:pPr>
      <w:ind w:left="0" w:right="0" w:firstLine="0"/>
      <w:spacing w:before="0" w:after="57"/>
    </w:pPr>
  </w:style>
  <w:style w:type="paragraph" w:styleId="807">
    <w:name w:val="toc 2"/>
    <w:basedOn w:val="747"/>
    <w:uiPriority w:val="39"/>
    <w:unhideWhenUsed/>
    <w:pPr>
      <w:ind w:left="283" w:right="0" w:firstLine="0"/>
      <w:spacing w:before="0" w:after="57"/>
    </w:pPr>
  </w:style>
  <w:style w:type="paragraph" w:styleId="808">
    <w:name w:val="toc 3"/>
    <w:basedOn w:val="747"/>
    <w:uiPriority w:val="39"/>
    <w:unhideWhenUsed/>
    <w:pPr>
      <w:ind w:left="567" w:right="0" w:firstLine="0"/>
      <w:spacing w:before="0" w:after="57"/>
    </w:pPr>
  </w:style>
  <w:style w:type="paragraph" w:styleId="809">
    <w:name w:val="toc 4"/>
    <w:basedOn w:val="747"/>
    <w:uiPriority w:val="39"/>
    <w:unhideWhenUsed/>
    <w:pPr>
      <w:ind w:left="850" w:right="0" w:firstLine="0"/>
      <w:spacing w:before="0" w:after="57"/>
    </w:pPr>
  </w:style>
  <w:style w:type="paragraph" w:styleId="810">
    <w:name w:val="toc 5"/>
    <w:basedOn w:val="747"/>
    <w:uiPriority w:val="39"/>
    <w:unhideWhenUsed/>
    <w:pPr>
      <w:ind w:left="1134" w:right="0" w:firstLine="0"/>
      <w:spacing w:before="0" w:after="57"/>
    </w:pPr>
  </w:style>
  <w:style w:type="paragraph" w:styleId="811">
    <w:name w:val="toc 6"/>
    <w:basedOn w:val="747"/>
    <w:uiPriority w:val="39"/>
    <w:unhideWhenUsed/>
    <w:pPr>
      <w:ind w:left="1417" w:right="0" w:firstLine="0"/>
      <w:spacing w:before="0" w:after="57"/>
    </w:pPr>
  </w:style>
  <w:style w:type="paragraph" w:styleId="812">
    <w:name w:val="toc 7"/>
    <w:basedOn w:val="747"/>
    <w:uiPriority w:val="39"/>
    <w:unhideWhenUsed/>
    <w:pPr>
      <w:ind w:left="1701" w:right="0" w:firstLine="0"/>
      <w:spacing w:before="0" w:after="57"/>
    </w:pPr>
  </w:style>
  <w:style w:type="paragraph" w:styleId="813">
    <w:name w:val="toc 8"/>
    <w:basedOn w:val="747"/>
    <w:uiPriority w:val="39"/>
    <w:unhideWhenUsed/>
    <w:pPr>
      <w:ind w:left="1984" w:right="0" w:firstLine="0"/>
      <w:spacing w:before="0" w:after="57"/>
    </w:pPr>
  </w:style>
  <w:style w:type="paragraph" w:styleId="814">
    <w:name w:val="toc 9"/>
    <w:basedOn w:val="747"/>
    <w:uiPriority w:val="39"/>
    <w:unhideWhenUsed/>
    <w:pPr>
      <w:ind w:left="2268" w:right="0" w:firstLine="0"/>
      <w:spacing w:before="0" w:after="57"/>
    </w:pPr>
  </w:style>
  <w:style w:type="paragraph" w:styleId="815">
    <w:name w:val="Index Heading"/>
    <w:basedOn w:val="790"/>
  </w:style>
  <w:style w:type="paragraph" w:styleId="816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17">
    <w:name w:val="table of figures"/>
    <w:basedOn w:val="747"/>
    <w:uiPriority w:val="99"/>
    <w:unhideWhenUsed/>
    <w:pPr>
      <w:spacing w:before="0" w:after="0" w:afterAutospacing="0"/>
    </w:pPr>
  </w:style>
  <w:style w:type="paragraph" w:styleId="818">
    <w:name w:val="Body Text Indent"/>
    <w:basedOn w:val="747"/>
    <w:pPr>
      <w:ind w:left="283"/>
      <w:spacing w:before="0" w:after="120"/>
    </w:pPr>
    <w:rPr>
      <w:lang w:val="en-US" w:eastAsia="en-US"/>
    </w:rPr>
  </w:style>
  <w:style w:type="paragraph" w:styleId="819">
    <w:name w:val="Текст"/>
    <w:basedOn w:val="747"/>
    <w:qFormat/>
    <w:rPr>
      <w:rFonts w:ascii="Courier New" w:hAnsi="Courier New"/>
      <w:sz w:val="20"/>
      <w:szCs w:val="20"/>
      <w:lang w:val="en-US" w:eastAsia="en-US"/>
    </w:rPr>
  </w:style>
  <w:style w:type="paragraph" w:styleId="820">
    <w:name w:val="Знак Знак Знак Знак Знак Знак Знак Знак Знак Знак Знак Знак"/>
    <w:basedOn w:val="747"/>
    <w:qFormat/>
    <w:rPr>
      <w:rFonts w:ascii="Verdana" w:hAnsi="Verdana" w:cs="Verdana"/>
      <w:sz w:val="20"/>
      <w:szCs w:val="20"/>
      <w:lang w:val="en-US" w:eastAsia="en-US"/>
    </w:rPr>
  </w:style>
  <w:style w:type="paragraph" w:styleId="821">
    <w:name w:val="Основной текст с отступом 3"/>
    <w:basedOn w:val="747"/>
    <w:qFormat/>
    <w:pPr>
      <w:ind w:left="283"/>
      <w:spacing w:before="0" w:after="120"/>
    </w:pPr>
    <w:rPr>
      <w:sz w:val="16"/>
      <w:szCs w:val="16"/>
      <w:lang w:val="en-US" w:eastAsia="en-US"/>
    </w:rPr>
  </w:style>
  <w:style w:type="paragraph" w:styleId="822">
    <w:name w:val="Текст выноски"/>
    <w:basedOn w:val="747"/>
    <w:qFormat/>
    <w:rPr>
      <w:rFonts w:ascii="Tahoma" w:hAnsi="Tahoma"/>
      <w:sz w:val="16"/>
      <w:szCs w:val="16"/>
      <w:lang w:val="en-US" w:eastAsia="en-US"/>
    </w:rPr>
  </w:style>
  <w:style w:type="paragraph" w:styleId="823">
    <w:name w:val="Текст сноски"/>
    <w:basedOn w:val="747"/>
    <w:qFormat/>
    <w:rPr>
      <w:sz w:val="20"/>
      <w:szCs w:val="20"/>
    </w:rPr>
  </w:style>
  <w:style w:type="paragraph" w:styleId="824">
    <w:name w:val="Содержимое врезки"/>
    <w:basedOn w:val="747"/>
    <w:qFormat/>
  </w:style>
  <w:style w:type="numbering" w:styleId="825">
    <w:name w:val="Нет списка"/>
    <w:semiHidden/>
    <w:qFormat/>
  </w:style>
  <w:style w:type="numbering" w:styleId="826" w:default="1">
    <w:name w:val="No List"/>
    <w:uiPriority w:val="99"/>
    <w:semiHidden/>
    <w:unhideWhenUsed/>
    <w:qFormat/>
  </w:style>
  <w:style w:type="table" w:styleId="116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имущественных отношений</dc:title>
  <dc:subject/>
  <dc:creator>bna</dc:creator>
  <dc:description/>
  <dc:language>ru-RU</dc:language>
  <cp:revision>1048</cp:revision>
  <dcterms:created xsi:type="dcterms:W3CDTF">2015-07-02T10:18:00Z</dcterms:created>
  <dcterms:modified xsi:type="dcterms:W3CDTF">2024-10-30T04:40:32Z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