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проведении 12.12.2024 электронных аукционов на право заключения 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77946</w:t>
      </w:r>
    </w:p>
    <w:p>
      <w:pPr>
        <w:pStyle w:val="Normal"/>
        <w:widowControl w:val="false"/>
        <w:tabs>
          <w:tab w:val="clear" w:pos="708"/>
          <w:tab w:val="left" w:pos="7513" w:leader="none"/>
        </w:tabs>
        <w:spacing w:lineRule="auto" w:line="240" w:before="0" w:after="0"/>
        <w:ind w:firstLine="2"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___________________________________, действующего </w:t>
        <w:br/>
        <w:t>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59:01:3812839:167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607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Российская Федерация, край Пермский, г.о. Пермский, г. Пермь, ул. Белорусская, зу 1х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жилой застройки (Ж-4).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ничем не огорожен, доступ не ограничен. На части Участка произрастают лиственные деревья и низкорослые кустарники. На Участке расположена часть самовольной постройки, часть постройки расположена на земельном участке с кадастровым номером 59:01:3812839:168, признанной самовольной на основании решения суда от 20.12.2023 </w:t>
        <w:br/>
        <w:t>№ 2-4460/2023, складируется бытовой мусор. Иные объекты капитального/некапитального строительства отсутствуют. Над Участком происходит нависание электрических проводов.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  <w:lang w:val="x-none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и введенным в действие Приказом Министерства строительства и жилищно-коммунального хозяйства Российской Федерации от 20.10.2016 № 725/пр</w:t>
      </w:r>
      <w:r>
        <w:rPr>
          <w:rFonts w:ascii="Times New Roman" w:hAnsi="Times New Roman"/>
          <w:sz w:val="24"/>
          <w:szCs w:val="24"/>
        </w:rPr>
        <w:t xml:space="preserve"> (ред. от 17.05.2023):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>ом должен включать жилые комнаты – одну или несколько (общую комнату или гостиную, спальню),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  <w:lang w:val="x-none"/>
        </w:rPr>
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Площадь спальни и кухни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 xml:space="preserve">в мансардном этаже (или этаже с наклонными ограждающими конструкциями) допускается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не менее 7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при условии, что общая жилая комната имеет площадь не менее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не менее 2,5 м. Высота внутридомовых коридоров, холлов, передних, антресолей должна составлять не менее 2,1 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 высота пути эвакуации -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2,2 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</w:t>
        <w:br/>
        <w:t>от 30.08.2024 № РФ-59-2-03-0-00-2024-1843-0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23.12.2015 № 1102).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30%.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Арендодатель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 Арендодатель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2.2.4. в 3-дневный срок после получения уведомления, указанного в пункте </w:t>
        <w:br/>
        <w:t>3.2.18 настоящего договора, провести осмотр земельного участка, составить акт осмотра земельного участка, подтверждающий снос самовольной постройки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3.1.1. использовать земельный участок в соответствии с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статьей 39.36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3.2.2. использовать земельный участок в границах, сведения 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3.2.8. не допускать строительства на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3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Арендатор не вправе уступать права и осуществлять перевод долга по обязательствам, возникшим из договора аренды.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в случае изменения адреса или иных реквизитов Арендатора в пятидневный срок направить Арендодателю письменное уведомление.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</w:t>
        <w:br/>
        <w:t>и иных правил, нормативов;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На земельном участке произрастает </w:t>
        <w:br/>
        <w:t>9 деревьев породы: береза – 2 шт., ива – 3 шт., калина – 2 шт., рябина – 2 шт.;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 xml:space="preserve">и иной документации, касающейся норм противопожарной безопасности (предусмотрев </w:t>
        <w:br/>
        <w:t xml:space="preserve">и запроектировав соответствующее расстояние между строений для обеспечения подъезда </w:t>
        <w:br/>
        <w:t xml:space="preserve">и разворота пожарной техники, а так же источники противопожарного водоснабжения </w:t>
        <w:br/>
        <w:t xml:space="preserve">с пожарными гидрантами, которые надлежит размещать из условия обслуживания ими зданий, находящихся в рабиусе 200 м. ширина проездов для пожарной техники в зависимости </w:t>
        <w:br/>
        <w:t xml:space="preserve">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</w:t>
        <w:br/>
        <w:t>от 13 метров до 46 метров включительно; 6 метров – при высоте здания более 46 метров);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2.2.25.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3.2.27.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851&amp;dst=1095" TargetMode="External"/><Relationship Id="rId3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7B3A-14CD-46B4-A820-B2567243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Application>LibreOffice/7.6.7.2$Linux_X86_64 LibreOffice_project/60$Build-2</Application>
  <AppVersion>15.0000</AppVersion>
  <Pages>9</Pages>
  <Words>3785</Words>
  <Characters>26896</Characters>
  <CharactersWithSpaces>30731</CharactersWithSpaces>
  <Paragraphs>165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2024-09-13T05:37:00Z</cp:lastPrinted>
  <dcterms:modified xsi:type="dcterms:W3CDTF">2024-10-29T15:19:45Z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