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20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</w:t>
      </w:r>
    </w:p>
    <w:p>
      <w:pPr>
        <w:pStyle w:val="Normal"/>
        <w:tabs>
          <w:tab w:val="clear" w:pos="720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</w:p>
    <w:p>
      <w:pPr>
        <w:pStyle w:val="Normal"/>
        <w:tabs>
          <w:tab w:val="clear" w:pos="720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20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08.11.2024 № 059-19-01-11-112</w:t>
      </w:r>
    </w:p>
    <w:p>
      <w:pPr>
        <w:pStyle w:val="Normal"/>
        <w:tabs>
          <w:tab w:val="clear" w:pos="720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Извещение о проведении 12.12.2024 электронных аукционов на право заключения договоров аренды земельных участков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Электронные аукционы на право заключения договоров аренды земельных участков (далее – аукцион) проводятся в соответствии со статьями 39.11, 39.12, 39.13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(далее – комиссия), </w:t>
      </w:r>
      <w:r>
        <w:rPr>
          <w:rFonts w:eastAsia="Courier New"/>
          <w:color w:val="000000"/>
          <w:lang w:bidi="ru-RU"/>
        </w:rPr>
        <w:t>р</w:t>
      </w:r>
      <w:r>
        <w:rPr>
          <w:shd w:fill="FFFFFF" w:val="clear"/>
        </w:rPr>
        <w:t>егламентом электронной площадки АО «Сбербанк-АСТ»</w:t>
      </w:r>
      <w:r>
        <w:rPr/>
        <w:t>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bCs/>
          <w:lang w:val="en-US"/>
        </w:rPr>
        <w:t>dzo</w:t>
      </w:r>
      <w:r>
        <w:rPr>
          <w:bCs/>
        </w:rPr>
        <w:t>@</w:t>
      </w:r>
      <w:r>
        <w:rPr>
          <w:bCs/>
          <w:lang w:val="en-US"/>
        </w:rPr>
        <w:t>gorodperm</w:t>
      </w:r>
      <w:r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>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dio</w:t>
      </w:r>
      <w:r>
        <w:rPr>
          <w:bCs/>
          <w:sz w:val="24"/>
          <w:szCs w:val="24"/>
        </w:rPr>
        <w:t>@</w:t>
      </w:r>
      <w:r>
        <w:rPr>
          <w:bCs/>
          <w:sz w:val="24"/>
          <w:szCs w:val="24"/>
          <w:lang w:val="en-US"/>
        </w:rPr>
        <w:t>perm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permkrai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ru.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355" w:leader="none"/>
        </w:tabs>
        <w:ind w:firstLine="567" w:left="-567"/>
        <w:jc w:val="both"/>
        <w:outlineLvl w:val="0"/>
        <w:rPr/>
      </w:pPr>
      <w:r>
        <w:rPr>
          <w:b/>
          <w:bCs/>
        </w:rPr>
        <w:t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8"/>
        </w:rPr>
        <w:t>08.11.2024 № 059-19-01-11-112.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в государственной информационной системе «Официальный сайт Российской Федерации в информационно-телекоммуникационной сети «Интернет» </w:t>
      </w:r>
      <w:hyperlink r:id="rId2" w:tgtFrame="http://www.torgi.gov.ru/">
        <w:r>
          <w:rPr>
            <w:rStyle w:val="ListLabel28"/>
            <w:color w:val="0000FF"/>
            <w:sz w:val="24"/>
            <w:szCs w:val="24"/>
            <w:u w:val="single"/>
          </w:rPr>
          <w:t>www</w:t>
        </w:r>
        <w:r>
          <w:rPr>
            <w:rStyle w:val="ListLabel28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28"/>
            <w:color w:val="0000FF"/>
            <w:sz w:val="24"/>
            <w:szCs w:val="24"/>
            <w:u w:val="single"/>
          </w:rPr>
          <w:t>torgi</w:t>
        </w:r>
        <w:r>
          <w:rPr>
            <w:rStyle w:val="ListLabel28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28"/>
            <w:color w:val="0000FF"/>
            <w:sz w:val="24"/>
            <w:szCs w:val="24"/>
            <w:u w:val="single"/>
          </w:rPr>
          <w:t>gov</w:t>
        </w:r>
        <w:r>
          <w:rPr>
            <w:rStyle w:val="ListLabel28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28"/>
            <w:color w:val="0000FF"/>
            <w:sz w:val="24"/>
            <w:szCs w:val="24"/>
            <w:u w:val="single"/>
          </w:rPr>
          <w:t>ru</w:t>
        </w:r>
      </w:hyperlink>
      <w:r>
        <w:rPr>
          <w:sz w:val="24"/>
          <w:szCs w:val="24"/>
          <w:lang w:val="ru-RU"/>
        </w:rPr>
        <w:t xml:space="preserve">, на официальном сайте муниципального образования город Пермь в информационно-телекоммуникационной сети Интернет </w:t>
      </w:r>
      <w:hyperlink r:id="rId3" w:tgtFrame="http://www.gorodperm.ru/">
        <w:r>
          <w:rPr>
            <w:rStyle w:val="ListLabel28"/>
            <w:color w:val="0000FF"/>
            <w:sz w:val="24"/>
            <w:szCs w:val="24"/>
            <w:u w:val="single"/>
          </w:rPr>
          <w:t>www</w:t>
        </w:r>
        <w:r>
          <w:rPr>
            <w:rStyle w:val="ListLabel28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28"/>
            <w:color w:val="0000FF"/>
            <w:sz w:val="24"/>
            <w:szCs w:val="24"/>
            <w:u w:val="single"/>
          </w:rPr>
          <w:t>gorodperm</w:t>
        </w:r>
        <w:r>
          <w:rPr>
            <w:rStyle w:val="ListLabel28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28"/>
            <w:color w:val="0000FF"/>
            <w:sz w:val="24"/>
            <w:szCs w:val="24"/>
            <w:u w:val="singl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участка: </w:t>
      </w:r>
      <w:r>
        <w:rPr>
          <w:bCs/>
        </w:rPr>
        <w:t>департамент земельных отношений администрации города Перми, 614015, г. Пермь, ул.Сибирская,15, телефон 212-61-90 (отдел договоров).</w:t>
      </w:r>
    </w:p>
    <w:p>
      <w:pPr>
        <w:pStyle w:val="Normal"/>
        <w:widowControl w:val="false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spacing w:lineRule="exact" w:line="240"/>
        <w:ind w:right="-263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20"/>
          <w:tab w:val="left" w:pos="5103" w:leader="none"/>
        </w:tabs>
        <w:ind w:right="-263"/>
        <w:rPr>
          <w:b/>
          <w:lang w:val="en-US"/>
        </w:rPr>
      </w:pPr>
      <w:r>
        <w:rPr>
          <w:b/>
          <w:lang w:val="en-US"/>
        </w:rPr>
        <w:t>Лот № 1</w:t>
      </w:r>
    </w:p>
    <w:tbl>
      <w:tblPr>
        <w:tblW w:w="9915" w:type="dxa"/>
        <w:jc w:val="left"/>
        <w:tblInd w:w="-6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5"/>
        <w:gridCol w:w="2707"/>
        <w:gridCol w:w="6863"/>
      </w:tblGrid>
      <w:tr>
        <w:trPr>
          <w:trHeight w:val="426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</w:t>
            </w:r>
          </w:p>
          <w:p>
            <w:pPr>
              <w:pStyle w:val="Normal"/>
              <w:widowControl/>
              <w:spacing w:before="0" w:after="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принявшего решение о проведении аукциона,</w:t>
            </w:r>
          </w:p>
          <w:p>
            <w:pPr>
              <w:pStyle w:val="Normal"/>
              <w:widowControl/>
              <w:spacing w:before="0" w:after="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03 мая 2024 г. № 21-01-03-4150 «О проведении аукциона на право заключения договора аренды земельного участка в Индустриальном районе города Перми»</w:t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аренды земельного участка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56" w:hRule="atLeast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край Пермский, городской округ Пермский, город Пермь, улица 3-я Мало-Субботинская, з/у 5</w:t>
            </w:r>
          </w:p>
        </w:tc>
      </w:tr>
      <w:tr>
        <w:trPr>
          <w:trHeight w:val="155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 кв. м</w:t>
            </w:r>
          </w:p>
        </w:tc>
      </w:tr>
      <w:tr>
        <w:trPr>
          <w:trHeight w:val="190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59:01:4413926:166</w:t>
            </w:r>
          </w:p>
        </w:tc>
      </w:tr>
      <w:tr>
        <w:trPr>
          <w:trHeight w:val="285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232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216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категории земель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03.06.2024г. № КУВИ-001/2024-149539055;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09.04.2024 № РФ-59-2-03-0-00-2024-0627-0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находится в свободном доступе, на территории Участка капитальные и некапитальные объекты отсутствуют.              На Участке произрастают деревья, кустарники.  В соответствии со сведениями ЕГРН в границах Участка капитальные и некапитальные объекты отсутствуют.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sz w:val="24"/>
                <w:szCs w:val="24"/>
              </w:rPr>
              <w:t>администрации Индустриального района города Перми</w:t>
            </w:r>
            <w:r>
              <w:rPr>
                <w:sz w:val="24"/>
                <w:szCs w:val="24"/>
              </w:rPr>
              <w:t xml:space="preserve"> от 09.04.2024 № 059-16-01-08/3-1127 и  акте обследования от 08.04.2024 № 79).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копии городского планшета 1:500 (требуется корректура топографической съемки) от 02.04.2024 в границах Участка объекты капитального строительства отсутствуют.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выявления объектов некапитального типа победитель аукциона обязан осуществить демонтаж выявленных объектов за счет собственных средств  и (или) с привлечением средств других лиц без отнесения соответствующих расходов на территориальный орган администрации города Перми, департамент земельных отношений администрации города Перми или иной функциональный орган или подразделение администрации города Перми.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сведениям, содержащимся в ГПЗУ, ЕГРН и справке по градостроительным условиям  от 03.06.2024 № 595581 Участок полностью расположен в границах зон с особыми условиями использования территории: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строительство вести 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водоохранной зоне бассейна реки Верхняя Мулянка, Часть 5, учётный № ГКН 59:00-6.1411;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прибрежной защитной полосе бассейна реки Верхняя Мулянка, Часть 5. учётный № ГКН 59:00-6.1412.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проектировании и строительстве необходимо учитывать требования приказа Министерства природных ресурсов, лесного хозяйства и экологии Пермского края от 11.12.2023 № 30-01-02-1557 «О внесении изменений  в приказ от 24.11.2020 № 30-01-02-969 «Об утверждении установленных границ водоохранных зон, границ прибрежных защитных полос и границ береговых линий бассейна реки Верхняя Мулянка на территории Пермского края»», статьи 65 Водного кодекса Российской Федерации.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испрашиваемом земельном участке произрастают 14 деревьев – 9 яблонь, 4 тополя, 1 черемуха. Средняя стоимость в ценах 2024 года одного дерева лиственной породы от 17 тыс. руб., а хвойной – от 20 тыс. руб.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Победителю аукциона необходимо соблюдать следующие условия строительства, а также проектом предусмотреть: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Нанесение существующих деревьев на стройгенплане;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Снос деревьев, попадающих в пятно застройки, вести на основании акта комиссионного обследования земельных насаждений в соответствии решением Пермской городской Думы от 15.12.2020 № 277. Указанный акт должен быть составлен на основании проектной документации. Остальные деревья сохранить;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Восстановление зеленых насаждений вести в соответствии с решением Пермской городской Думы   от 15.12.2020 № 277;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Сбор и отвод ливневых вод с использованием вариантов решений в зависимости от: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наличия централизованной системы ливневой канализации;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площади водосбора с учетом транзитных вод                        с прилегающей территории;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угла наклона рельефа, включающий прилегающие территории;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применения иных решений равномерного отвода поверхностного стока с запрашиваемой территории на прилегающей территории;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Определение видов образующих отходов и мест их размещения на период эксплуатации;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Конкретные мероприятия по охране окружающей среды на период строительства, включая: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установку временного защитного ограждения строительной площадки;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ограждение существующих зеленых насаждений, не попадающих под пятно застройки;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прокладку коммуникаций осуществлять на расстоянии не менее 2 м. от ствола дерева, чтобы не повредить корневую систему;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использовать приствольные круги существующих деревьев (диаметром 1 м) под складирование материалов и установки временных сооружений;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видов и объемов образующихся отходов и мест их размещения;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систематический вывоз отходов;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недопущение загрязнения атмосферы, почвы  и подземных вод;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предотвращение выноса грязи автотранспортом, выезжающим со строительной площадки.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sz w:val="24"/>
                <w:szCs w:val="24"/>
              </w:rPr>
              <w:t>управления по экологии  и природопользованию администрации города Перми</w:t>
            </w:r>
            <w:r>
              <w:rPr>
                <w:sz w:val="24"/>
                <w:szCs w:val="24"/>
              </w:rPr>
              <w:t xml:space="preserve">  от 12.04.2024 № 059-33-01-10/3-202).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бюджетом города Перми на 2024 год и плановый период 2025-2026 годов мероприятий по строительству, реконструкции, капитальному ремонту улично-дорожной сети на данной территории не запланировано.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Присоединение Участка к улично-дорожной сети возможно при следующих условиях: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согласовать на рабочей группе по организации и безопасности дорожного движения (ул. Пермская, 164, 236-00-30 доб. 116) проектное решение для примыкания территории Участка к автомобильной дороге общего пользования местного значения города Перми;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согласовать в установленном порядке соответствующий проект организации дорожного движения на примыкание Участков к автомобильной дороге общего пользования местного значения города Перми (Приказ Минтранса России от 30.07.2020 № 274 «Об утверждении Правил подготовки документации по организации дорожного движения», постановление Администрации г. Перми от 02.03.2021 № 122 «Об утверждении Перечня 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на территории города Перми»);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для выдачи Согласия, утверждены Постановлением администрации города Перми от 31.01.2022 № 45).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 направлена информация о соблюдении при строительстве объекта недвижимости на Участке, предоставленном на аукционе, Правил благоустройства территории города Перми, утвержденных решением Пермской городской Думы  от 15.12.2020 № 277: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поверхностный водоотвод решить проектом без подтопления смежных территорий, в соответствии с действующими нормативно-правовыми актами и природоохранным законодательством;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предусмотреть электроосвещение территории объекта;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стоянку временного транспорта разместить  в границах отведенного под строительство земельного участка вне территории общего пользования;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предусмотреть устройство подъезда к Участку или ликвидацию разрушений, повреждений дорожного покрытия существующих проездов от границ Участка до существующей улично-дорожной сети, а также наружное освещение подъездов.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 сообщается, что в соответствии  с Федеральным законом от 08.11.2007 № 257-ФЗ   «Об автомобильных дорогах и о дорожной деятельности в Российской Федерации и о внесении изменений   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sz w:val="24"/>
                <w:szCs w:val="24"/>
              </w:rPr>
              <w:t xml:space="preserve"> от 27.03.2024 № 059-24-01-36/3-941).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Ближайшее подразделение пожарной охраны расположено по адресу: ул. Беляева, 29 (ПСЧ-2 10-ПСО);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общественной безопасности, отнесенный   к объектам полиции (участковые пункты полиции), отсутствуют. Ближайший участковый пункт расположен по адресу: г. Пермь, ул. Экскаваторная, 57 (микрорайон Нагорный, Индустриальный район). В настоящее время в указанном микрорайоне строительство (приобретение) участковых пунктов полиции не планируется;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аварийно-спасательных формирований на указанной территории отсутствуют.              В настоящее время потребность в обеспечении служебными помещениями для аварийно-спасательных формирований в указанном микрорайоне отсутствует;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указанной территории источники противопожарного водоснабжения отсутствуют;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информацией, предоставленной Министерством территориальной безопасности Пермского края, Участок попадает в зону возможного химического заражения в особый период;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не попадает в зону действия региональной автоматизированной системы централизованного оповещения населения города Перми, необходимо предусмотреть размещение дополнительных сиренно-речевых узлов системы оповещения, согласно пунктам 6.38, 6.39 СП 165.1325800.2014 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                    «О пожарной безопасности»  и от 22.07.2008 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 и градостроительной деятельности Пермского края от 25.02.2021 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sz w:val="24"/>
                <w:szCs w:val="24"/>
              </w:rPr>
              <w:t xml:space="preserve"> от 02.04.2024 № 059-10-01-27/3-448).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 для установки и эксплуатации рекламных конструкций, включенные в схему размещения рекламных конструкций на территории города Перми, утвержденную решением Пермской городской Думы от 23.08.2016 № 171,                   и места размещения НТО, включенные в схему размещения НТО на территории города Перми, утвержденную постановлением администрации города Перми от 02.08.2018 № 521, в границах Участка отсутствуют.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на размещение нестационарных торговых объектов в границах Участка не заключались.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sz w:val="24"/>
                <w:szCs w:val="24"/>
              </w:rPr>
              <w:t xml:space="preserve">департамента экономики и промышленной политики администрации города Перми </w:t>
            </w:r>
            <w:r>
              <w:rPr>
                <w:sz w:val="24"/>
                <w:szCs w:val="24"/>
              </w:rPr>
              <w:t>от 27.03.2024  № 059-13-01-04-516).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границах Участка отсутствуют: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выявленные объекты культурного наследия;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объекты, обладающие признаками объектов культурного наследия;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территории объектов культурного наследия;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зоны охраны объектов культурного наследия;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защитные зоны объектов культурного наследия;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не связан с земельным участком </w:t>
              <w:br/>
              <w:t>в границах территории объекта культурного наследия;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режимах использования (ограничения/обременения) Участка отсутствуют;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проведенных историко-культурных исследованиях в границах Участка отсутствуют;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проведения историко-культурной экспертизы в границах Участка отсутствует.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sz w:val="24"/>
                <w:szCs w:val="24"/>
              </w:rPr>
              <w:t>государственной инспекции по охране объектов культурного наследия Пермского края</w:t>
            </w:r>
            <w:r>
              <w:rPr>
                <w:sz w:val="24"/>
                <w:szCs w:val="24"/>
              </w:rPr>
              <w:t xml:space="preserve"> от 28.03.2024 № Исх55-01-17.2-152).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90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объекта капитального строительства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на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строительство необходимо вести                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 в однокомнатном доме - 14 м2, общей комнаты в доме  с числом комнат две и более - 16 м2, спальни - 8 м2  (на двух человек - 10 м2); кухни - 8 м2; кухонной зоны              в кухне-столовой - 6 м2. В домах с одной комнатой допускается проектировать кухни или кухни-ниши площадью не менее 5 м2. Площадь спальни и кухни  в мансардном этаже (или этаже с наклонными ограждающими конструкциями) допускается не менее 7 м2 при условии, что общая жилая комната имеет площадь не менее 16 м2.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пункту 6.2 СП 55.13330.2016 высота                         (от пола до потолка) комнат и кухни (кухни-столовой)                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 не менее 2,2 м.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жилых комнатах и кухнях, расположенных 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информации, содержащейся  в градостроительном плане земельного участка   от 09.04.2024 № РФ-59-2-03-0-00-2024-0627-0 (далее – ГПЗУ), предельная высота зданий, строений не более 10,5 м.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в границах Участка – 40%.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17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20"/>
                <w:tab w:val="left" w:pos="2715" w:leader="none"/>
              </w:tabs>
              <w:spacing w:before="0" w:after="0"/>
              <w:ind w:hanging="283" w:left="62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на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по утвержденным тарифам согласно постановлению РСТ Пермского края от 23.11.2023 № 121-тп (в последней редакции).</w:t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 объекта возможно будет осуществить при условии строительства питающей линии электропередачи 0,4 кВ на основании договора 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Подать заявку на технологическое присоединение возможно через единый федеральный портал электросетевых услуг группы компаний «Россети» на сайте: https://портал-тп.рф или через Мобильное приложение ПАО «Россети».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sz w:val="24"/>
                <w:szCs w:val="24"/>
              </w:rPr>
              <w:t>Филиала ПАО «Россети Урал» - «Пермэнерго»</w:t>
            </w:r>
            <w:r>
              <w:rPr>
                <w:sz w:val="24"/>
                <w:szCs w:val="24"/>
              </w:rPr>
              <w:t xml:space="preserve"> от 29.03.2024 № ПЭ/ПГЭС/01/22/2998).</w:t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8м3/час к существующим сетям газораспределения имеется.</w:t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по типовой форме согласно приложению № 1 к Правилам подключения (технологического присоединения) газоиспользующего оборудования и объектов капитального строительства  к сетям газораспределения  и о признании утратившим силу некоторых актов Правительства Российской Федерации, утвержденным постановление Правительства Российской Федерации  от 13.09.2021  № 1547 (далее – Правила), с приложением необходимых документов и сведений, указанных в пунктах Правил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sz w:val="24"/>
                <w:szCs w:val="24"/>
              </w:rPr>
              <w:t>АО «Газпром газораспределение Пермь»</w:t>
            </w:r>
            <w:r>
              <w:rPr>
                <w:sz w:val="24"/>
                <w:szCs w:val="24"/>
              </w:rPr>
              <w:t xml:space="preserve"> от 26.03.2024 № ПФ-1728).</w:t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Ближайшие сети водоснабжения и водоотведения, эксплуатируемые ООО «НОВОГОР-Прикамье», располагаются ориентировочно в радиусе – 2,19 км  от Участка.</w:t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проектировании может быть применен альтернативный способ снабжения водой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города Перми (отвод стоков возможен на локальные очистные сооружения, канализование объекта в выгребную яму с последующим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тем, что ООО «НОВОГОР-Прикамье» эксплуатирует только централизованные системы водоснабжения и водоотведения, по вопросу возможности обеспечения жилого дома холодным водоснабжением от скважины и отвод канализационных локально предложено обратиться в организации, регулирующие недропользование.</w:t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«НОВОГОР-Прикамье» не располагает сведениями о наличии сетей 3-х лиц в границах Участка.</w:t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Победителю аукциона для получения информации о возможности подключения указанного выше земельного участка, рекомендуем обратиться к правообладателям близлежащих сетей водоснабжения    и водоотведения.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sz w:val="24"/>
                <w:szCs w:val="24"/>
              </w:rPr>
              <w:t>ООО «НОВОГОР-Прикамье»</w:t>
            </w:r>
            <w:r>
              <w:rPr>
                <w:sz w:val="24"/>
                <w:szCs w:val="24"/>
              </w:rPr>
              <w:t xml:space="preserve"> от 29.03.2024 № 110-4659).</w:t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sz w:val="24"/>
                <w:szCs w:val="24"/>
              </w:rPr>
              <w:t>Филиала «Пермский ПАО «Т Плюс»</w:t>
            </w:r>
            <w:r>
              <w:rPr>
                <w:sz w:val="24"/>
                <w:szCs w:val="24"/>
              </w:rPr>
              <w:t xml:space="preserve"> от 29.03.2024 № 51000-32-00936).</w:t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sz w:val="24"/>
                <w:szCs w:val="24"/>
              </w:rPr>
              <w:t>департамента жилищно-коммунального хозяйства администрации города Перми</w:t>
            </w:r>
            <w:r>
              <w:rPr>
                <w:sz w:val="24"/>
                <w:szCs w:val="24"/>
              </w:rPr>
              <w:t xml:space="preserve"> от 03.04.2024 № 059-04-25/3-39-ри).</w:t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границах Участка сети ПАО «Ростелеком» отсутствуют. Для подключения (технологического присоединения) к сетям электросвязи ПАО «Ростелеком»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порядке, определенном действующим законодательством по адресу: г. Пермь, ул. Крупской, 2, тел.: (342) 235-57-34 или направить запрос на perm-mail@ural.rt.ru.</w:t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технических условий составляет 3 года со дня выдачи. В случае, если в течении 1 года со дня выдачи технических условий заявителем не будет подана заявка о подключении, срок действия технических условий прекращается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Российской Федерации от 01.07.2022 № 1196).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sz w:val="24"/>
                <w:szCs w:val="24"/>
              </w:rPr>
              <w:t xml:space="preserve">ПАО «Ростелеком» </w:t>
            </w:r>
            <w:r>
              <w:rPr>
                <w:sz w:val="24"/>
                <w:szCs w:val="24"/>
              </w:rPr>
              <w:t xml:space="preserve"> от 29.03.2024 № 01/05/43971/24).</w:t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предусмотрено строительство сетей водоснабжения и водоотведения в д. Субботино с 2024 года (мероприятие не обеспечено финансированием).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 </w:t>
            </w:r>
            <w:r>
              <w:rPr>
                <w:b/>
                <w:bCs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sz w:val="24"/>
                <w:szCs w:val="24"/>
              </w:rPr>
              <w:t>от 28.03.2024 № 059-04-17/3-329-ри).</w:t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аукциона, иное лицо, с которым договор заключается в соответствии с п.13, п.14 или п. 20 ст. 39.12 Земельного Кодекса Российской Федерации (далее – ЗК РФ), обязан в течение 1</w:t>
            </w:r>
            <w:r>
              <w:rPr>
                <w:b/>
                <w:sz w:val="24"/>
                <w:szCs w:val="24"/>
              </w:rPr>
              <w:t>5 дней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</w:t>
            </w:r>
            <w:r>
              <w:rPr>
                <w:b/>
                <w:sz w:val="24"/>
                <w:szCs w:val="24"/>
              </w:rPr>
              <w:t xml:space="preserve"> за 1 год</w:t>
            </w:r>
            <w:r>
              <w:rPr>
                <w:sz w:val="24"/>
                <w:szCs w:val="24"/>
              </w:rPr>
              <w:t xml:space="preserve"> на счет департамента земельных отношений администрации города Перми, 614015, ул. Сибирская,15,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тел. 212-61-90 (отдел договоров)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291 200 руб.</w:t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8 736 руб.</w:t>
            </w:r>
          </w:p>
        </w:tc>
      </w:tr>
      <w:tr>
        <w:trPr>
          <w:trHeight w:val="416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9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 в соответствии со статьей 39.11 Земельного кодекса Российской Федерации. Аукцион является открытым по составу участников.</w:t>
            </w:r>
          </w:p>
        </w:tc>
      </w:tr>
      <w:tr>
        <w:trPr>
          <w:trHeight w:val="557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145 600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144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утвержден постановлением администрации города Перми от 29.05.2015 № 322,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на местности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widowControl w:val="false"/>
        <w:spacing w:before="0" w:after="0"/>
        <w:contextualSpacing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spacing w:lineRule="exact" w:line="240"/>
        <w:ind w:right="-263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20"/>
          <w:tab w:val="left" w:pos="5103" w:leader="none"/>
        </w:tabs>
        <w:ind w:right="-263"/>
        <w:rPr>
          <w:sz w:val="20"/>
          <w:szCs w:val="20"/>
        </w:rPr>
      </w:pPr>
      <w:r>
        <w:rPr>
          <w:b/>
          <w:lang w:val="en-US"/>
        </w:rPr>
        <w:t>Лот № 2</w:t>
      </w:r>
    </w:p>
    <w:tbl>
      <w:tblPr>
        <w:tblW w:w="5000" w:type="pct"/>
        <w:jc w:val="left"/>
        <w:tblInd w:w="-6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7"/>
        <w:gridCol w:w="2756"/>
        <w:gridCol w:w="6838"/>
      </w:tblGrid>
      <w:tr>
        <w:trPr>
          <w:trHeight w:val="426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03 июня 2024 г. № 21-01-03-5091 «О проведении аукциона на право заключения договора аренды земельного участка  в Индустриальном районе города Перми»</w:t>
            </w:r>
          </w:p>
        </w:tc>
      </w:tr>
      <w:tr>
        <w:trPr>
          <w:trHeight w:val="225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81" w:hRule="atLeast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край Пермский, городской округ Пермский, город Пермь, улица Ягодная, з/у 12</w:t>
            </w:r>
          </w:p>
        </w:tc>
      </w:tr>
      <w:tr>
        <w:trPr>
          <w:trHeight w:val="321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 кв. м</w:t>
            </w:r>
          </w:p>
        </w:tc>
      </w:tr>
      <w:tr>
        <w:trPr>
          <w:trHeight w:val="345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59:01:4416068:139</w:t>
            </w:r>
          </w:p>
        </w:tc>
      </w:tr>
      <w:tr>
        <w:trPr>
          <w:trHeight w:val="285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232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670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670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22.10.2024г.                 № КУВИ-001/2024-259843887;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29.05.2024 № РФ-59-2-03-0-00-2024-1050-0 (далее – ГПЗУ).</w:t>
            </w:r>
          </w:p>
          <w:p>
            <w:pPr>
              <w:pStyle w:val="BodyText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709"/>
              <w:jc w:val="both"/>
              <w:rPr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 ходе визуального обследования территории 28.05.2024 выявлено, что Участок  в свободном доступе. На Участке находятся ветки деревьев, старый упавший деревянный забор, старый парник.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Также сообщается, по имеющейся в администрации Индустриального района информации, в 100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метрах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br/>
              <w:t> от Участка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находится Верхний Андроновский пруд.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 w:val="false"/>
                <w:color w:val="000000"/>
                <w:sz w:val="24"/>
                <w:szCs w:val="24"/>
              </w:rPr>
              <w:t>администрации Индустриального района города Перми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от 28.05.2024 № 059-16-01-08/3-1477).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соответствии с геодезической съемкой, выполненной в марте 2024 года, в границах земельного участка расположено ограждение и некапитальное строение.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случае выявления объектов некапитального типа победитель аукциона обязан осуществить демонтаж выявленных объектов за счет собственных средств </w:t>
              <w:br/>
              <w:t> и (или) с привлечением средств других лиц без отнесения соответствующих расходов на территориальный орган администрации города Перми, департамент земельных отношений администрации города Перми или иной функциональный орган или подразделение администрации города Перми.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сведениям, содержащимся в ЕГРН, ГПЗУ </w:t>
              <w:br/>
              <w:t xml:space="preserve"> и справке по градостроительным условиям участка </w:t>
              <w:br/>
              <w:t xml:space="preserve"> от 22.10.2024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610355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Участок полностью расположен в границах </w:t>
            </w:r>
            <w:r>
              <w:rPr>
                <w:b/>
                <w:color w:val="000000"/>
                <w:sz w:val="24"/>
              </w:rPr>
              <w:t>зон с особыми условиями использования территории</w:t>
            </w:r>
            <w:r>
              <w:rPr>
                <w:color w:val="000000"/>
                <w:sz w:val="24"/>
              </w:rPr>
              <w:t>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границах зоны с особыми условиями использования территории Охранная зона транспорта «Зона</w:t>
              <w:br/>
              <w:t> с особыми условиями использования - Приаэродромная территория аэродрома аэропорта Большое Савино», 59:32-6.553 (Постановление Правительства Российской Федерации от 11.03.2010 № 138 «Об утверждении Федеральных правил использования воздушного пространства Российской Федерации»).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ind w:firstLine="709"/>
              <w:jc w:val="both"/>
              <w:rPr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На Участке произрастает 13 деревьев пород породы – рябина 2 шт., черемуха 1 шт., береза 1 шт., туя 2 шт., яблоня 5 шт., смородина 1 шт., калина 1 шт.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Победителю аукциона необходимо соблюдать следующие условия строительства, а также проектом предусмотреть: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1. Нанесение существующих деревьев </w:t>
              <w:br/>
              <w:t> на стройгенплане;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2. Снос деревьев, попадающих в пятно застройки, вести на основании акта комиссионного обследования земельных насаждений в соответствии решением Пермской городской Думы от 15.12.2020 № 277. Указанный акт должен быть составлен на основании проектной документации. Остальные деревья сохранить;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3. Восстановление зеленых насаждений вести </w:t>
              <w:br/>
              <w:t> в соответствии с решением Пермской городской Думы от 15.12.2020 № 277;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4. Сбор и отвод ливневых вод с использованием вариантов решений в зависимости от: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наличия централизованной системы ливневой канализации;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площади водосбора с учетом транзитных вод </w:t>
              <w:br/>
              <w:t> с прилегающей территории;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в) угла наклона рельефа, включающего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прилегающие территории;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г) применения иных решений равномерного отвода поверхностного стока с запрашиваемой территории </w:t>
              <w:br/>
              <w:t> на прилегающие территории.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5. Определение видов образующихся отходов и мест их размещения на период эксплуатации;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6. Конкретные мероприятия по охране окружающей среды на период строительства, включая: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установку временного защитного ограждения строительной площадки;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ограждение существующих зеленых насаждений, </w:t>
              <w:br/>
              <w:t> не попадающих под пятно застройки;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- прокладку коммуникаций осуществлять </w:t>
              <w:br/>
              <w:t xml:space="preserve"> на расстоянии не менее 2 м. от ствола дерева, чтобы </w:t>
              <w:br/>
              <w:t> не повредить корневую систему;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- не использовать приствольные круги существующих деревьев (диаметром 1м) под складирование материалов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br/>
              <w:t> и установки временных сооружений;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- определение видов и объемов образующихся отходов и мест их размещения;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систематический вывоз отходов;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недопущение загрязнения атмосферы, почвы </w:t>
              <w:br/>
              <w:t> и подземных вод;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предотвращение выноса грязи автотранспортом, выезжающим со строительной площадки.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(Аналогичная информация отражена в письме  у</w:t>
            </w:r>
            <w:r>
              <w:rPr>
                <w:b/>
                <w:bCs w:val="false"/>
                <w:color w:val="000000"/>
                <w:sz w:val="24"/>
                <w:szCs w:val="24"/>
              </w:rPr>
              <w:t>правления по экологии и природопользованию администрации города Перми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от 29.05.2024 № 059-33-01-10/3-310).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бюджетом города Перми на 2024 год и плановый период 2025-2026 годов мероприятий по строительству, реконструкции, капитальному ремонту улично-дорожной сети на рассматриваемой территории </w:t>
              <w:br/>
              <w:t> не запланировано.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примыкания Участка к улично-дорожной сети города Перми необходимо: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разработать проект организации дорожного движения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и согласовать в установленном порядке </w:t>
              <w:br/>
              <w:t> с ГКУ «Центр безопасности дорожного движения Пермского края» (ул. Пермская, 164, тел. 236-21-84);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для выдачи согласия, утверждены Постановлением администрации города Перми от 31.01.2022 № 45).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Также направляется информация о соблюдении</w:t>
              <w:br/>
              <w:t> при строительстве объектов недвижимости на земельных участках, предоставленных на торгах, Правил благоустройства территории города Перми, утвержденных решением Пермской городской Думы от 15.12.2020 № 277: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поверхностный водоотвод решить проектом без подтопления смежных территорий, в соответствии с действующими нормативно-правовыми актами и природоохранным законодательством;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предусмотреть электроосвещение территории объекта;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стоянку для временного хранения транспорта разместить в границах отведенного под строительство земельного участка вне территории общего пользования;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предусмотреть устройство подъезда к земельному участку или ликвидацию разрушений, повреждений дорожного покрытия существующего проезда от границ земельного участка до существующей улично-дорожной сети города Перми, а также наружное освещение подъезда.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сведения сообщается, что в соответствии </w:t>
              <w:br/>
              <w:t xml:space="preserve"> с Федеральным законом от 08.11.2007 № 257-ФЗ </w:t>
              <w:br/>
              <w:t> «Об автомобильных дорогах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и о дорожной деятельности в Российской Федерации и о внесении изменений </w:t>
              <w:br/>
              <w:t xml:space="preserve"> в отдельные законодательные акты Российской Федерации», расходы на строительство, реконструкцию, капитальный ремонт, ремонт пересечений </w:t>
              <w:br/>
              <w:t> и примыканий, в том числе расходы на выполнение дополнительных работ, связанных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</w:t>
              <w:br/>
              <w:t> или примыканий.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color w:val="000000"/>
                <w:sz w:val="24"/>
                <w:szCs w:val="24"/>
              </w:rPr>
              <w:t>епартамента дорог и благоустройства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16.05.2024 № 059-24-01-36/3-1630).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Строительство пожарного водоема на указанной территории не запланировано. Ближайшее подразделение пожарной охраны расположено по адресу: г. Пермь, ул. Беляева, 29 (ПСЧ-2 10-ПСО). На указанной территории имеется следующий источник противопожарного водоснабжения (пожарный гидрант), расположенный по ул. Космонавта Леонова, 90.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Объекты общественной безопасности, отнесенные </w:t>
              <w:br/>
              <w:t xml:space="preserve"> к объектам полиции (участковые пункты полиции) </w:t>
              <w:br/>
              <w:t xml:space="preserve"> в данном микрорайоне отсутствуют. Ближайший участковый пункт расположен по адресу: г. Пермь, </w:t>
              <w:br/>
              <w:t> ул. Экскаваторная, д 57, (м-н Нагорный, Индустриальный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</w:t>
              <w:br/>
              <w:t> СП 165.1325800.2014 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При размещении объектов на Участке необходимо соблюдать нормы и требования действующего законодательства: Федеральных законов от 21 декабря 1994 г. № 69-ФЗ «О пожарной безопасности» и от 22 июля 2008 г. № 123-ФЗ «Технический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и градостроительной деятельности Пермского края от 25.02.2021№ 31-02-1-4-248,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иной документации, касающейся норм противопожарной безопасности (предусмотрев и запроектировав соответствующее расстояние между строений </w:t>
              <w:br/>
              <w:t xml:space="preserve"> для обеспечения подъезда и разворота пожарной техники, а также источники противопожарного водоснабжения с пожарными гидрантами, которые надлежит размещать из условия обслуживания ими зданий, находящихся в радиусе 200 м. Ширина проездов для пожарной техники в зависимости </w:t>
              <w:br/>
              <w:t xml:space="preserve"> от высоты зданий или сооружений должна составлять </w:t>
              <w:br/>
              <w:t> не менее: 3,5 метров – при высоте зданий или сооружения до 13,0 метров включительно; 4,2 метра –  при высоте здания от 13,0 метров до 46,0 метров включительно;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br/>
              <w:t> 6,0 метров – при высоте здания более 46 метров).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 информации, предоставленной Министерством территориальной безопасности Пермского края, Участок попадает в зону возможного химического заражения </w:t>
              <w:br/>
              <w:t> в особый период.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21.05.2024 № 059-10-01-27/3-702).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период 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24.05.2024 № 059-04-17/3-491-ри).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Места для установки и эксплуатации рекламных конструкций, включенные в схему размещения рекламных конструкций на территории города Перми, утвержденную решением Пермской городской Думы от 23.08.2016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171, и места размещения НТО, включенные в схему размещения НТО на территории города Перми, утвержденную постановлением администрации города Перми от 02.08.2018 № 521, в границах Участка отсутствуют.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color w:val="000000"/>
                <w:sz w:val="24"/>
                <w:szCs w:val="24"/>
              </w:rPr>
              <w:t xml:space="preserve">епартамента экономики и промышленной политики администрации города Перми </w:t>
            </w:r>
            <w:r>
              <w:rPr>
                <w:color w:val="000000"/>
                <w:sz w:val="24"/>
                <w:szCs w:val="24"/>
              </w:rPr>
              <w:t>от 15.05.2024 № 059-13-01-04-858).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границах Участка отсутствуют: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- объекты культурного наследия, включенные </w:t>
              <w:br/>
              <w:t> 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выявленные объекты культурного наследия;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объекты, обладающие признаками объектов культурного наследия;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территории объектов культурного наследия;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зоны охраны объектов культурного наследия;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защитные зоны объектов культурного наследия;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Участок не связан с земельным участком </w:t>
              <w:br/>
              <w:t> в границах территории объекта культурного наследия;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режимах использования (ограничения/обременения) Участка отсутствуют;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Данные о проведенных историко-культурных исследованиях в границах Участка отсутствуют;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границах Участка отсутствует необходимость проведения историко-культурной экспертизы.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>осударственной инспекции по охране объектов культурного наследия Пермского края</w:t>
            </w:r>
            <w:r>
              <w:rPr>
                <w:color w:val="000000"/>
                <w:sz w:val="24"/>
                <w:szCs w:val="24"/>
              </w:rPr>
              <w:t xml:space="preserve"> от 21.05.2024 № Исх55-01-17.2-218).</w:t>
            </w:r>
          </w:p>
          <w:p>
            <w:pPr>
              <w:pStyle w:val="BodyText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41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Согласно градостроительному плану Земельного участка от 29.05.2024 № РФ-59-2-03-0-00-2024-1050-0 (далее – ГПЗУ): Минимальный отступ от границ земельного участка – 3 м, до места допустимого размещения зданий, строений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границ смежных земельных участков при блокированной жилой застройке).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– 40 %.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Предельная высота зданий, сооружений – не более 10,5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случае если в границах территориальной зоны предусматривается осуществление деятельности </w:t>
              <w:br/>
              <w:t> по комплексному развитию территории, расчет показателей минимально допустимого уровня обеспеченности территории объектами коммунальной, транспортной,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социальной инфраструктур и расчет  показателей максимально допустимого уровня территориальной доступности указанных объектов </w:t>
              <w:br/>
              <w:t xml:space="preserve"> для населения осуществляются в соответствии </w:t>
              <w:br/>
              <w:t> с утвержденными нормативами градостроительного проектирования.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Проектирование и строительство необходимо вести </w:t>
              <w:br/>
              <w:t> в соответствии с пунктом 4.5 СП 55.13330.2016 Свода Правил. Дома жилые одноквартирные.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Дом должен включать комнаты - одну или несколько (общую комнату или гостиную, спальню), а также вспомогательные помещения: переднюю, кухню [в том числе кухню-столовую и (или) кухню-нишу], ванные комнаты и (или) душевые, туалет (уборную) или совмещенный санузел, переднюю. Согласно пункту 6.1 СП 55.13330.2016 площади помещений строящихся и реконструируемых жилых домов должны быть не менее: общей комнаты в однокомнатном доме - 14 м2, общей комнаты в доме с числом комнат две и более - </w:t>
              <w:br/>
              <w:t> 16 м2, спальни - 8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(на двух человек - 10 м2); кухни - </w:t>
              <w:br/>
              <w:t xml:space="preserve"> 8 м2; кухонной зоны в кухне-столовой - 6 м2. В домах </w:t>
              <w:br/>
              <w:t xml:space="preserve"> с одной комнатой допускается проектировать кухни </w:t>
              <w:br/>
              <w:t> или кухни-ниши площадью не менее 5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Площадь спальни и кухни в мансардном этаже </w:t>
              <w:br/>
              <w:t> (или этаже с наклонными ограждающими конструкциями) допускается не менее 7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Высота (от пола до потолка) комнат и кухни (кухни-столовой) в климатических районах строительства IА, IБ, IГ, IД, определяемых по </w:t>
            </w:r>
            <w:r>
              <w:rPr>
                <w:color w:val="000000"/>
                <w:sz w:val="24"/>
                <w:u w:val="single"/>
              </w:rPr>
              <w:t>СП 131.13330</w:t>
            </w:r>
            <w:r>
              <w:rPr>
                <w:color w:val="000000"/>
                <w:sz w:val="24"/>
              </w:rPr>
              <w:t>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не менее 2,2 м. 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жилых комнатах 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кухнях, расположенных </w:t>
              <w:br/>
              <w:t> 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Победителю аукциона (единственному участнику) рекомендовано обратиться в уполномоченный орган </w:t>
              <w:br/>
              <w:t> с уведомлением о планируемом строительстве жилого дома.</w:t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17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0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Имеется возможность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ПАО «Россети Урал» – филиал «Пермэнерго»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>16.05.2024 № ПЭ/ПГЭС/22/304).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Имеется возможность технологического присоединения к тепловым сетям. Возможные точки присоединения к тепловым сетям: К-455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на тепловой сети М2-02 2Ду800мм. Источник теплоснабжения: ТЭЦ-9. Тепловая нагрузка в возможных точках подключения 0,05 Гкал/ч.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ПАО «Т Плюс»</w:t>
            </w:r>
            <w:r>
              <w:rPr>
                <w:color w:val="000000"/>
                <w:sz w:val="24"/>
                <w:szCs w:val="24"/>
              </w:rPr>
              <w:t xml:space="preserve"> от 20.05.2024 № 51030-01-03112).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  <w:szCs w:val="24"/>
              </w:rPr>
              <w:t> от 16.05.2024 № ПФ-2875).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Отсутствует техническая возможность подключения объекта к централизованным системам водоснабжения и водоотведения, поскольку 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Ближайшие сети водоснабжения и водоотведения, эксплуатируемые ООО «НОВОГОР-Прикамье», располагаются ориентировочно на расстояние – 0,97 км от Участка в районе здания по ул. Космонавта Леонова, 84а.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При проектировании могут быть применены альтернативные способы водоснабжения и водоотведения, без подключения к централизованным системам водопровода и канализации г. Перми (снабжение водой от скважины, отвод стоков </w:t>
              <w:br/>
              <w:t> на локальные очистные сооружения, канализование объекта в выгребную яму с последующим вывозом стоков спец. машинами), которые должны соответствовать всем нормативным требованиям Российской Федерации.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связи с тем, что ООО «НОВОГОР-Прикамье» эксплуатирует только централизованные системы водоснабжения 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предлагается обратиться в соответствующие организации, регулирующие недропользование.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Кроме того, ООО «НОВОГОР-Прикамье» не располагает сведениями о наличии сетей 3-х лиц в границах Участка.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ООО «НОВОГОР-Прикамье» </w:t>
            </w:r>
            <w:r>
              <w:rPr>
                <w:color w:val="000000"/>
                <w:sz w:val="24"/>
                <w:szCs w:val="24"/>
              </w:rPr>
              <w:t>от 17.05.2024 № 110-7653).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Технологическое присоединение к сетям связи </w:t>
              <w:br/>
              <w:t> ПАО «Ростелеком» планируемых к строительству объектов в границах Участка может быть произведено к узлу ВОЛС (г. Пермь, ул. Космонавта Леонова, д. 12А), максимальную нагрузку в точке подключения (технологического присоединения) определить на  стадии проектирования,сети связи ПАО «Ростелеком»  и их охранные  зоны в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границах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земельного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участка</w:t>
            </w:r>
            <w:r>
              <w:rPr>
                <w:color w:val="000000"/>
              </w:rPr>
              <w:t xml:space="preserve">  </w:t>
            </w:r>
            <w:r>
              <w:rPr>
                <w:color w:val="000000"/>
                <w:sz w:val="24"/>
              </w:rPr>
              <w:t>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/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ПАО «Ростелеком»</w:t>
            </w:r>
            <w:r>
              <w:rPr>
                <w:color w:val="000000"/>
                <w:sz w:val="24"/>
                <w:szCs w:val="24"/>
              </w:rPr>
              <w:t xml:space="preserve"> от 17.05.2024 № 01/05/69387/24)</w:t>
            </w:r>
          </w:p>
          <w:p>
            <w:pPr>
              <w:pStyle w:val="BodyText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25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right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Победитель аукциона, иное лицо, с которым договор заключается в соответствии с п.13, п.14 или п. 20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false"/>
                <w:bCs w:val="false"/>
                <w:sz w:val="24"/>
                <w:szCs w:val="24"/>
              </w:rPr>
              <w:br w:type="textWrapping" w:clear="all"/>
            </w:r>
            <w:r>
              <w:rPr>
                <w:b w:val="false"/>
                <w:bCs w:val="false"/>
                <w:sz w:val="24"/>
                <w:szCs w:val="24"/>
              </w:rPr>
              <w:t>тел. 212-61-90 (отдел договоров)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341 300 руб.</w:t>
            </w:r>
          </w:p>
        </w:tc>
      </w:tr>
      <w:tr>
        <w:trPr>
          <w:trHeight w:val="225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10 239 руб.</w:t>
            </w:r>
          </w:p>
        </w:tc>
      </w:tr>
      <w:tr>
        <w:trPr>
          <w:trHeight w:val="498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1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Решение о проведении аукциона принято в соответствии со статьей 39.11 Земельного кодекса Российской Федерации, аукцион является открытым по составу участников.</w:t>
            </w:r>
          </w:p>
        </w:tc>
      </w:tr>
      <w:tr>
        <w:trPr>
          <w:trHeight w:val="557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170 650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144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утвержден постановлением администрации города Перми от 29.05.2015 № 322, является Приложением 3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spacing w:lineRule="exact" w:line="240"/>
        <w:ind w:right="-263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20"/>
          <w:tab w:val="left" w:pos="5103" w:leader="none"/>
        </w:tabs>
        <w:ind w:right="-263"/>
        <w:rPr>
          <w:sz w:val="20"/>
          <w:szCs w:val="20"/>
        </w:rPr>
      </w:pPr>
      <w:r>
        <w:rPr>
          <w:b/>
          <w:lang w:val="en-US"/>
        </w:rPr>
        <w:t>Лот № 3</w:t>
      </w:r>
    </w:p>
    <w:tbl>
      <w:tblPr>
        <w:tblW w:w="9915" w:type="dxa"/>
        <w:jc w:val="left"/>
        <w:tblInd w:w="-6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7"/>
        <w:gridCol w:w="2747"/>
        <w:gridCol w:w="6841"/>
      </w:tblGrid>
      <w:tr>
        <w:trPr>
          <w:trHeight w:val="426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23 августа 2024 г. № 21-01-03-7747 «О проведении аукциона на право заключения договора аренды земельного участка  в Индустриальном районе города Перми»</w:t>
            </w:r>
          </w:p>
        </w:tc>
      </w:tr>
      <w:tr>
        <w:trPr>
          <w:trHeight w:val="225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81" w:hRule="atLeast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край Пермский, городской округ Пермский, город Пермь, улица Промышленная, з/у 143е</w:t>
            </w:r>
          </w:p>
        </w:tc>
      </w:tr>
      <w:tr>
        <w:trPr>
          <w:trHeight w:val="321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 кв. м</w:t>
            </w:r>
          </w:p>
        </w:tc>
      </w:tr>
      <w:tr>
        <w:trPr>
          <w:trHeight w:val="345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59:01:4716062:548</w:t>
            </w:r>
          </w:p>
        </w:tc>
      </w:tr>
      <w:tr>
        <w:trPr>
          <w:trHeight w:val="285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232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служебные гаражи</w:t>
            </w:r>
          </w:p>
        </w:tc>
      </w:tr>
      <w:tr>
        <w:trPr>
          <w:trHeight w:val="670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670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23.10.2024г. № КУВИ-001/2024-260380889;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23.07.2024 № РФ-59-2-03-0-00-2024-1537-0 (далее – ГПЗУ).</w:t>
            </w:r>
          </w:p>
          <w:p>
            <w:pPr>
              <w:pStyle w:val="BodyText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709"/>
              <w:jc w:val="both"/>
              <w:rPr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Ближайшие источники противопожарного водоснабжения: пожарные гидранты по адресам: </w:t>
              <w:br/>
              <w:t xml:space="preserve"> г. Пермь, ул. Промышленная, 127 (собственник – </w:t>
              <w:br/>
              <w:t> ООО «ЛЛК-ИНТЕРНЕШНЛ»).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частично огорожен сборным железобетонным забором, на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Участке расположены неэксплуатируемый нестационарный объект, металлический гараж, производственные отходы. Часть Участка заросла древесно-кустарниковой растительностью. В границах земельного участка расположены бетонный столб, бетонный забор, сети связи, сети электроснабжения 0,4 кВ, вдоль юго-восточной границы земельного участка расположен бетонный забор, значительная часть земельного участка имеет покрытие – цемент.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администрации Индустриального района города Перми</w:t>
            </w:r>
            <w:r>
              <w:rPr>
                <w:color w:val="000000"/>
                <w:sz w:val="24"/>
                <w:szCs w:val="24"/>
              </w:rPr>
              <w:t xml:space="preserve"> от 22.08.2024 № 059-16-01-08/3-2355, акте обследования территории от 05.08.2024 № 129, геодезической съемке, представленной ООО «Триана»).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правообладателях вышеуказанных объектов в ЕГРН и Департаменте отсутствуют. Объекты установлены самовольно.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Вместе с тем по сведениям ЕГРН в границах Участка отсутствуют объекты капитального строительства.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случае выявления объектов некапитального типа победитель аукциона обязан осуществить демонтаж выявленных объектов за счет собственных средств и (или) с привлечением средств других лиц без отнесения соответствующих расходов  на территориальный орган администрации города Перми, департамент земельных отношений администрации города Перми или иной функциональный орган или подразделение администрации города Перми.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При проектировании и строительстве необходимо учитывать требования постановления Правительства Российской Федерации от 24.02.2009 № 160 «О порядке установления охранных зон объектов сетевого хозяйства и особых условий использования земельных участков, расположенных в границах таких зон», постановления Правительства Российской Федерации  от 09.06.1995 № 578 «Об утверждении Правил охраны линий и сооружений связи Российской Федерации».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сведениям, содержащимся в ЕГРН, ГПЗУ и справке по градостроительным условиям участка от 23.10.2024 № 610405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Участок расположен в ЗОУИТ: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полостью в границах зоны с особыми условиями использования территории Охранная зона транспорта «Зона с особыми условиями использования – Приаэродромная территория аэродрома аэропорта Большое Савино», реестровый номер 59:32-6.553 (Постановление Правительства Российской Федерации от 11.03.2010 № 138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«Об утверждении Федеральных правил использования воздушного пространства Российской Федерации»);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полостью расположен в границах зоны с особыми условиями использования территории Санитарно-защитная зона предприятий, сооружений и иных объектов «Санитарно-защитная зона для промышленной площадки промывочно-пропарочной станции Екатеринбургского филиала Публичного акционерного общества «Первая Грузовая Компания», 59:01-6.9445 (Решение Управления Федеральной службы по надзору в сфере защиты прав потребителей и благополучия человека по Пермскому краю от 29.07.2022 № 107 «Об установлении санитарно-защитной зоны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для промышленной площадки промывочно-пропарочной станции Екатеринбургского филиала Публичного акционерного общества «Первая Грузовая Компания» по адресу: Пермский край, </w:t>
              <w:br/>
              <w:t> г. Пермь, промзона «Осенцы» ул. Промышленная, 153»;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полностью в границах зоны с особыми условиями использования территории Санитарно-защитная зона предприятий, сооружений и иных объектов «Единая санитарно-защитная зона промузла «Осенцы», </w:t>
              <w:br/>
              <w:t> 59:00-6.30 (Постановление администрации города Перми от 20.06.2007 № 227 «Об утверждении проекта границ общей санитарнo-защитной зоны промышленного узла «Осенцы» в Индустриальном районе»);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полностью в границах зоны с особыми условиями использования территории Санитарно-защитная зона предприятий, сооружений и иных объектов «Санитарно-защитная зона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для ООО «ЛУКОЙЛ-Пермнефтеоргсинтез» с учетом строительства блока гликолевой осушки и строительства эстакады тактового налива светлых нефтепродуктов», 59:00-6.1604 (Решение Федеральной службы по надзору в сфере защиты прав потребителей и благополучия человека от 06.07.2020 № 126-PC33 «Об установлении санитарно- защитной зоны для промышленной площадки </w:t>
              <w:br/>
              <w:t> ООО «ЛУКОЙЛ-Пермнефтеоргсинтез» с учетом строительства блока гликолевой осушки  и строительства эстакады тактового налива светлых нефтепродуктов, расположенного по адресу: Пермский кран, г. Пермь, ул. Промышленная, д. 84»;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Постановлением Главного государственного санитарного врача Российской Федерации от 25.09.2007 № 74 (ред. от 28.02.2022)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установлен режим использования территории санитарно-защитной зоны. В санитарно-защитной зоне и на территории объектов других отраслей промышленности </w:t>
              <w:br/>
              <w:t> не допускается размещать объекты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 производству лекарственных веществ, лекарственных средств и (или) лекарственных форм, склады сырья  и полупродуктов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для фармацевтических предприятий; объекты пищевых отраслей промышленности, оптовые склады продовольственного сырья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и пищевых продуктов, комплексы водопроводных сооружений для подготовки и хранения питьевой воды, которые могут повлиять на качество продукции.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ind w:firstLine="709"/>
              <w:jc w:val="both"/>
              <w:rPr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Зеленые насаждения на испрашиваемом земельном участке отсутствуют.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Победителю аукциона необходимо соблюдать условия строительства, проектом предусмотреть: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 Благоустройство и озеленение выделенной территории.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 Сбор и отвод ливневых вод с использованием вариантов решений в зависимости от: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наличия централизованной системы ливневой канализации;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б) площади водосбора с учетом транзитных вод</w:t>
              <w:br/>
              <w:t> с прилегающей территории;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угла наклона рельефа, включающий прилегающие территории;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применения иных решений равномерного отвода поверхностного стока с запрашиваемой территории </w:t>
              <w:br/>
              <w:t> на прилегающие территории.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1.3. Определение видов образующихся отходов </w:t>
              <w:br/>
              <w:t> и мест их размещения на период эксплуатации.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1.4. Конкретные мероприятия по охране окружающей среды 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период строительства, включая: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установку временного защитного ограждения строительной площадки,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определение видов и объемов образующихся отходов и мест их размещения,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систематический вывоз отходов,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- недопущение загрязнения атмосферы, почвы </w:t>
              <w:br/>
              <w:t> и подземных вод,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предотвращение выноса грязи автотранспортом, выезжающим со строительной площадки.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 w:val="false"/>
                <w:color w:val="000000"/>
                <w:sz w:val="24"/>
                <w:szCs w:val="24"/>
              </w:rPr>
              <w:t xml:space="preserve">управления по экологии и природопользованию администрации города Перми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от 22.07.2024 № 059-33-01-10/3-449).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бюджетом города Перми на 2024 год и плановый период 2025-2026 годов мероприятий по строительству, реконструкции, капитальному ремонту улично-дорожной сети на рассматриваемой территории </w:t>
              <w:br/>
              <w:t> не запланировано.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Организация плоскостных парковок общего пользования местного значения Планом развития парковочного пространства города Перми на 2024-2026 гг. на указанной территории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не предусмотрена.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примыкания земельного участка к улично-дорожной сети города Перми необходимо: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разработать проект организации дорожного движения и согласовать в установленном порядке </w:t>
              <w:br/>
              <w:t> с ГКУ «Центр безопасности дорожного движения Пермского края» (ул. Пермская, 164, тел. 236-21-84);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для выдачи согласия, утверждены Постановлением администрации города Перми от 31.01.2022 № 45).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Также направляется информация о соблюдении Правил благоустройства территории города Перми, утвержденных решением Пермской городской Думы от 15.12.2020 № 277,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при строительстве объектов недвижимости на земельных участках, предоставленных на торгах: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поверхностный водоотвод решить проектом без подтопления смежных территорий, в соответствии  с действующими нормативно-правовыми актами и природоохранным законодательством;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предусмотреть электроосвещение территории объекта;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стоянку для временного хранения транспорта разместить в границах отведенного под строительство земельного участка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вне территории общего пользования;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предусмотреть устройство подъезда к земельному участку или ликвидацию разрушений, повреждений дорожного покрытия существующего проезда от границ земельного участка до существующей улично-дорожной сети города Перми, а также наружное освещение подъезда.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Для сведения сообщается, что в соответствии с Федеральным законом от 08.11.2007 № 257-ФЗ «Об автомобильных дорогах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и о дорожной деятельности в Российской Федерации и о внесении изменений </w:t>
              <w:br/>
              <w:t> в отдельные законодательные акты Российской Федерации», расходы на строительство, реконструкцию, капитальный ремонт, ремонт пересечений и примыканий,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департамента дорог и благоустройства администрации города Перми от </w:t>
            </w:r>
            <w:r>
              <w:rPr>
                <w:color w:val="000000"/>
                <w:sz w:val="24"/>
                <w:szCs w:val="24"/>
              </w:rPr>
              <w:t>13.07.2024 № 059-24-01-36/3-2508).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Строительство пожарного водоема на указанной территории не запланировано. На указанной территории источники противопожарного водоснабжения отсутствуют.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Ближайшее подразделение пожарной охраны расположено по адресу: город Пермь, ул. Беляева, 29 (ПСЧ-2 10-ПСО).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При планировке и размещении объектов </w:t>
              <w:br/>
              <w:t> на вышеуказанной территории необходимо соблюдать нормы и требования действующего законодательства: федеральных законов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от 21 декабря 1994 г. № 69-ФЗ </w:t>
              <w:br/>
              <w:t> «О пожарной безопасности»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и от 22 июля 2008 г.</w:t>
              <w:br/>
              <w:t> 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123-ФЗ «Технический регламент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о требованиях 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 Ограничение распространения пожара на объектах защиты. Требования к объемно- планировочным и конструктивным решениям», утвержденных Приказом МЧС России от 24.04.2013</w:t>
            </w:r>
            <w:r>
              <w:rPr>
                <w:color w:val="000000"/>
              </w:rPr>
              <w:t xml:space="preserve"> № </w:t>
            </w:r>
            <w:r>
              <w:rPr>
                <w:color w:val="000000"/>
                <w:sz w:val="24"/>
              </w:rPr>
              <w:t>288 и иной документации, касающейся норм противопожарной безопасности.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По информации, предоставленной Министерством территориальной безопасности Пермского края, рассматриваемая территория попадает в зону возможного химического заражения  в особый период.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Объекты общественной безопасности, отнесенные</w:t>
              <w:br/>
              <w:t xml:space="preserve"> к объектам полиции (участковые пункты полиции) </w:t>
              <w:br/>
              <w:t> в данном микрорайоне отсутствуют. Ближайший участковый пункт полиции расположен по адресу ул. Экскаваторная, д. 57. В настоящее время в указанном микрорайоне Индустриального района, строительство (приобретение) участковых пунктов полиции не планируется.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Помещения 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информацией, предоставленной Министерством территориальной безопасности Пермского края,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особый период данная территория попадает в зону возможного химического заражения.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На указанном земельном участке оконечные устройства системы оповещения населения города Перми отсутствуют.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Для обеспечения покрытия запланированной территории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системой оповещения населения необходимо предусматривать размещение сиренно-речевых узлов согласно пунктам 6.38, 6.39  СП 165.1325800.2014 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color w:val="000000"/>
                <w:sz w:val="24"/>
                <w:szCs w:val="24"/>
              </w:rPr>
              <w:t>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 от 12.07.2024 № 059-10-01-27/3-1022).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На период до 2028 года на территории, где расположен Участок, схемами водоснабжения  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департамента жилищно-коммунального хозяйства администрации города Перми 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от 12.07.2024 № 059-04-17/3-666-ри).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Места для установки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и эксплуатации рекламных конструкций, включенный в схему размещения рекламных конструкций на территории города Перми, утвержденную решением Пермской городской Думы от 23.08.2016 № 171, и места размещения НТО, включенную в схему размещения НТО на территории города Перми, утвержденной постановлением администрации города Перми от 02.08.2018 № 521, </w:t>
              <w:br/>
              <w:t> в границах Участка отсутствуют. Договоры на размещение НТО в границах Участка не заключались.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color w:val="000000"/>
                <w:sz w:val="24"/>
                <w:szCs w:val="24"/>
              </w:rPr>
              <w:t xml:space="preserve">епартамента экономики и промышленной политики администрации города Перми </w:t>
            </w:r>
            <w:r>
              <w:rPr>
                <w:color w:val="000000"/>
                <w:sz w:val="24"/>
                <w:szCs w:val="24"/>
              </w:rPr>
              <w:t>от 10.07.2024 № 059-13-01-04-1291).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границах Участка отсутствуют: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- объекты культурного наследия, включенные</w:t>
              <w:br/>
              <w:t> 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выявленные объекты культурного наследия;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объекты, обладающие признаками объектов культурного наследия;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территории объектов культурного наследия;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зоны охраны объектов культурного наследия;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защитные зоны объектов культурного наследия;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не связан с земельным участком</w:t>
              <w:br/>
              <w:t> в границах территории объекта культурного наследия;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режимах использования (ограничения/обременения) Участка отсутствуют;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Данные о проведенных историко-культурных исследованиях в границах Участка отсутствуют;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границах Участка отсутствует необходимость проведения историко-культурной экспертизы.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b/>
                <w:color w:val="000000"/>
                <w:sz w:val="24"/>
                <w:szCs w:val="24"/>
              </w:rPr>
              <w:t>сударственной инспекции по охране объектов культурного наследия Пермского края</w:t>
            </w:r>
            <w:r>
              <w:rPr>
                <w:color w:val="000000"/>
                <w:sz w:val="24"/>
                <w:szCs w:val="24"/>
              </w:rPr>
              <w:t xml:space="preserve"> от 12.07.2024</w:t>
              <w:br/>
              <w:t> № Исх55-01-17.2-302).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</w:t>
            </w:r>
            <w:r>
              <w:rPr>
                <w:b/>
                <w:color w:val="000000"/>
                <w:sz w:val="24"/>
              </w:rPr>
              <w:t xml:space="preserve">протоколу заседания координационного совещания по обеспечению правопорядка </w:t>
              <w:br/>
              <w:t xml:space="preserve"> в Пермском крае от 16.03.2022 №74-гс </w:t>
              <w:br/>
              <w:t> </w:t>
            </w:r>
            <w:r>
              <w:rPr>
                <w:color w:val="000000"/>
                <w:sz w:val="24"/>
              </w:rPr>
              <w:t>для строительства объектов городской инфраструктуры (парков, скверов, торгово-развлекательных комплексов, иных зданий и сооружений) обязательным является условие по установке камер видеонаблюдения.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041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Согласно информации, содержащейся</w:t>
              <w:br/>
              <w:t> в градостроительном плане от 23.07.2024 № РФ-59-2-03-0-00-2024-1537-0 (далее – ГПЗУ):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Минимальный отступ от границ земельного участка до места допустимого размещения зданий, строений – </w:t>
              <w:br/>
              <w:t> 0 м. Предельное количество этажей и (или) предельная высота зданий, строений – без ограничений.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процент застройки в границах земельного участка, определяемый как отношений суммарной площади земельного участка, которая может быть застроена, ко всей площади земельного участка – без ограничений.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класс опасности объектов капитального строительства — III.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таблицей Б.1 «Показатели плотности застройки участков территориальных зон» СП 42.13330.2016. Свод правил. Градостроительство. Планировка и застройка городских и сельских поселений. Актуализированная редакция СНиП 2.07.01-89* коэффициент плотности застройки земельного участка в коммунально-складской зоне составляет 1,8.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Таким образом, предельные параметры разрешенного строительства на земельном участке составляют 1119,6 кв. м (622 кв. м х 1,8).</w:t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соответствии с пунктом 2.1.34. Решения Пермской городской Думы от 15.12.2020 № 277 «Об утверждении Правил благоустройства территории города Перми» </w:t>
              <w:br/>
              <w:t> 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(далее – колерный паспорт, Правила).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Колерный паспорт – документ, разрабатываемый </w:t>
              <w:br/>
              <w:t> в случаях, предусмотренных действующим законодательством, Правилами, для фасада здания, строения, сооружения при планируемом строительстве, реконструкции, капитальном ремонте, реставрации, приспособлении объекта культурного наследия для современного использования, а также при изменении внешнего вида здания, строения, сооружения, который устанавливает внешний облик (вид) фасада здания, строения, сооружения, включая требования  в отношении материалов, способов отделки и цветов фасадов, ограждающих конструкций (крыш (кровельного покрытия), ограждений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балконов, лоджий), мест для размещения средств размещения информации (вывесок, указателей с наименованиями улиц и номерами домов (зданий)), рекламных конструкций, а также мест для размещения, вида, цветового решения архитектурно-художественной подсветки.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Колерный паспорт подлежит согласованию </w:t>
              <w:br/>
              <w:t> с функциональным органом администрации города Перми, осуществляющим функции управления в сфере градостроительства.</w:t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17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2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 к сетям газоснабжения имеется. Возможная точка подключения - газопровод низкого давления по ул. Промышленной (собственник – ООО «Эрготек»).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Ориентировочное расстояние от точки подключения до границ испрашиваемого земельного участка составляет 7 п.м.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в соответствии с п. 1.6 «Правил подключения...», утвержденных Постановлением правительства РФ от 30.09.2021</w:t>
            </w:r>
            <w:r>
              <w:rPr>
                <w:color w:val="000000"/>
              </w:rPr>
              <w:t xml:space="preserve"> № </w:t>
            </w:r>
            <w:r>
              <w:rPr>
                <w:color w:val="000000"/>
                <w:sz w:val="24"/>
              </w:rPr>
              <w:t>1547 в Пермский районный филиал АО «Газпром газораспределение Пермь» по адресу: г. Пермь, ул. Оверятская, 54, отдел «ЕЦПУ» тел: (342)220-02-30.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  <w:szCs w:val="24"/>
              </w:rPr>
              <w:t> от 22.08.2024 № ПР-3580).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Ближайшие сети водоснабжения и водоотведения, эксплуатируемые ООО «НОВОГОР-Прикамье», располагаются ориентировочно в радиусе – 5,6 км </w:t>
              <w:br/>
              <w:t> от Участка.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ООО «НОВОГОР-Прикамье» не располагает сведениями о наличии сетей 3-х лиц в границах Участка.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Победителю аукциона для получения информации возможности подключения Участка рекомендуется обратиться к правообладателям близлежащих сетей водоснабжения и водоотведения.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ООО «Новогор-Прикамье» </w:t>
            </w:r>
            <w:r>
              <w:rPr>
                <w:color w:val="000000"/>
                <w:sz w:val="24"/>
                <w:szCs w:val="24"/>
              </w:rPr>
              <w:t>от 17.07.2024 № 110-11623).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находится вне зоны теплоснабжения</w:t>
              <w:br/>
              <w:t> ПАО «Т Плюс».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>Пермские тепловые сети Филиал ПАО «Т Плюс»</w:t>
            </w:r>
            <w:r>
              <w:rPr>
                <w:color w:val="000000"/>
                <w:sz w:val="24"/>
                <w:szCs w:val="24"/>
              </w:rPr>
              <w:t xml:space="preserve"> от 11.07.2024 № 51000-32-02254).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к сетям теплоснабжения отсутствует, рекомендуем рассмотреть альтернативный источник теплоснабжения – газ.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color w:val="000000"/>
                <w:sz w:val="24"/>
                <w:szCs w:val="24"/>
              </w:rPr>
              <w:t xml:space="preserve">епартамента жилищно-коммунального хозяйства администрации города Перми </w:t>
            </w:r>
            <w:r>
              <w:rPr>
                <w:color w:val="000000"/>
                <w:sz w:val="24"/>
                <w:szCs w:val="24"/>
              </w:rPr>
              <w:t>от 01.08.2024 № 059-04-25/3-89-ри).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О возможности технологического присоединения к электросетям филиала объекта капитального строительства, расположенного на Участке, с предполагаемой максимальной мощностью энергопринимающих устройств 100,76 кВт сообщается следующее.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Правилами технологического        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к электрическим сетям, утвержденными Постановлением Правительства РФ от 27.12.2004 г. № 861 (далее – Правила ТП), конкретные технические условия на энергоснабжение объекта будут разработаны в составе договора о технологическом присоединении.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Плата за технологическое присоединение энергопринимающих устройств устанавливается исходя из стоимости мероприятий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 технологическому присоединению, размер платы определяется по утвержденным тарифам согласно постановлению Министерства тарифного регулирования и энергетики Пермского края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от 23.11.2023 № 121-тп (в последней редакции).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Для заключения договора на технологическое присоединение необходимо представить письменную заявку с приложением необходимых документов  и сведений, указанных в п. 9 Правил.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Дополнительно сообщается, что электроснабжение объектов, размещаемых на указанных площадках, возможно будет осуществить при условии строительства питающих линий электропередач 0,4 кВ на основании договора об осуществлении технологического присоединения объекта </w:t>
              <w:br/>
              <w:t> к электрическим сетям филиала «Пермэнерго» (при подготовке ГПЗУ необходимо предусмотреть трассы для строительства ЛЭП 0,4 кВ).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компаний «Россети» на сайте: </w:t>
            </w:r>
            <w:r>
              <w:rPr>
                <w:color w:val="0000FF"/>
                <w:sz w:val="24"/>
                <w:u w:val="single"/>
              </w:rPr>
              <w:t>https://портал-тп.рф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или через Мобильное приложение ПАО «Россети».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ПАО «Россети Урал» – филиал «Пермэнерго» </w:t>
            </w:r>
            <w:r>
              <w:rPr>
                <w:color w:val="000000"/>
                <w:sz w:val="24"/>
                <w:szCs w:val="24"/>
              </w:rPr>
              <w:t xml:space="preserve">от 11.07.2024 </w:t>
              <w:br/>
              <w:t> № ПЭ/ПГЭС/01/22/7089).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Технологическое присоединение к сетям связи</w:t>
              <w:br/>
              <w:t> ПАО «Ростелеком» планируемых к строительству объектов в границах Участка может быть произведено</w:t>
              <w:br/>
              <w:t xml:space="preserve"> в точке подключения узел ВОЛС (г. Пермь, </w:t>
              <w:br/>
              <w:t> ул. 2-я Красавинская, д. 79),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Для подключения (технологического присоединения) объектов капитального строительства  в границах Участка необходим запрос правообладателя земельного участка на выдачу технических условий (далее – ТУ) или заявки о заключении договора о подключении в порядке, определенном действующим законодательством.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Срок действия ТУ составляет 3 года (при комплексном развитии территории – 5 лет) со дня выдачи.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В случае, если в течение 1 года (при комплексном развитии территории – 3 лет)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со дня выдачи ТУ заявителем не будет подана заявка о подключении, срок действия ТУ прекращается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РФ </w:t>
              <w:br/>
              <w:t> от 01.07.2022 № 1196).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Для получения ТУ на подключение к сетям связи</w:t>
              <w:br/>
              <w:t xml:space="preserve"> ПАО «Ростелеком» необходимо направить письменный запрос по адресу: г. Пермь, ул. Крупской, д. 2, e-mail: </w:t>
            </w:r>
            <w:hyperlink r:id="rId13" w:tgtFrame="mailto:perm-mail@ural.rt.ru">
              <w:r>
                <w:rPr>
                  <w:rStyle w:val="Hyperlink"/>
                  <w:color w:val="0000FF"/>
                  <w:sz w:val="24"/>
                  <w:u w:val="single"/>
                </w:rPr>
                <w:t>perm-mail@ural.rt.ru</w:t>
              </w:r>
            </w:hyperlink>
            <w:r>
              <w:rPr>
                <w:color w:val="000000"/>
                <w:sz w:val="24"/>
              </w:rPr>
              <w:t>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>ПАО «Ростелеком»</w:t>
            </w:r>
            <w:r>
              <w:rPr>
                <w:color w:val="000000"/>
                <w:sz w:val="24"/>
                <w:szCs w:val="24"/>
              </w:rPr>
              <w:t xml:space="preserve"> от 10.07.2024  № 01/05/98554/24).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Normal"/>
              <w:ind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25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spacing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Победитель аукциона, иное лицо, с которым договор заключается в соответствии с п.13, п.14 или п. 20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5 дней</w:t>
            </w:r>
            <w:r>
              <w:rPr>
                <w:color w:val="000000"/>
                <w:sz w:val="24"/>
                <w:szCs w:val="24"/>
              </w:rPr>
              <w:t xml:space="preserve"> 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  </w:t>
            </w:r>
            <w:r>
              <w:rPr>
                <w:b/>
                <w:color w:val="000000"/>
                <w:sz w:val="24"/>
                <w:szCs w:val="24"/>
              </w:rPr>
              <w:t xml:space="preserve">однократно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за весь срок действия договора аренды</w:t>
            </w:r>
            <w:r>
              <w:rPr>
                <w:color w:val="000000"/>
                <w:sz w:val="24"/>
                <w:szCs w:val="24"/>
              </w:rPr>
              <w:t xml:space="preserve"> на счет департамента земельных отношений администрации города Перми, 614015, ул. Сибирская,15, </w:t>
              <w:br/>
              <w:t> тел. 212-61-90 (отдел договоров)</w:t>
            </w:r>
          </w:p>
          <w:p>
            <w:pPr>
              <w:pStyle w:val="Normal"/>
              <w:ind w:right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128 000 руб.</w:t>
            </w:r>
          </w:p>
        </w:tc>
      </w:tr>
      <w:tr>
        <w:trPr>
          <w:trHeight w:val="225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3 840 руб.</w:t>
            </w:r>
          </w:p>
        </w:tc>
      </w:tr>
      <w:tr>
        <w:trPr>
          <w:trHeight w:val="498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4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Решение о проведении аукциона принято в соответствии со статьей 39.11 Земельного кодекса Российской Федерации. Аукцион является открытым по составу участников.</w:t>
            </w:r>
          </w:p>
        </w:tc>
      </w:tr>
      <w:tr>
        <w:trPr>
          <w:trHeight w:val="557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64 000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6 месяцев</w:t>
            </w:r>
          </w:p>
        </w:tc>
      </w:tr>
      <w:tr>
        <w:trPr>
          <w:trHeight w:val="144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утвержден постановлением администрации города Перми от 29.05.2015 № 322, является Приложением 4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spacing w:lineRule="exact" w:line="240"/>
        <w:ind w:right="-263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20"/>
          <w:tab w:val="left" w:pos="5103" w:leader="none"/>
        </w:tabs>
        <w:ind w:right="-26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5103" w:leader="none"/>
        </w:tabs>
        <w:ind w:right="-263"/>
        <w:rPr>
          <w:sz w:val="20"/>
          <w:szCs w:val="20"/>
        </w:rPr>
      </w:pPr>
      <w:r>
        <w:rPr>
          <w:b/>
          <w:lang w:val="en-US"/>
        </w:rPr>
        <w:t>Лот № 4</w:t>
      </w:r>
    </w:p>
    <w:tbl>
      <w:tblPr>
        <w:tblW w:w="5000" w:type="pct"/>
        <w:jc w:val="left"/>
        <w:tblInd w:w="-6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7"/>
        <w:gridCol w:w="2756"/>
        <w:gridCol w:w="6838"/>
      </w:tblGrid>
      <w:tr>
        <w:trPr>
          <w:trHeight w:val="426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04 сентября 2024 г. № 21-01-03-8075 «О проведении аукциона на право заключения договора аренды земельного участка  в Орджоникидзевском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81" w:hRule="atLeast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Белорусская, з/у 1х</w:t>
            </w:r>
          </w:p>
        </w:tc>
      </w:tr>
      <w:tr>
        <w:trPr>
          <w:trHeight w:val="321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 кв. м</w:t>
            </w:r>
          </w:p>
        </w:tc>
      </w:tr>
      <w:tr>
        <w:trPr>
          <w:trHeight w:val="345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59:01:3812839:167</w:t>
            </w:r>
          </w:p>
        </w:tc>
      </w:tr>
      <w:tr>
        <w:trPr>
          <w:trHeight w:val="285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232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 (2.1)</w:t>
            </w:r>
          </w:p>
        </w:tc>
      </w:tr>
      <w:tr>
        <w:trPr>
          <w:trHeight w:val="670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670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22.10.2024г.</w:t>
            </w:r>
          </w:p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КУВИ-001/2024-259589982;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30.08.2024 № РФ-59-2-03-0-00-2024-1843-0 (далее – ГПЗУ).</w:t>
            </w:r>
          </w:p>
          <w:p>
            <w:pPr>
              <w:pStyle w:val="BodyText"/>
              <w:ind w:firstLine="312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Согласно сведениям, содержащимся в ЕГРН, </w:t>
              <w:br/>
              <w:t> в границах Участка объекты капитального строительства отсутствуют.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 данным копии городского планшета М 1:500 </w:t>
              <w:br/>
              <w:t> от 03.09.2024 (требуется корректура топографической съемки) в границах Участка в северо-западной части расположен навес.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Участок ничем не огорожен, доступ не ограничен. На части Участка произрастают лиственные деревья и низкорослые кустарники.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На Участке расположена часть самовольной постройки, часть постройки расположена на земельном участке </w:t>
              <w:br/>
              <w:t> с кадастровым номером 59:01:3812839:168, складируется бытовой мусор. Иные объекты капитального/некапитального строительства отсутствуют. Над Участком происходит нависание электрических проводов.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Орджоникидзевским районным судом города Перми вынесено заочное решение </w:t>
              <w:br/>
              <w:t> от 20.12.2023 № 2-4460/2023 о признании объекта недвижимости самовольной постройкой и ее сносе.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администрации Орджоникидзевского района города Перми</w:t>
            </w:r>
            <w:r>
              <w:rPr>
                <w:color w:val="000000"/>
                <w:sz w:val="24"/>
                <w:szCs w:val="24"/>
              </w:rPr>
              <w:t> </w:t>
              <w:br/>
              <w:t xml:space="preserve"> от 30.08.2024 № 059-37-01-32/3-3599, акте обследования </w:t>
              <w:br/>
              <w:t> от 29.08.2024 № 245).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b/>
                <w:color w:val="000000"/>
                <w:sz w:val="24"/>
              </w:rPr>
              <w:t>В соответствии с пп. 8 п. 8 ст. 39.11 ЗК РФ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Участок, находящийся в государственной  или муниципальной собственности, не может быть предметом аукциона, если на Участке расположены здание, сооружение, объект незавершенного строительства, принадлежащие гражданам </w:t>
              <w:br/>
              <w:t> или юридическим лицам, за исключением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В связи с тем, что самовольная постройка согласно акту администрации Орджоникидзевского района от 29.08.2024 № 245 не демонтирована,</w:t>
            </w:r>
            <w:r>
              <w:rPr>
                <w:color w:val="000000"/>
              </w:rPr>
              <w:t> </w:t>
            </w:r>
            <w:r>
              <w:rPr>
                <w:b/>
                <w:color w:val="000000"/>
                <w:sz w:val="24"/>
              </w:rPr>
              <w:t>Участок предоставляется в аренду, победитель аукциона обязан за свой счет и (или) с привлечением средств других лиц осуществить снос самовольных построек в срок, не превышающий 12 месяцев, в отношении которых было принято решение о сносе самовольной постройки.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сведениям, предоставленным отделением надзорной деятельности и профилактической работы </w:t>
              <w:br/>
              <w:t xml:space="preserve"> г. Перми по Орджоникидзевскому району 1 ОНПР </w:t>
              <w:br/>
              <w:t> по городу Перми УНПР Главного управления МЧС России по Пермскому краю, пожарные водоемы расположены по адресу: Пермский край, г. Пермь, Орджоникидзевский район, ул. Новогодняя, 11.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По информации, содержащейся в ГПЗУ, ЕГРН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br/>
              <w:t xml:space="preserve"> и справке по градостроительным условиям от 22.10.2024 № 610300, Участок полностью расположен в границах зоны с особыми условиями использования территории: Приаэродромная территория аэродрома аэропорта Большое Савино, реестровый номер границы </w:t>
              <w:br/>
              <w:t> 59:32-6.553.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Проектирование и строительство вести в соответствии с постановлением Правительства Российской Федерации от 11.03.2010 № 138  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Участке произрастают 9 деревьев породы – береза 2 шт., ива 3 шт., калина 2 шт., рябина 2 шт.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Победителю аукциона необходимо соблюдать следующие условия строительства, а также проектом предусмотреть: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1. Нанесение существующих деревьев </w:t>
              <w:br/>
              <w:t> на стройгенплане;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2. Снос деревьев, попадающих в пятно застройки, вести на основании акта комиссионного обследования земельных насаждений в соответствии решением Пермской городской Думы от 15.12.2020 № 277. Указанный акт должен быть составлен на основании проектной документации. Остальные деревья сохранить;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3. Восстановление зеленых насаждений вести </w:t>
              <w:br/>
              <w:t> в соответствии с решением Пермской городской Думы от 15.12.2020 № 277;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4. Сбор и отвод ливневых вод с использованием вариантов решений в зависимости от: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- наличия централизованной системы ливневой канализации;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- площади водосбора с учетом транзитных вод </w:t>
              <w:br/>
              <w:t> с прилегающей территории;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- угла наклона рельефа, включающего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прилегающие территории;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- применения иных решений равномерного отвода поверхностного стока с запрашиваемой территории </w:t>
              <w:br/>
              <w:t> на прилегающей территории;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5. Определение видов образующих отходов и мест их размещения на период эксплуатации;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6. Конкретные мероприятия по охране окружающей среды на период строительства, включая: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установку временного защитного ограждения строительной площадки;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- ограждение существующих зеленых насаждений, не попадающих под пятно застройки;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- прокладку коммуникаций осуществлять </w:t>
              <w:br/>
              <w:t xml:space="preserve"> на расстоянии не менее 2 м. от ствола дерева, чтобы </w:t>
              <w:br/>
              <w:t> не повредить корневую систему;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- не использовать приствольные круги существующих деревьев (диаметром 1м) под складирование материалов и установки временных сооружений;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- определение видов и объемов образующихся отходов и мест их размещения;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систематический вывоз отходов;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- недопущение загрязнения атмосферы, почвы </w:t>
              <w:br/>
              <w:t> и подземных вод;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- предотвращение выноса грязи автотранспортом, выезжающим со строительной площадки.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Средняя стоимость в ценах 2024 года одного дерева лиственной породы от 17 тыс. руб., а хвойной – </w:t>
              <w:br/>
              <w:t> от 20 тыс. руб.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управления по экологии и природопользованию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администрации города Перми</w:t>
            </w:r>
            <w:r>
              <w:rPr>
                <w:color w:val="000000"/>
                <w:sz w:val="24"/>
                <w:szCs w:val="24"/>
              </w:rPr>
              <w:t> от 30.08.2024 № 059-33-01-10/3-573).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Для примыкания Участка к улично-дорожной сети города Перми необходимо: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разработать проект организации дорожного движения и согласовать в установленном порядке </w:t>
              <w:br/>
              <w:t> с ГКУ «Центр безопасности дорожного движения Пермского края» (ул. Пермская, 164, тел. 236-21-84);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для выдачи Согласия, утверждены Постановлением администрации города Перми от 31.01.2022 № 45).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Дополнительно направлена информация о соблюдении при строительстве объекта недвижимости на Участке, предоставленном на аукционе, Правил благоустройства территории города Перми, утвержденных решением Пермской городской Думы от 15.12.2020 № 277: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поверхностный водоотвод решить проектом </w:t>
              <w:br/>
              <w:t xml:space="preserve"> без подтопления смежных территорий, в соответствии </w:t>
              <w:br/>
              <w:t xml:space="preserve"> с действующими нормативно-правовыми актами </w:t>
              <w:br/>
              <w:t> и природоохранным законодательством;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предусмотреть электроосвещение территории объекта;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стоянку временного транспорта разместить </w:t>
              <w:br/>
              <w:t> в границах отведенного под строительство земельного участка вне территории общего пользования;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предусмотреть устройство подъезда к Участку </w:t>
              <w:br/>
              <w:t xml:space="preserve"> или ликвидацию разрушений, повреждений дорожного покрытия существующих проездов от границ Участка </w:t>
              <w:br/>
              <w:t> до существующей улично-дорожной сети, а также наружное освещение подъездов.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бюджетом города Перми на 2024 год и плановый период 2025-2026 годов мероприятий </w:t>
              <w:br/>
              <w:t> по строительству, реконструкции, капитальному ремонту улично-дорожной сети на данной территории не запланировано.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сведения сообщается, что в соответствии </w:t>
              <w:br/>
              <w:t xml:space="preserve"> с Федеральным законом от 08.11.2007 № 257-ФЗ </w:t>
              <w:br/>
              <w:t xml:space="preserve"> «Об автомобильных дорогах и о дорожной деятельности в Российской Федерации и о внесении изменений </w:t>
              <w:br/>
              <w:t xml:space="preserve"> 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 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</w:t>
              <w:br/>
              <w:t> или примыканий.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color w:val="000000"/>
                <w:sz w:val="24"/>
                <w:szCs w:val="24"/>
              </w:rPr>
              <w:t>епартамента дорог и благоустройства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26.08.2024 № 059-24-01-36/3-3098).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Строительство пожарного водоема на Участке не запланировано. Ближайшее подразделение пожарной охраны расположено по адресу: ул. Васнецова, 7 (ПСЧ-7 10-ПСО);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помещения для аварийно-спасательных формирований на Участке отсутствуют;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потребность в обеспечении служебными помещениями для аварийно-спасательных формирований в указанном микрорайоне отсутствует. На территории источники противопожарного водоснабжения отсутствуют.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объекты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общественной безопасности, отнесенные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br/>
              <w:t xml:space="preserve"> к объектам полиции (участковые пункты полиции) </w:t>
              <w:br/>
              <w:t> в данном микрорайоне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(Чапаево)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отсутствуют. Ближайший участковый пункт расположен по адресу: </w:t>
              <w:br/>
              <w:t> г. Пермь, ул. Переулок Талицкий, д. 8 (микрорайон Кислотные дачи, Орджоникидзевский район).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 информации, предоставленной Министерством территориальной безопасности Пермского края, Участок попадает в зону возможного химического заражения </w:t>
              <w:br/>
              <w:t> в особый период.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находится в зоне действия региональной автоматизированной системы централизованного оповещения населения города Перми, установленной по адресу: ул. Еловский переулок 1-й, 22, – 1500 м., ул. Ольховская, 2 – 1500 м.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26.08.2024 № 059-10-01-27/3-1325).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Места для установки и эксплуатации рекламных конструкций, включенные в схему размещения рекламных конструкций на территории города Перми, утвержденную решением Пермской городской Думы от 23.08.2016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 xml:space="preserve">171, и места размещения НТО, включенные в схему размещения НТО на территории города Перми, утвержденную постановлением администрации города Перми от 02.08.2018 № 521, </w:t>
              <w:br/>
              <w:t> в границах Участка отсутствуют.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Договоры на размещение НТО в границах Участка не заключались.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color w:val="000000"/>
                <w:sz w:val="24"/>
                <w:szCs w:val="24"/>
              </w:rPr>
              <w:t>епартамента экономики и промышленной политики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26.08.2024 № 059-13-01-04-1595).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границах Участка отсутствуют: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- объекты культурного наследия, включенные </w:t>
              <w:br/>
              <w:t> 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выявленные объекты культурного наследия;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объекты, обладающие признаками объектов культурного наследия;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территории объектов культурного наследия;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зоны охраны объектов культурного наследия;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защитные зоны объектов культурного наследия;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Участок не связан с земельным участком </w:t>
              <w:br/>
              <w:t> в границах территории объекта культурного наследия;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режимах использования (ограничения/обременения) Участка отсутствуют;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Данные о проведенных историко-культурных исследованиях в границах Участка отсутствуют;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Необходимость проведения историко-культурной экспертизы в границах Участка отсутствует.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>осударственной инспекция по охране объектов культурного наследия Пермского края</w:t>
            </w:r>
            <w:r>
              <w:rPr>
                <w:color w:val="000000"/>
                <w:sz w:val="24"/>
                <w:szCs w:val="24"/>
              </w:rPr>
              <w:t> от 23.08.2024 № Исх55-01-17.2-363).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041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Проектирование и строительство необходимо вести в соответствии с пунктом 4.5 СП 55.13330.2016 Свода Правил. Дома жилые одноквартирные. СНиП  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 (ред. от 17.05.2023): дом должен включать жилые комнаты – одну или несколько (общую комнату или гостиную, спальню), 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санузел. Согласно пункту 6.1  СП 55.13330.2016 площади помещений строящихся и реконструируемых жилых домов должны быть не менее: общей комнаты в однокомнатном доме - 14 м2, общей комнаты в доме с числом комнат две и более - 16 м2, спальни - 8 м2 (на двух человек - 10 м2); кухни - </w:t>
              <w:br/>
              <w:t xml:space="preserve"> 8 м2; кухонной зоны в кухне-столовой - 6 м2. В домах </w:t>
              <w:br/>
              <w:t xml:space="preserve"> с одной комнатой допускается проектировать кухни </w:t>
              <w:br/>
              <w:t xml:space="preserve"> или кухни-ниши площадью не менее 5 м2. Площадь спальни и кухни в мансардном этаже (или этаже </w:t>
              <w:br/>
              <w:t> с наклонными ограждающими конструкциями) допускается не менее 7 м2 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пункту 6.2 СП 55.13330.2016 высота </w:t>
              <w:br/>
              <w:t xml:space="preserve"> (от пола до потолка) комнат и кухни (кухни-столовой) </w:t>
              <w:br/>
              <w:t> 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а высота пути эвакуации - не менее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2,2 м.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жилых комнатах и кухнях, расположенных </w:t>
              <w:br/>
              <w:t> в этажах 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до потолка), относительно нормируемой на площади, не превышающей 50%.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информации, содержащейся в градостроительном плане земельного участка от 30.08.2024 № РФ-59-2-03-0-00-2024-1843-0 (далее – ГПЗУ), предельная высота зданий, строений  не более 10,5 м (документация по планировке территории, утвержденная постановлением администрации города Перми от 23.12.2015 № 1102).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BodyText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17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5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наличии технической возможности технологического присоединения энергопринимающего устройства объекта с предполагаемым электоропотреблением </w:t>
              <w:br/>
              <w:t> 15 кВт сообщается следующее.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 по утвержденным тарифам согласно постановлению РСТ Пермского края от 23.11.2023 № 121-тп </w:t>
              <w:br/>
              <w:t> (в последней редакции).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Электроснабжение объекта возможно будет осуществить при условии строительства питающей линии электропередачи 0,4 кВ на основании договора 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компаний «Россети» на сайте: </w:t>
            </w:r>
            <w:r>
              <w:rPr>
                <w:color w:val="000000"/>
                <w:sz w:val="24"/>
                <w:u w:val="single"/>
              </w:rPr>
              <w:t>https://портал-тп.рф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или через Мобильное приложение ПАО «Россети».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Филиала ПАО «Россети Урал» - «Пермэнерго»</w:t>
            </w:r>
            <w:r>
              <w:rPr>
                <w:color w:val="000000"/>
                <w:sz w:val="24"/>
                <w:szCs w:val="24"/>
              </w:rPr>
              <w:t> от 22.08.2024 № ПЭ/ПГЭС/01/22/8889).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8м3/час </w:t>
              <w:br/>
              <w:t> 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по типовой форме с приложением необходимых документов и сведений, указанных в пунктах 11 и 16 постановления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на электронную почту post@pf.ugaz.ru, либо почтовым отправлением по адресу: г. Пермь, ул. Уральская, 104, через Единый центр предоставления услуг по адресу: г.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Пермь, ул. Уральская, д. 104, через Единый центр предоставления услуг по адресу: г. Пермь, </w:t>
              <w:br/>
              <w:t> ул. Уральская, д. 104, каб. 101.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  <w:szCs w:val="24"/>
              </w:rPr>
              <w:t> от 27.08.2024 № ПФ-5551).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– 1,0 м3/сут. к централизованным системам водоснабжения и водоотведения сообщается следующее.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районе Участка отсутствуют централизованные сети водопровода и канализации, эксплуатируемые </w:t>
              <w:br/>
              <w:t> ООО «НОВОГОР-Прикамье».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Альтернативным методом снабжения водой может быть скважина, отвод стоков возможен на локальные очистные сооружения, либо в выгребную яму с последующим вывозом стоков спец. машинами,  при этом состав стоков должен соответствовать всем нормативным требованиям Российской Федерации.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В связи с тем, что ООО «НОВОГОР-Прикамье» эксплуатирует только централизованные системы водоснабжения и водоотведения, по вопросу возможности обеспечения жилого дома холодным водоснабжением от скважины и отвод канализационных локально, предлагаем вам обратиться в организации, регулирующие недропользование.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ООО «НОВОГОР-Прикамье» </w:t>
            </w:r>
            <w:r>
              <w:rPr>
                <w:color w:val="000000"/>
                <w:sz w:val="24"/>
                <w:szCs w:val="24"/>
              </w:rPr>
              <w:t>от 29.08.2024 № 110-14273).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Участок расположен вне зоны теплоснабжения </w:t>
              <w:br/>
              <w:t> ПАО «Т Плюс».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Рекомендуется обратиться к собственникам близлежащих тепловых сетей/источника теплоснабжения или рассмотреть альтернативный источник теплоснабжения.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>Филиала «Пермский ПАО «Т Плюс»</w:t>
            </w:r>
            <w:r>
              <w:rPr>
                <w:color w:val="000000"/>
                <w:sz w:val="24"/>
                <w:szCs w:val="24"/>
              </w:rPr>
              <w:t xml:space="preserve"> от 26.08.2024 № 51000-32-02817).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Технологическое присоединение к сетям связи </w:t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может быть произведено в точке подключения узел ВОЛС (г. Пермь, ул. Кронита, д. 8), максимальную нагрузку в точке подключения (технологического присоединения) возможно определить на стадии проектирования.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Для подключения (технологического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</w:t>
              <w:br/>
              <w:t> о заключении договора о подключении в порядке, определенном действующим законодательством.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Срок действия технических условий составляет 3 года со дня выдачи. В случае, если в течении 1 года </w:t>
              <w:br/>
              <w:t> со дня выдачи технических условий заявителем не будет подана заявка о подключении, срок действия технических условий прекращается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Российской Федерации от 01.07.2022  № 1196).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Для подключения (технологического присоединения) к сетям электросвязи ПАО «Ростелеком» необходимо обратиться  по адресу: г. Пермь, ул. Крупской, 2, тел.: +7 (342) 235-57-34 </w:t>
              <w:br/>
              <w:t xml:space="preserve"> или направить запрос на </w:t>
            </w:r>
            <w:hyperlink r:id="rId16" w:tgtFrame="mailto:perm-mail@ural.rt.ru">
              <w:r>
                <w:rPr>
                  <w:rStyle w:val="Hyperlink"/>
                  <w:color w:val="000000"/>
                  <w:sz w:val="24"/>
                </w:rPr>
                <w:t>perm-mail@ural.rt.ru</w:t>
              </w:r>
            </w:hyperlink>
            <w:r>
              <w:rPr>
                <w:color w:val="000000"/>
                <w:sz w:val="24"/>
              </w:rPr>
              <w:t>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ПАО «Ростелеком»  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от 11.10.2024 № 01/05/153174/24).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/>
            </w:pPr>
            <w:r>
              <w:rPr>
                <w:color w:val="000000"/>
                <w:sz w:val="24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предусмотрено строительство сетей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водоснабжения  и водоотведения в мкр. Чапаева с 2024 года (мероприятия не обеспечены финансированием).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>департамента жилищно-коммунального хозяйства</w:t>
            </w:r>
            <w:r>
              <w:rPr>
                <w:color w:val="000000"/>
                <w:sz w:val="24"/>
                <w:szCs w:val="24"/>
              </w:rPr>
              <w:t xml:space="preserve"> от 03.09.2024 № 059-04-17/3-878-ри).</w:t>
            </w:r>
          </w:p>
          <w:p>
            <w:pPr>
              <w:pStyle w:val="BodyText"/>
              <w:spacing w:before="0" w:after="0"/>
              <w:ind w:firstLine="413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right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Победитель аукциона, иное лицо, с которым договор заключается в соответствии с п.13, п.14 или п. 20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false"/>
                <w:bCs w:val="false"/>
                <w:sz w:val="24"/>
                <w:szCs w:val="24"/>
              </w:rPr>
              <w:br w:type="textWrapping" w:clear="all"/>
            </w:r>
            <w:r>
              <w:rPr>
                <w:b w:val="false"/>
                <w:bCs w:val="false"/>
                <w:sz w:val="24"/>
                <w:szCs w:val="24"/>
              </w:rPr>
              <w:t>тел. 212-61-90 (отдел договоров)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111 450 руб.</w:t>
            </w:r>
          </w:p>
        </w:tc>
      </w:tr>
      <w:tr>
        <w:trPr>
          <w:trHeight w:val="225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3 343,5 руб.</w:t>
            </w:r>
          </w:p>
        </w:tc>
      </w:tr>
      <w:tr>
        <w:trPr>
          <w:trHeight w:val="498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7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Решение о проведении аукциона принято в соответствии со статьей 39.11 Земельного кодекса Российской Федерации, </w:t>
            </w:r>
            <w:r>
              <w:rPr>
                <w:b/>
                <w:color w:val="000000"/>
                <w:sz w:val="24"/>
                <w:szCs w:val="24"/>
              </w:rPr>
              <w:t>аукцион является открытым по составу участников.</w:t>
            </w:r>
          </w:p>
        </w:tc>
      </w:tr>
      <w:tr>
        <w:trPr>
          <w:trHeight w:val="557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55 725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144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утвержден постановлением администрации города Перми от 29.05.2015 № 322, является Приложением 5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spacing w:lineRule="exact" w:line="240"/>
        <w:ind w:right="-263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09.11.2024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10.12.2024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 </w:t>
      </w:r>
      <w:r>
        <w:rPr>
          <w:rFonts w:eastAsia="Courier New"/>
          <w:b/>
          <w:bCs/>
          <w:lang w:bidi="ru-RU"/>
        </w:rPr>
        <w:t xml:space="preserve">11.12.2024.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12.</w:t>
      </w:r>
      <w:r>
        <w:rPr>
          <w:rFonts w:eastAsia="Courier New"/>
          <w:b/>
          <w:lang w:bidi="ru-RU"/>
        </w:rPr>
        <w:t>12.2024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8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09.11.2024 по 10.12.2024.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lang w:bidi="ru-RU"/>
        </w:rPr>
        <w:br w:type="textWrapping" w:clear="all"/>
      </w:r>
      <w:r>
        <w:rPr>
          <w:lang w:bidi="ru-RU"/>
        </w:rPr>
        <w:t xml:space="preserve">в течение трех рабочих дней со дня оформления протокола приема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 или единственного принявшего участие </w:t>
        <w:br/>
        <w:t>в аукционе участника.</w:t>
      </w:r>
    </w:p>
    <w:p>
      <w:pPr>
        <w:pStyle w:val="Normal"/>
        <w:widowControl w:val="false"/>
        <w:ind w:firstLine="567" w:left="-567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 w:type="textWrapping" w:clear="all"/>
      </w:r>
      <w:r>
        <w:rPr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</w:t>
        <w:br/>
        <w:t xml:space="preserve">в соответствии с пунктами 13, 14, 20, 25 ст.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</w:t>
        <w:br/>
        <w:t xml:space="preserve">от заключения указанных договоров,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jc w:val="center"/>
        <w:rPr>
          <w:rFonts w:eastAsia="Courier New"/>
          <w:lang w:bidi="ru-RU"/>
        </w:rPr>
      </w:pPr>
      <w:r>
        <w:rPr>
          <w:b/>
        </w:rPr>
        <w:t>Организатор аукциона вправе: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о проведении аукциона. 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Извещение об отказе </w:t>
        <w:br/>
        <w:t xml:space="preserve">в проведении аукциона размещается на официальном сайте организатором аукциона </w:t>
        <w:br/>
        <w:t>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случае отмены аукциона организатором аукциона (в т. ч. одного или нескольких лотов) </w:t>
      </w:r>
      <w:r>
        <w:rPr/>
        <w:br w:type="textWrapping" w:clear="all"/>
      </w:r>
      <w:r>
        <w:rPr/>
        <w:t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lang w:bidi="ru-RU"/>
        </w:rPr>
      </w:pPr>
      <w:r>
        <w:rPr>
          <w:rFonts w:eastAsia="Courier New"/>
          <w:b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b/>
          <w:color w:val="000000"/>
        </w:rPr>
      </w:pPr>
      <w:r>
        <w:rPr>
          <w:bCs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09.11.2024 по 10.12.2024 с 9.00 до 18.00 по местному времени (7:00 – 16:00 МСК). </w:t>
      </w:r>
    </w:p>
    <w:p>
      <w:pPr>
        <w:pStyle w:val="NormalWeb"/>
        <w:jc w:val="center"/>
        <w:rPr>
          <w:bCs/>
          <w:lang w:bidi="ru-RU"/>
        </w:rPr>
      </w:pPr>
      <w:r>
        <w:rPr>
          <w:b/>
          <w:color w:val="000000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hanging="0" w:left="0"/>
        <w:jc w:val="center"/>
        <w:outlineLvl w:val="0"/>
        <w:rPr>
          <w:b/>
          <w:bCs/>
        </w:rPr>
      </w:pPr>
      <w:r>
        <w:rPr>
          <w:b/>
          <w:bCs/>
        </w:rPr>
        <w:t xml:space="preserve">Требования к содержанию и составу заявки на участие в аукционе, инструкция </w:t>
      </w:r>
      <w:r>
        <w:rPr>
          <w:b/>
          <w:bCs/>
        </w:rPr>
        <w:br w:type="textWrapping" w:clear="all"/>
      </w:r>
      <w:r>
        <w:rPr>
          <w:b/>
          <w:bCs/>
        </w:rPr>
        <w:t>по её заполнению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hanging="0" w:left="0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/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/>
        <w:br w:type="textWrapping" w:clear="all"/>
      </w:r>
      <w:r>
        <w:rPr/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rFonts w:eastAsia="Calibri"/>
        </w:rPr>
      </w:pPr>
      <w:r>
        <w:rPr>
          <w:rFonts w:eastAsia="Courier New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3) надлежащим образом заверенный перевод на русский язык документов </w:t>
      </w:r>
      <w:r>
        <w:rPr>
          <w:rFonts w:eastAsia="Calibri"/>
        </w:rPr>
        <w:br w:type="textWrapping" w:clear="all"/>
      </w:r>
      <w:r>
        <w:rPr>
          <w:rFonts w:eastAsia="Calibri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8"/>
        <w:jc w:val="center"/>
        <w:rPr>
          <w:b/>
        </w:rPr>
      </w:pPr>
      <w:r>
        <w:rPr>
          <w:b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</w:rPr>
      </w:pPr>
      <w:r>
        <w:rPr>
          <w:b/>
        </w:rPr>
      </w:r>
    </w:p>
    <w:p>
      <w:pPr>
        <w:pStyle w:val="Normal"/>
        <w:ind w:firstLine="567" w:left="-567"/>
        <w:jc w:val="both"/>
        <w:rPr/>
      </w:pPr>
      <w:r>
        <w:rPr/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/>
      </w:pPr>
      <w:r>
        <w:rPr/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/>
      </w:pPr>
      <w:r>
        <w:rPr/>
        <w:t xml:space="preserve">Подача заявки осуществляется заявителем, зарегистрированным в торговой секции, </w:t>
      </w:r>
      <w:r>
        <w:rPr/>
        <w:br w:type="textWrapping" w:clear="all"/>
      </w:r>
      <w:r>
        <w:rPr/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/>
      </w:pPr>
      <w:r>
        <w:rPr/>
        <w:t xml:space="preserve">Заявитель вправе подать заявку в любое время с момента размещения извещения </w:t>
      </w:r>
      <w:r>
        <w:rPr/>
        <w:br w:type="textWrapping" w:clear="all"/>
      </w:r>
      <w:r>
        <w:rPr/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/>
      </w:pPr>
      <w:r>
        <w:rPr/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/>
      </w:pPr>
      <w:r>
        <w:rPr/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/>
      </w:pPr>
      <w:r>
        <w:rPr/>
        <w:t xml:space="preserve">Участие в аукционе возможно при наличии на лицевом счете заявителя денежных средств </w:t>
      </w:r>
      <w:r>
        <w:rPr/>
        <w:br w:type="textWrapping" w:clear="all"/>
      </w:r>
      <w:r>
        <w:rPr/>
        <w:t xml:space="preserve">в размере не менее чем размер задатка на участие в аукционе, предусмотренный извещением </w:t>
      </w:r>
      <w:r>
        <w:rPr/>
        <w:br w:type="textWrapping" w:clear="all"/>
      </w:r>
      <w:r>
        <w:rPr/>
        <w:t>о проведении аукциона.</w:t>
      </w:r>
    </w:p>
    <w:p>
      <w:pPr>
        <w:pStyle w:val="Normal"/>
        <w:ind w:firstLine="567" w:left="-567"/>
        <w:jc w:val="both"/>
        <w:rPr/>
      </w:pPr>
      <w:r>
        <w:rPr/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bCs/>
        </w:rPr>
      </w:pPr>
      <w:r>
        <w:rPr/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hanging="0" w:left="0"/>
        <w:jc w:val="both"/>
        <w:outlineLvl w:val="0"/>
        <w:rPr>
          <w:bCs/>
        </w:rPr>
      </w:pPr>
      <w:r>
        <w:rPr>
          <w:bCs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а) отсутствия на лицевом счете заявителя достаточной суммы денежных средств </w:t>
      </w:r>
      <w:r>
        <w:rPr>
          <w:bCs/>
        </w:rPr>
        <w:br w:type="textWrapping" w:clear="all"/>
      </w:r>
      <w:r>
        <w:rPr>
          <w:bCs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hanging="0" w:left="0"/>
        <w:jc w:val="both"/>
        <w:outlineLvl w:val="0"/>
        <w:rPr>
          <w:bCs/>
        </w:rPr>
      </w:pPr>
      <w:r>
        <w:rPr>
          <w:bCs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284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Протокол рассмотрения заявок на участие в аукционе подписывается не позднее чем </w:t>
      </w:r>
      <w:r>
        <w:rPr>
          <w:bCs/>
        </w:rPr>
        <w:br w:type="textWrapping" w:clear="all"/>
      </w:r>
      <w:r>
        <w:rPr>
          <w:bCs/>
        </w:rPr>
        <w:t>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284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</w:rPr>
      </w:pPr>
      <w:r>
        <w:rPr>
          <w:bCs/>
        </w:rPr>
      </w:r>
    </w:p>
    <w:p>
      <w:pPr>
        <w:pStyle w:val="Normal"/>
        <w:widowControl w:val="false"/>
        <w:ind w:left="502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rFonts w:eastAsia="Courier New"/>
          <w:lang w:bidi="ru-RU"/>
        </w:rPr>
      </w:pPr>
      <w:r>
        <w:rPr/>
        <w:t xml:space="preserve">Заявитель имеет право отозвать принятую организатором аукциона заявку на участие </w:t>
      </w:r>
      <w:r>
        <w:rPr/>
        <w:br w:type="textWrapping" w:clear="all"/>
      </w:r>
      <w:r>
        <w:rPr/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widowControl w:val="false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Определение участников аукциона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567" w:left="-567"/>
        <w:jc w:val="both"/>
        <w:rPr/>
      </w:pPr>
      <w:r>
        <w:rPr>
          <w:bCs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</w:rPr>
        <w:br w:type="textWrapping" w:clear="all"/>
      </w:r>
      <w:r>
        <w:rPr>
          <w:bCs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sz w:val="20"/>
        </w:rPr>
      </w:pPr>
      <w:r>
        <w:rPr/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z w:val="20"/>
        </w:rPr>
        <w:t xml:space="preserve">1) </w:t>
      </w:r>
      <w:r>
        <w:rPr/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/>
      </w:pPr>
      <w:r>
        <w:rPr/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По результатам рассмотрения заявок и документов к ним комиссия принимает решение </w:t>
        <w:br/>
        <w:t xml:space="preserve">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</w:t>
        <w:br/>
        <w:t xml:space="preserve">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рассмотрения </w:t>
        <w:br/>
        <w:t>и размещается на официальных сайтах и на электронной площадке не позднее чем на следующий день после дня подписания протокола.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Заявитель приобретает статус участника аукциона с момента подписания протокола </w:t>
      </w:r>
      <w:r>
        <w:rPr/>
        <w:br w:type="textWrapping" w:clear="all"/>
      </w:r>
      <w:r>
        <w:rPr/>
        <w:t>о признании претендентов участниками аукциона.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Normal"/>
        <w:widowControl w:val="false"/>
        <w:spacing w:lineRule="auto" w:line="276"/>
        <w:ind w:firstLine="567" w:left="-567"/>
        <w:jc w:val="both"/>
        <w:rPr/>
      </w:pPr>
      <w:r>
        <w:rPr/>
      </w:r>
    </w:p>
    <w:p>
      <w:pPr>
        <w:pStyle w:val="Normal"/>
        <w:jc w:val="center"/>
        <w:rPr>
          <w:rFonts w:eastAsia="Courier New"/>
          <w:b/>
          <w:bCs/>
          <w:lang w:bidi="ru-RU"/>
        </w:rPr>
      </w:pPr>
      <w:r>
        <w:rPr>
          <w:b/>
          <w:bCs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</w:rPr>
        <w:br w:type="textWrapping" w:clear="all"/>
      </w:r>
      <w:r>
        <w:rPr>
          <w:rFonts w:eastAsia="Calibri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>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</w:rPr>
        <w:br w:type="textWrapping" w:clear="all"/>
      </w:r>
      <w:r>
        <w:rPr>
          <w:rFonts w:eastAsia="Calibri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</w:rPr>
        <w:br w:type="textWrapping" w:clear="all"/>
      </w:r>
      <w:r>
        <w:rPr>
          <w:rFonts w:eastAsia="Calibri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hanging="0" w:left="0"/>
        <w:jc w:val="center"/>
        <w:outlineLvl w:val="0"/>
        <w:rPr>
          <w:bCs/>
        </w:rPr>
      </w:pPr>
      <w:r>
        <w:rPr>
          <w:b/>
          <w:bCs/>
        </w:rPr>
        <w:t>Порядок и срок заключения договора</w:t>
      </w:r>
      <w:r>
        <w:rPr>
          <w:b/>
          <w:bCs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</w:t>
        <w:br/>
        <w:t xml:space="preserve">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</w:t>
        <w:br/>
        <w:t>в государственной или муниципальной собственности, либо подписанный проект договора аренды такого участка.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По результатам проведения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bCs/>
        </w:rPr>
      </w:pPr>
      <w:r>
        <w:rPr>
          <w:bCs/>
        </w:rPr>
        <w:t>Проекты договоров являются частью извещения и представлены в Приложениях 2-5  к настоящему извещению.</w:t>
        <w:tab/>
      </w:r>
    </w:p>
    <w:p>
      <w:pPr>
        <w:pStyle w:val="Normal"/>
        <w:ind w:firstLine="567" w:left="-567"/>
        <w:jc w:val="both"/>
        <w:rPr>
          <w:bCs/>
        </w:rPr>
      </w:pPr>
      <w:r>
        <w:rPr>
          <w:bCs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департамент земельных отношений администрации города Перми,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67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>
          <w:bCs/>
        </w:rPr>
        <w:tab/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департамент земельных отношений администрации города Перми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67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</w:t>
        <w:br/>
        <w:t xml:space="preserve">с которыми указанные договоры заключаются в соответствии с пунктом 13, 14 или 20 </w:t>
        <w:br/>
        <w:t>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sectPr>
      <w:headerReference w:type="default" r:id="rId19"/>
      <w:headerReference w:type="first" r:id="rId20"/>
      <w:footerReference w:type="default" r:id="rId21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48</w:t>
    </w:r>
    <w:r>
      <w:rPr>
        <w:sz w:val="28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14" w:customStyle="1">
    <w:name w:val="Гиперссылка1"/>
    <w:qFormat/>
    <w:rPr>
      <w:color w:val="0000FF"/>
      <w:u w:val="single"/>
    </w:rPr>
  </w:style>
  <w:style w:type="character" w:styleId="Style17">
    <w:name w:val="Символ нумерации"/>
    <w:qFormat/>
    <w:rPr/>
  </w:style>
  <w:style w:type="paragraph" w:styleId="Style18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>
    <w:name w:val="index heading1"/>
    <w:basedOn w:val="Style18"/>
    <w:qFormat/>
    <w:pPr/>
    <w:rPr/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1" w:customStyle="1">
    <w:name w:val="index heading11"/>
    <w:basedOn w:val="Normal"/>
    <w:qFormat/>
    <w:pPr>
      <w:suppressLineNumbers/>
    </w:pPr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0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1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20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2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794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96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97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798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799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customStyle="1" w:styleId="800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02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3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4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5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6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7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8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9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0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2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3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4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5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6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7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8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9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0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2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3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824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825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26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827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28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829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830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83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83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83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83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83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83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customStyle="1" w:styleId="837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838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839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840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84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842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843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844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5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6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7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8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9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0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2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3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4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5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6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7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8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859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customStyle="1" w:styleId="860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customStyle="1" w:styleId="86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customStyle="1" w:styleId="862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customStyle="1" w:styleId="863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customStyle="1" w:styleId="864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customStyle="1" w:styleId="865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66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67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68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69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0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2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3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4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5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6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7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8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9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0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2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3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4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5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6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87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888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89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890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9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892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customStyle="1" w:styleId="893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4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5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6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7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8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9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00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0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902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903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904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905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906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907">
    <w:name w:val="Bordered &amp; Lined - Accent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08">
    <w:name w:val="Bordered &amp; Lined - Accent 1"/>
    <w:uiPriority w:val="99"/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909">
    <w:name w:val="Bordered &amp; Lined - Accent 2"/>
    <w:uiPriority w:val="99"/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910">
    <w:name w:val="Bordered &amp; Lined - Accent 3"/>
    <w:uiPriority w:val="99"/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911">
    <w:name w:val="Bordered &amp; Lined - Accent 4"/>
    <w:uiPriority w:val="99"/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912">
    <w:name w:val="Bordered &amp; Lined - Accent 5"/>
    <w:uiPriority w:val="99"/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913">
    <w:name w:val="Bordered &amp; Lined - Accent 6"/>
    <w:uiPriority w:val="99"/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914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915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916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917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918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919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920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torgi.gov.ru/" TargetMode="External"/><Relationship Id="rId10" Type="http://schemas.openxmlformats.org/officeDocument/2006/relationships/hyperlink" Target="http://www.gorodperm.ru/" TargetMode="External"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mailto:perm-mail@ural.rt.ru" TargetMode="External"/><Relationship Id="rId14" Type="http://schemas.openxmlformats.org/officeDocument/2006/relationships/hyperlink" Target="http://www.torgi.gov.ru/" TargetMode="External"/><Relationship Id="rId15" Type="http://schemas.openxmlformats.org/officeDocument/2006/relationships/hyperlink" Target="http://www.gorodperm.ru/" TargetMode="External"/><Relationship Id="rId16" Type="http://schemas.openxmlformats.org/officeDocument/2006/relationships/hyperlink" Target="mailto:perm-mail@ural.rt.ru" TargetMode="External"/><Relationship Id="rId17" Type="http://schemas.openxmlformats.org/officeDocument/2006/relationships/hyperlink" Target="http://www.torgi.gov.ru/" TargetMode="External"/><Relationship Id="rId18" Type="http://schemas.openxmlformats.org/officeDocument/2006/relationships/hyperlink" Target="http://utp.sberbank-ast.ru/AP/Notice/653/Requisites" TargetMode="External"/><Relationship Id="rId19" Type="http://schemas.openxmlformats.org/officeDocument/2006/relationships/header" Target="header1.xml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LibreOffice/7.6.7.2$Linux_X86_64 LibreOffice_project/60$Build-2</Application>
  <AppVersion>15.0000</AppVersion>
  <Pages>48</Pages>
  <Words>14393</Words>
  <Characters>104479</Characters>
  <CharactersWithSpaces>118794</CharactersWithSpaces>
  <Paragraphs>724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2024-09-02T08:08:00Z</dcterms:created>
  <dc:creator>Tatyannikova</dc:creator>
  <dc:description/>
  <dc:language>ru-RU</dc:language>
  <cp:lastModifiedBy/>
  <dcterms:modified xsi:type="dcterms:W3CDTF">2024-11-08T14:52:45Z</dcterms:modified>
  <cp:revision>54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