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13.11.2024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color w:val="000000"/>
          <w:sz w:val="28"/>
          <w:szCs w:val="28"/>
        </w:rPr>
        <w:t>Горшков О.С., начальник отдела градостроительства, земельных</w:t>
        <w:br/>
        <w:t xml:space="preserve"> и имущественных отношений администрации Свердловского района города Перми; </w:t>
      </w:r>
    </w:p>
    <w:p>
      <w:pPr>
        <w:pStyle w:val="Normal"/>
        <w:pBdr/>
        <w:spacing w:lineRule="auto" w:line="276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отношений администрации города Перми;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14.11.2024 (процедура №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SBR012-2410110043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, установила</w:t>
      </w:r>
      <w:r>
        <w:rPr>
          <w:bCs/>
          <w:sz w:val="28"/>
          <w:szCs w:val="28"/>
        </w:rPr>
        <w:t>:</w:t>
      </w:r>
    </w:p>
    <w:p>
      <w:pPr>
        <w:pStyle w:val="31"/>
        <w:spacing w:lineRule="auto" w:line="276"/>
        <w:ind w:firstLine="708"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b w:val="false"/>
          <w:bCs w:val="false"/>
          <w:sz w:val="28"/>
          <w:szCs w:val="28"/>
        </w:rPr>
        <w:t>п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раво заключения договора аренды земельного участка с кадастровым номером 59:01:4411009:190 площадью 776 кв. м., расположенного по адресу: Российская Федерация, Пермский край, г.о. Пермский, г. Пермь, ул. 1-я Липогорская, зу 8а, для индивидуального жилищного строительства. Разрешенное использование земельного участка – для индивидуального жилищного строительства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Шляпникова Анастасия Игоревна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07.11.2024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Садилова Ирина Николаевна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07.11.2024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Кашин Владислав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10.11.2024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Рогов Александр Андреевич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11.11.2024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Шилоносова Людмила Афонасьевна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11.11.2024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11.11.2024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 w:before="0" w:after="0"/>
        <w:ind w:firstLine="283"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Шляпникова Анастасия Игоревна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Садилова Ирина Николаевна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Кашин Владислав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Рогов Александр Андреевич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Шилоносова Людмила Афонасьевна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165 900,00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Шляпникова Анастасия Игоревна, Садилова Ирина Николаевна, Кашин Владислав Сергеевич, Рогов Александр Андреевич, Шилоносова Людмила Афонасьевна, Мудров Иван Юрьевич.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 xml:space="preserve">А.А. Хаткевич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О.С. Горшков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firstLine="7655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/>
        <w:ind w:hanging="283" w:left="7938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39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3</Pages>
  <Words>505</Words>
  <Characters>3810</Characters>
  <CharactersWithSpaces>4492</CharactersWithSpaces>
  <Paragraphs>64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2024-11-13T10:06:54Z</dcterms:modified>
  <cp:revision>1049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