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1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2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20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left="5664" w:firstLine="6"/>
        <w:spacing w:line="240" w:lineRule="exact"/>
        <w:tabs>
          <w:tab w:val="clear" w:pos="720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firstLine="5670"/>
        <w:spacing w:line="240" w:lineRule="exact"/>
        <w:tabs>
          <w:tab w:val="clear" w:pos="720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firstLine="5670"/>
        <w:spacing w:line="240" w:lineRule="exact"/>
        <w:tabs>
          <w:tab w:val="clear" w:pos="720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firstLine="5670"/>
        <w:spacing w:line="240" w:lineRule="exact"/>
        <w:tabs>
          <w:tab w:val="clear" w:pos="720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22.11.2024 № 059-19-01-11-117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left="283"/>
        <w:jc w:val="center"/>
        <w:tabs>
          <w:tab w:val="clear" w:pos="720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left="283"/>
        <w:jc w:val="center"/>
        <w:tabs>
          <w:tab w:val="clear" w:pos="720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26.12.2024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1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92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 Земельного кодекса Российской </w:t>
      </w:r>
      <w:r>
        <w:rPr>
          <w:shd w:val="clear" w:color="auto" w:fill="ffffff"/>
        </w:rPr>
        <w:t xml:space="preserve">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</w:t>
      </w:r>
      <w:r>
        <w:rPr>
          <w:shd w:val="clear" w:color="auto" w:fill="ffffff"/>
        </w:rPr>
        <w:t xml:space="preserve">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</w:t>
      </w:r>
      <w:r>
        <w:rPr>
          <w:shd w:val="clear" w:color="auto" w:fill="ffffff"/>
        </w:rPr>
        <w:t xml:space="preserve">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75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dio</w:t>
      </w:r>
      <w:r>
        <w:rPr>
          <w:bCs/>
          <w:sz w:val="24"/>
          <w:szCs w:val="24"/>
        </w:rPr>
        <w:t xml:space="preserve">@</w:t>
      </w:r>
      <w:r>
        <w:rPr>
          <w:bCs/>
          <w:sz w:val="24"/>
          <w:szCs w:val="24"/>
          <w:lang w:val="en-US"/>
        </w:rPr>
        <w:t xml:space="preserve">perm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permkrai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ru.</w:t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left" w:pos="9355" w:leader="none"/>
        </w:tabs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22.11.2024 № 059-19-01-11-117.</w:t>
      </w:r>
      <w:r/>
    </w:p>
    <w:p>
      <w:pPr>
        <w:pStyle w:val="823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12" w:tooltip="http://www.torgi.gov.ru/" w:history="1"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  <w:lang w:val="ru-RU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torgi</w:t>
        </w:r>
        <w:r>
          <w:rPr>
            <w:color w:val="0000ff"/>
            <w:sz w:val="24"/>
            <w:szCs w:val="24"/>
            <w:u w:val="single"/>
            <w:lang w:val="ru-RU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gov</w:t>
        </w:r>
        <w:r>
          <w:rPr>
            <w:color w:val="0000ff"/>
            <w:sz w:val="24"/>
            <w:szCs w:val="24"/>
            <w:u w:val="single"/>
            <w:lang w:val="ru-RU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</w:hyperlink>
      <w:r>
        <w:rPr>
          <w:sz w:val="24"/>
          <w:szCs w:val="24"/>
          <w:lang w:val="ru-RU"/>
        </w:rPr>
        <w:t xml:space="preserve">, на официальном сайте муниципального образования город Пермь в информационно-телекоммуникационной сети Интернет </w:t>
      </w:r>
      <w:hyperlink r:id="rId13" w:tooltip="http://www.gorodperm.ru/" w:history="1"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  <w:lang w:val="ru-RU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gorodperm</w:t>
        </w:r>
        <w:r>
          <w:rPr>
            <w:color w:val="0000ff"/>
            <w:sz w:val="24"/>
            <w:szCs w:val="24"/>
            <w:u w:val="single"/>
            <w:lang w:val="ru-RU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4" w:tooltip="http://utp.sberbank-ast.ru/" w:history="1">
        <w:r>
          <w:rPr>
            <w:rStyle w:val="775"/>
            <w:sz w:val="24"/>
            <w:szCs w:val="24"/>
          </w:rPr>
          <w:t xml:space="preserve">http</w:t>
        </w:r>
        <w:r>
          <w:rPr>
            <w:rStyle w:val="775"/>
            <w:sz w:val="24"/>
            <w:szCs w:val="24"/>
            <w:lang w:val="ru-RU"/>
          </w:rPr>
          <w:t xml:space="preserve">://</w:t>
        </w:r>
        <w:r>
          <w:rPr>
            <w:rStyle w:val="775"/>
            <w:sz w:val="24"/>
            <w:szCs w:val="24"/>
          </w:rPr>
          <w:t xml:space="preserve">utp</w:t>
        </w:r>
        <w:r>
          <w:rPr>
            <w:rStyle w:val="775"/>
            <w:sz w:val="24"/>
            <w:szCs w:val="24"/>
            <w:lang w:val="ru-RU"/>
          </w:rPr>
          <w:t xml:space="preserve">.</w:t>
        </w:r>
        <w:r>
          <w:rPr>
            <w:rStyle w:val="775"/>
            <w:sz w:val="24"/>
            <w:szCs w:val="24"/>
          </w:rPr>
          <w:t xml:space="preserve">sberbank</w:t>
        </w:r>
        <w:r>
          <w:rPr>
            <w:rStyle w:val="775"/>
            <w:sz w:val="24"/>
            <w:szCs w:val="24"/>
            <w:lang w:val="ru-RU"/>
          </w:rPr>
          <w:t xml:space="preserve">-</w:t>
        </w:r>
        <w:r>
          <w:rPr>
            <w:rStyle w:val="775"/>
            <w:sz w:val="24"/>
            <w:szCs w:val="24"/>
          </w:rPr>
          <w:t xml:space="preserve">ast</w:t>
        </w:r>
        <w:r>
          <w:rPr>
            <w:rStyle w:val="775"/>
            <w:sz w:val="24"/>
            <w:szCs w:val="24"/>
            <w:lang w:val="ru-RU"/>
          </w:rPr>
          <w:t xml:space="preserve">.</w:t>
        </w:r>
        <w:r>
          <w:rPr>
            <w:rStyle w:val="775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92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5" w:tooltip="http://utp.sberbank-ast.ru/" w:history="1">
        <w:r>
          <w:rPr>
            <w:rStyle w:val="775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6" w:tooltip="https://utp.sberbank-ast.ru/Main/Notice/988/Reglament" w:history="1">
        <w:r>
          <w:rPr>
            <w:rStyle w:val="775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17" w:tooltip="https://utp.sberbank-ast.ru/AP/Notice/1027/Instructions" w:history="1">
        <w:r>
          <w:rPr>
            <w:rStyle w:val="775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8" w:tooltip="https://utp.sberbank-ast.ru/AP/Notice/652/Instructions" w:history="1">
        <w:r>
          <w:rPr>
            <w:rStyle w:val="775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                      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75"/>
          <w:bCs/>
          <w:sz w:val="24"/>
          <w:szCs w:val="24"/>
          <w:lang w:val="en-US"/>
        </w:rPr>
        <w:t xml:space="preserve">dzo</w:t>
      </w:r>
      <w:r>
        <w:rPr>
          <w:rStyle w:val="775"/>
          <w:bCs/>
          <w:sz w:val="24"/>
          <w:szCs w:val="24"/>
        </w:rPr>
        <w:t xml:space="preserve">@</w:t>
      </w:r>
      <w:r>
        <w:rPr>
          <w:rStyle w:val="775"/>
          <w:bCs/>
          <w:sz w:val="24"/>
          <w:szCs w:val="24"/>
          <w:lang w:val="en-US"/>
        </w:rPr>
        <w:t xml:space="preserve">perm</w:t>
      </w:r>
      <w:r>
        <w:rPr>
          <w:rStyle w:val="775"/>
          <w:bCs/>
          <w:sz w:val="24"/>
          <w:szCs w:val="24"/>
        </w:rPr>
        <w:t xml:space="preserve">.</w:t>
      </w:r>
      <w:r>
        <w:rPr>
          <w:rStyle w:val="775"/>
          <w:bCs/>
          <w:sz w:val="24"/>
          <w:szCs w:val="24"/>
          <w:lang w:val="en-US"/>
        </w:rPr>
        <w:t xml:space="preserve">permkrai</w:t>
      </w:r>
      <w:r>
        <w:rPr>
          <w:rStyle w:val="775"/>
          <w:bCs/>
          <w:sz w:val="24"/>
          <w:szCs w:val="24"/>
        </w:rPr>
        <w:t xml:space="preserve">.</w:t>
      </w:r>
      <w:r>
        <w:rPr>
          <w:rStyle w:val="775"/>
          <w:bCs/>
          <w:sz w:val="24"/>
          <w:szCs w:val="24"/>
          <w:lang w:val="en-US"/>
        </w:rPr>
        <w:t xml:space="preserve">ru.</w:t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3"/>
        <w:ind w:left="1134" w:hanging="1134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1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692"/>
        <w:ind w:right="-263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ind w:right="-263"/>
        <w:tabs>
          <w:tab w:val="clear" w:pos="720" w:leader="none"/>
          <w:tab w:val="left" w:pos="5103" w:leader="none"/>
        </w:tabs>
        <w:rPr>
          <w:b/>
          <w:lang w:val="en-US"/>
        </w:rPr>
      </w:pPr>
      <w:r>
        <w:rPr>
          <w:b/>
          <w:lang w:val="en-US"/>
        </w:rPr>
        <w:t xml:space="preserve">Лот № 1</w:t>
      </w:r>
      <w:r>
        <w:rPr>
          <w:b/>
          <w:lang w:val="en-US"/>
        </w:rPr>
      </w:r>
      <w:r>
        <w:rPr>
          <w:b/>
          <w:lang w:val="en-US"/>
        </w:rPr>
      </w:r>
    </w:p>
    <w:tbl>
      <w:tblPr>
        <w:tblW w:w="9915" w:type="dxa"/>
        <w:tblInd w:w="-6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2538"/>
        <w:gridCol w:w="6881"/>
      </w:tblGrid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  <w:shd w:val="clear" w:color="auto" w:fill="auto"/>
              </w:rPr>
              <w:t xml:space="preserve">дминистрация города Перми, распоряжение начальника департамента земельных отношений администрации города Перми от 26 июля 2024 г. № 21-01-03-6954 «О проведении аукциона на право </w:t>
            </w:r>
            <w:r>
              <w:rPr>
                <w:sz w:val="24"/>
                <w:szCs w:val="24"/>
              </w:rPr>
              <w:t xml:space="preserve">заключения договора аренды земельного участка в Индустриальном районе города Перми».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  <w:shd w:val="clear" w:color="auto" w:fill="auto"/>
              </w:rPr>
              <w:t xml:space="preserve">дминистрация города Перми, распоряжение начальника департамента земельных отношений админи</w:t>
            </w:r>
            <w:r>
              <w:rPr>
                <w:sz w:val="24"/>
                <w:szCs w:val="24"/>
                <w:shd w:val="clear" w:color="auto" w:fill="auto"/>
              </w:rPr>
              <w:t xml:space="preserve">страции города Перми от 08 октября 2024 г. № 21-01-03-8874 «О внесении изменений в абзац первый пункта 1 распоряжения начальника департамента земельных отношений администрации города Перми от 26 июля 2024 г. № 21-01-03-6954 «О проведении аукциона на право </w:t>
            </w:r>
            <w:r>
              <w:rPr>
                <w:sz w:val="24"/>
                <w:szCs w:val="24"/>
              </w:rPr>
              <w:t xml:space="preserve">заключения договора аренды земельного участка в Индустриальном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край Пермский, городской округ Пермский, город Пермь, улица Промышленная, з/у 135б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15 360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510" w:right="0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59:01:4716065:280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510" w:right="57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склады (6.9), складские площадки (6.9.1), строительная промышленность (6.6)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17.10.2024г. № КУВИ-001/2024-256527027;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11.06.2024 № РФ-59-2-03-0-00-2024-1200-0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Участок огорожен забором из профлиста, на Участке строительный мусор, Участок не эксплуатируется.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Ближайшие источники противопожарного водоснабжения: пожарные гидранты по адресам: </w:t>
              <w:br/>
              <w:t xml:space="preserve"> г. Пермь, ул. Промышленная, 123 (собственник – </w:t>
              <w:br/>
              <w:t xml:space="preserve"> ОАО «Центроспецстой»).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администрации Индустриального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 от 10.07.2024 № 059-16-01-08/3-1941 и в акте обследования территории от 04.07.2024 № 119).</w:t>
            </w:r>
            <w:r/>
          </w:p>
          <w:p>
            <w:pPr>
              <w:pStyle w:val="785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копией планшета М 1:500, требующего корректуры, часть Участка ограждена забором смежного землепользователя с кадастровым номером 59:01:4716065:127.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В границах Участка расположены сети водоснабжения и водоотведения.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</w:t>
            </w:r>
            <w:r>
              <w:rPr>
                <w:color w:val="000000"/>
                <w:sz w:val="24"/>
              </w:rPr>
              <w:t xml:space="preserve">асно представленной Мальцевым А.Ю. геодезической съемки в границах Участка расположено металлическое ограждение, частично в границах Участка расположено асфальтобетонное замощение. Рельеф Участка частично спланирован, объекты капитального типа отсутствуют.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Согласно сведениям ЕГРН в границах Участка отсутствуют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объекты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капитального строительства.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сведениям, содержащимся в ЕГРН, ГПЗУ </w:t>
              <w:br/>
              <w:t xml:space="preserve"> и справке по градостроительным условиям участка </w:t>
              <w:br/>
              <w:t xml:space="preserve"> от 18.10.2024 № 609958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расположен в ЗОУИТ: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полостью расположен в границах зоны с особыми условиями использования территории Охранная зона транспорта «Зона с особыми условиями использования – Пр</w:t>
            </w:r>
            <w:r>
              <w:rPr>
                <w:color w:val="000000"/>
                <w:sz w:val="24"/>
              </w:rPr>
              <w:t xml:space="preserve">иаэродромная территория аэродрома аэропорта Большое Савино», реестровый номер 59:32-6.553 (Постановление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Федерации»);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полностью в границах зоны с особыми условиями использования территории Санитарно-защитная зона предприятий, сооружений и иных объектов 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«Единая санитарно-защитная зона промузла «Осенцы», реестровый номер 59:00-6.30 (Постановление администрации города Перми от 20.06.2007 № 227 «Об утверждении проекта границ общей санитарно-защитной зоны промышленного узла «Осенцы» в Индустриальном районе»).</w:t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Огранич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ение в использовании объектов недвижимости в границах Единой санитарно-защитной зоны промузла «Осенцы» в соответствии с СанПиН 2.2.1-2.1.1.1200-03 (утверждены  Главным государственным санитарным врачом  Российской  Федерации  Г.Г. Онищенко 15.06.2003), сог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ласно которому не допускается в санитарно-защитной зоне и на территории объектов других отраслей промышленности размещать объекты по производству лекарственных веществ, лекарственных средств  и (или) лекарственных форм, склады сырья </w:t>
              <w:br/>
              <w:t xml:space="preserve"> и полупродуктов для ф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</w:t>
              <w:br/>
              <w:t xml:space="preserve"> и хранения питьевой воды, которые могут повлиять </w:t>
              <w:br/>
              <w:t xml:space="preserve"> на качество продукции.</w:t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  <w:p>
            <w:pPr>
              <w:pStyle w:val="785"/>
              <w:ind w:firstLine="311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  <w:p>
            <w:pPr>
              <w:pStyle w:val="785"/>
              <w:ind w:firstLine="311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На Участке отсутствуют  зеленые насаждения.</w:t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Победителю аукциона необходимо соблюдать условия строительства: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Проектом предусмотреть: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1.1. Благоустройство и озеленение выделенной территории.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1.2. Сбор и отвод ливневых вод с использованием вариантов решений в зависимости от: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наличия централизованной системы ливневой канализации;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б) площади водосбора с учетом транзитных вод </w:t>
              <w:br/>
              <w:t xml:space="preserve"> с прилегающей территории;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угла наклона рельефа, включающий прилегающие территории;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г) применения иных решений равномерного отвода поверхностного стока с запрашиваемой территории </w:t>
              <w:br/>
              <w:t xml:space="preserve"> на прилегающие территории.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1.3. Определение видов образующихся отходов </w:t>
              <w:br/>
              <w:t xml:space="preserve"> и мест их размещения на период эксплуатации.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1.4. Конкретные мероприятия по охране окружающей среды на период строительства, включая: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установку временного защитного ограждения строительной площадки,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определение видов и объемов образующихся отходов и мест их размещения,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систематический вывоз отходов,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- недопущение загрязнения атмосферы, почвы </w:t>
              <w:br/>
              <w:t xml:space="preserve"> и подземных вод,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предотвращение выноса грязи автотранспортом, выезжающим со строительной площадки.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 </w:t>
            </w:r>
            <w:r>
              <w:rPr>
                <w:rFonts w:eastAsia="Droid Sans Fallback" w:cs="Lohit Devanagari"/>
                <w:b/>
                <w:bCs/>
                <w:color w:val="000000"/>
                <w:sz w:val="24"/>
                <w:szCs w:val="24"/>
                <w:lang w:val="ru-RU" w:eastAsia="zh-CN" w:bidi="ar-SA"/>
              </w:rPr>
              <w:t xml:space="preserve">управле</w:t>
            </w:r>
            <w:r>
              <w:rPr>
                <w:rFonts w:eastAsia="Droid Sans Fallback" w:cs="Lohit Devanagari"/>
                <w:b/>
                <w:bCs/>
                <w:color w:val="000000"/>
                <w:sz w:val="24"/>
                <w:szCs w:val="24"/>
                <w:lang w:val="ru-RU" w:eastAsia="zh-CN" w:bidi="ar-SA"/>
              </w:rPr>
              <w:t xml:space="preserve">ния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 xml:space="preserve"> по экологии и природопользованию администрации города Перми 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от 20.06.2024 № 059-33-01-10/3-369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)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рассматриваемой территории не запланировано.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 информации, имеющейся в департаменте дорог</w:t>
              <w:br/>
              <w:t xml:space="preserve"> и благоустройства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администрации города Перми, условия примыкания Участка к улично-дорожной сети города Перми отсутствуют.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 с Федеральным законом от 08.11.2007 № 257-ФЗ «Об автомоб</w:t>
            </w:r>
            <w:r>
              <w:rPr>
                <w:color w:val="000000"/>
                <w:sz w:val="24"/>
              </w:rPr>
              <w:t xml:space="preserve">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выполнение дополнительных работ, связанных с обеспече</w:t>
            </w:r>
            <w:r>
              <w:rPr>
                <w:color w:val="000000"/>
                <w:sz w:val="24"/>
              </w:rPr>
              <w:t xml:space="preserve">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департамента дорог и благоустройства администрации города Перми </w:t>
            </w:r>
            <w:r>
              <w:rPr>
                <w:b w:val="0"/>
                <w:bCs w:val="0"/>
                <w:color w:val="000000"/>
                <w:sz w:val="24"/>
              </w:rPr>
              <w:t xml:space="preserve">от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03.06.2024 № 059-24-01-36/3-1874).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Строительство пожарного водоема на указанной территории не запланировано.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Ближайшее подразделение пожарной охраны расположено по адресу: город Пермь, ул. Беляева, 29 (ПСЧ-2 10-ПСО).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 указанной территории источники противопожарного водоснабжения отсутствуют.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законов от 21 декабря 1994 г.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69-ФЗ «О пожарной безопасности» и от 22 июля 2008 г. № 123-ФЗ «Технический регламент о требованиях пожарной безопасности», Ре</w:t>
            </w:r>
            <w:r>
              <w:rPr>
                <w:color w:val="000000"/>
                <w:sz w:val="24"/>
              </w:rPr>
              <w:t xml:space="preserve">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</w:t>
            </w:r>
            <w:r>
              <w:rPr>
                <w:color w:val="000000"/>
                <w:sz w:val="24"/>
              </w:rPr>
              <w:t xml:space="preserve"> 25.02.2021 № 31-02-1-4-248, а также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288 и иной документации, касающейся норм противопожарной безопасности.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Ближайший участковый пункт полиции находится </w:t>
              <w:br/>
              <w:t xml:space="preserve"> по адресу г. Пермь, ул. Космонавта Леонова, д. 49.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в особый период.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</w:t>
            </w:r>
            <w:r>
              <w:rPr>
                <w:color w:val="000000"/>
                <w:sz w:val="24"/>
              </w:rPr>
              <w:t xml:space="preserve">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 xml:space="preserve">д</w:t>
            </w:r>
            <w:r>
              <w:rPr>
                <w:b/>
                <w:color w:val="000000"/>
                <w:sz w:val="24"/>
              </w:rPr>
              <w:t xml:space="preserve"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 от 31.05.2024 № 059-10-01-27/3-767).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На п</w:t>
            </w:r>
            <w:r>
              <w:rPr>
                <w:color w:val="000000"/>
                <w:sz w:val="24"/>
              </w:rPr>
              <w:t xml:space="preserve">ериод  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 xml:space="preserve">д</w:t>
            </w:r>
            <w:r>
              <w:rPr>
                <w:b/>
                <w:color w:val="000000"/>
                <w:sz w:val="24"/>
              </w:rPr>
              <w:t xml:space="preserve"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 от 03.06.2024 № 059-04-17/3-523-ри).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Места для установки и эксплуатации рекламных конструкций, включенный в схему размещения рекламных конструкций на территории города Перми, утвержденную решением Пермской городской Думы от 23.08.2016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171, и места размещения НТО, включенную в схему размещения НТО на территории города Перми, утвержденной постановлением администрации города Перми от 02.08.2018 № 521, в границах Участка отсутствуют.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Договоры на размещение НТО в границах Участка не заключались.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 xml:space="preserve">д</w:t>
            </w:r>
            <w:r>
              <w:rPr>
                <w:b/>
                <w:color w:val="000000"/>
                <w:sz w:val="24"/>
              </w:rPr>
              <w:t xml:space="preserve">епартамента экономики и промышленной политики администрации города Перми </w:t>
            </w:r>
            <w:r>
              <w:rPr>
                <w:color w:val="000000"/>
                <w:sz w:val="24"/>
              </w:rPr>
              <w:t xml:space="preserve">  от 29.05.2024 № 059-13-01-04-966).</w:t>
            </w:r>
            <w:r/>
          </w:p>
          <w:p>
            <w:pPr>
              <w:pStyle w:val="785"/>
              <w:ind w:left="0" w:right="0" w:firstLine="0"/>
              <w:jc w:val="both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границах Участка отсутствуют: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- объекты культурного наследия, включенные </w:t>
              <w:br/>
              <w:t xml:space="preserve"> в единый государственный реестр объектов культурного наследия (памятников истории и культуры) народов Российской Федерации;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выявленные объекты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объекты, обладающие признаками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территории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зоны охраны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защитные зоны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Участок не связан с земельным участком </w:t>
              <w:br/>
              <w:t xml:space="preserve"> в границах территории объекта культурного наследия;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Сведения о режимах использования (ограничения/обременения) Участка отсутствуют;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Данные о проведенных историко-культурных исследованиях в границах Участка отсутствуют;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границах Участка отсутствует необходимость проведения историко-культурной экспертизы.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</w:t>
            </w:r>
            <w:r>
              <w:t xml:space="preserve">  </w:t>
            </w:r>
            <w:r>
              <w:rPr>
                <w:b/>
                <w:bCs/>
              </w:rPr>
              <w:t xml:space="preserve">г</w:t>
            </w:r>
            <w:r>
              <w:rPr>
                <w:b/>
                <w:color w:val="000000"/>
                <w:sz w:val="24"/>
              </w:rPr>
              <w:t xml:space="preserve">осударственной инспекции по охране объектов культурного наследия Пермского края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от 04.06.2024                    № Исх55-01-17.2-242).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 </w:t>
              <w:br/>
              <w:t xml:space="preserve"> в Пермском крае от 16.03.2022 №74-гс </w:t>
              <w:br/>
              <w:t xml:space="preserve"> </w:t>
            </w:r>
            <w:r>
              <w:rPr>
                <w:color w:val="000000"/>
                <w:sz w:val="24"/>
              </w:rPr>
              <w:t xml:space="preserve">для строительства объектов городской инфраструктуры (парков, скверов, торгово-развлекательных комплексов, иных зданий и сооружений) обязательным является условие по установке камер видеонаблюдения.</w:t>
            </w:r>
            <w:r/>
          </w:p>
          <w:p>
            <w:pPr>
              <w:pStyle w:val="785"/>
              <w:ind w:firstLine="311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  <w:p>
            <w:pPr>
              <w:pStyle w:val="69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510" w:right="0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на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</w:t>
            </w:r>
            <w:r>
              <w:rPr>
                <w:color w:val="000000"/>
                <w:sz w:val="24"/>
                <w:szCs w:val="24"/>
              </w:rPr>
              <w:t xml:space="preserve">ального строительства, установленные градостроительным регламентом для территориальной зоны, в которой расположен земельный участок, указаны в градостроительном плане земельного участка (пункт 3 статьи 57.3 Градостроительного кодекса Российской Федерации).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информации, содержащейся в ГПЗУ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 из плоскости наружной стены фасада здан</w:t>
            </w:r>
            <w:r>
              <w:rPr>
                <w:color w:val="000000"/>
                <w:sz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Максимальный класс опасности (в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соответствии  с санитарно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-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эпидемиологическими правилами)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объектов капитального строительства,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размещаемых на земельных участках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sz w:val="24"/>
              </w:rPr>
              <w:t xml:space="preserve">III.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Минимальный отступ от границ земельного участка до места допустимого размещения зданий, строений – 0 м. Предельное количество этажей и (или) предельная высота зданий, строений – без ограничений.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таблицей Б.1 «Показатели плотности застройки участков территориальных зон» СП 42.13330.2016. Свод правил. Градостроительство. Планировка и застройка городских и сельских поселений. Актуализированная редакция СНиП 2.07.01-89*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коэффициент плотности застройки земельного участка в промышленной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зоне составляет 1,8.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Таким образом, предельные параметры разрешенного строительства на земельном участке составляют </w:t>
              <w:br/>
              <w:t xml:space="preserve"> 36864 кв. м (15360 кв. м х 2,4).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Минимальные параметры при строительстве производственного объекта капитального строительства не установлены.</w:t>
            </w:r>
            <w:r/>
          </w:p>
          <w:p>
            <w:pPr>
              <w:pStyle w:val="785"/>
              <w:ind w:left="0" w:right="0" w:firstLine="567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приложением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«Площадь и размеры земельных участков складов» СП 42.13330.2016. Свод правил. Градостроительство. Планировка и застройка городских и сельских поселений. Актуализированная редакция СНиП 2.07.01-89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минимальная площадь склада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Участке составляет 4504 кв. м для одноэтажных объектов капитального строительства, 6802 кв. м для многоэтажных объектов капитального строительства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(если на земельном участке не планируется строительство объектов согласно установленному виду разрешенного использования «строительная промышленность» (6.6)).</w:t>
            </w:r>
            <w:r/>
          </w:p>
          <w:p>
            <w:pPr>
              <w:pStyle w:val="785"/>
              <w:ind w:left="0" w:right="0" w:firstLine="567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соответствии с пунктом 2.1.34. Решения Пермской городской Думы от 15.12.2020 № 277 «Об утверждении Правил благоустройства территории города Перми»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при проектировании и строительстве объекта капитального строительства соблюдать требования  по разработке паспорта внешнего облика объекта капитального строительства (колерный паспорт).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Колерный паспорт - документ, разрабатываемый в случаях, предусмотренных действующим закон</w:t>
            </w:r>
            <w:r>
              <w:rPr>
                <w:color w:val="000000"/>
                <w:sz w:val="24"/>
              </w:rPr>
              <w:t xml:space="preserve">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для современного использования, а также </w:t>
              <w:br/>
              <w:t xml:space="preserve"> при изменении внешнего ви</w:t>
            </w:r>
            <w:r>
              <w:rPr>
                <w:color w:val="000000"/>
                <w:sz w:val="24"/>
              </w:rPr>
              <w:t xml:space="preserve">да здания, строения, сооружения, который устанавливает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</w:t>
            </w:r>
            <w:r>
              <w:rPr>
                <w:color w:val="000000"/>
                <w:sz w:val="24"/>
              </w:rPr>
              <w:t xml:space="preserve">алконов, лоджий), мест для размещения средств размещения информации (вывесок, указателей с наименованиями улиц </w:t>
              <w:br/>
              <w:t xml:space="preserve"> и номерами домов (зданий)), рекламных конструкций,</w:t>
              <w:br/>
              <w:t xml:space="preserve"> а также мест для размещения, вида, цветового решения архитектурно-художественной подсветки.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Колерный паспорт подлежит согласованию </w:t>
              <w:br/>
              <w:t xml:space="preserve"> с функциональным органом администрации города Перми, осуществляющим функции управления в сфере градостроительства.</w:t>
            </w:r>
            <w:r/>
          </w:p>
          <w:p>
            <w:pPr>
              <w:pStyle w:val="785"/>
              <w:ind w:left="0" w:right="0" w:firstLine="567"/>
              <w:jc w:val="both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624" w:right="0" w:hanging="283"/>
              <w:jc w:val="left"/>
              <w:spacing w:before="0" w:after="0"/>
              <w:widowControl/>
              <w:tabs>
                <w:tab w:val="clear" w:pos="720" w:leader="none"/>
                <w:tab w:val="left" w:pos="27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на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firstLine="252"/>
              <w:jc w:val="both"/>
              <w:tabs>
                <w:tab w:val="left" w:pos="311" w:leader="none"/>
                <w:tab w:val="clear" w:pos="7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Техническая возможность подключения к сетям газоснабжения имеется. Возможная точка подключения - газопровод среднего давления параллельно ул. Нестюковский тракт (собственник - ООО « Эрготек»).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Ориентировочное расстояние от точки подключения до границ испрашиваемого земельного участка составляет 63 п.м.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</w:t>
            </w:r>
            <w:r>
              <w:rPr>
                <w:color w:val="000000"/>
                <w:sz w:val="24"/>
              </w:rPr>
              <w:t xml:space="preserve">ов в соответствии с п. 1.6 «Правил подключения...», утвержденных Постановлением правительства РФ от 30.09.2021 № 1547 в Пермский районный филиал АО «Газпром газораспределение Пермь» по адресу: г. Пермь, ул. Оверятская, 54, отдел «ЕЦПУ» тел: (342)220-02-30.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 от 17.07.2024 № ПР-2833).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О возможности подключения планируемого к строительству объекта на Участке с планируемой величиной подключаемой нагрузки </w:t>
            </w:r>
            <w:r>
              <w:rPr>
                <w:color w:val="000000"/>
              </w:rPr>
              <w:t xml:space="preserve">– </w:t>
            </w:r>
            <w:r>
              <w:rPr>
                <w:color w:val="000000"/>
                <w:sz w:val="24"/>
              </w:rPr>
              <w:t xml:space="preserve">8,86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м3/сут, расходом воды на наружное пожаротушение 40 л/сек, сообщается, что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районе Участка отсутствуют централизованные сети водоснабжения и водоотведения, эксплуатируемые ООО «Новогор-Прикамье».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Ближайшие сети водоснабжения и водоотведения, эксплуатируемые ООО «НОВОГОР-Прикамье», располагаются ориентировочно в радиусе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3,93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км от Участка.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ООО «НОВОГОР-Прикамье» не располагает сведениями о наличии сетей 3-х лиц в границах Участка.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Победителю аукциона для получения информации возможности подключения Участка рекомендуется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обратиться к правообладателям близлежащих сетей водоснабжения и водоотведения.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 xml:space="preserve">от 04.06.2024 № 110-8814).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Возможность технологического присоединения к тепловым сетям имеется. Возможные точки присоединения к тепловым сетям: Т-301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на тепловой сети М2-02 2Ду700мм. Источник теплоснабжения: ТЭЦ-9. Тепловая нагрузка в возможных точках подключения 0,22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Гкал/ч.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Пермские тепловые сети Филиал ПАО «Т Плюс»</w:t>
            </w:r>
            <w:r>
              <w:rPr>
                <w:color w:val="000000"/>
                <w:sz w:val="24"/>
              </w:rPr>
              <w:t xml:space="preserve"> от 04.06.2024 № 51030-01-03475).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b w:val="0"/>
                <w:bCs w:val="0"/>
                <w:color w:val="000000"/>
                <w:sz w:val="24"/>
              </w:rPr>
              <w:t xml:space="preserve">О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возможности технологического присоединения к электросетям филиала объекта капитального строительства, расположенного на Участке, с предполагаемой максимальной мощностью энергопринимающих устройств 3318 кВт сообщается следующее.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Порядок технологического присоединения  к электрическим сетям регламентирован Правилами технологического присоединения энергопринимающих устройств потребителей электрической энергии,</w:t>
            </w:r>
            <w:r>
              <w:rPr>
                <w:color w:val="000000"/>
                <w:sz w:val="24"/>
              </w:rPr>
      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 от 27.12.2004 г. № 861 (далее – Правила ТП).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 силу п. 6 Правил ТП технологическое присоединение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При этом Правилами ТП не предусмотр</w:t>
            </w:r>
            <w:r>
              <w:rPr>
                <w:color w:val="000000"/>
                <w:sz w:val="24"/>
              </w:rPr>
              <w:t xml:space="preserve">ена подготовка и выдача сетевой организацией частным лицам либо органам государственной власти (местного самоуправления) каких-либо предварительных технических условий на подключение к электрическим сетям без подачи заявки на технологическое присоединение.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 на основании пункта 15 Правил.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Таким образом, для получения технических условий</w:t>
              <w:br/>
              <w:t xml:space="preserve"> и заключения договора на технологическое присоединение необходимо направить в адрес филиала «Пермэнерго» заявку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технологическое присоединение с указанием сведений и приложением необходимых документов в соответствии Правилами ТП.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 «Россети»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-ПОРТАЛ-ТП.РФ.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ПАО «Россети Урал» –филиал «Пермэнерго» </w:t>
            </w:r>
            <w:r>
              <w:rPr>
                <w:color w:val="000000"/>
                <w:sz w:val="24"/>
              </w:rPr>
              <w:t xml:space="preserve">от 10.07.2024 № ПЭ/22/648).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ПАО «Ростелеком» плани</w:t>
            </w:r>
            <w:r>
              <w:rPr>
                <w:color w:val="000000"/>
                <w:sz w:val="24"/>
              </w:rPr>
              <w:t xml:space="preserve">руемых к строительству объектов в границах Участка может быть произведено в точке подключения узел ВОЛС (г. Пермь, ул. 2-я Красавинская, д. 79), максимальную нагрузку в точке подключения (технологического присоединения) определить на стадии проектирования.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объектов капитального строительства в границах Участка необходим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запрос правообладателя земельного участка на выдачу технических условий (далее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ТУ) или заявки о заключении договора о подключении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 в порядке, определенном действующим законодательством.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Срок действия ТУ составляет 3 года (при комплексном развитии территории – 5 лет) со дня выдачи.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случае, если в течение 1 года (при комплексном развитии территории – 3 лет)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со дня выдачи ТУ заяв</w:t>
            </w:r>
            <w:r>
              <w:rPr>
                <w:color w:val="000000"/>
                <w:sz w:val="24"/>
              </w:rPr>
              <w:t xml:space="preserve">ителем не будет подана заявка о подключении, срок действия ТУ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получения ТУ на подключение к сетям связи</w:t>
              <w:br/>
              <w:t xml:space="preserve"> ПАО «Ростелеком» необходимо направить письменный запрос по адресу: г. Пермь, ул. Крупской, д. 2, </w:t>
              <w:br/>
              <w:t xml:space="preserve"> e-mail: </w:t>
            </w:r>
            <w:hyperlink r:id="rId19" w:tooltip="mailto:perm-mail@ural.rt.ru" w:history="1">
              <w:r>
                <w:rPr>
                  <w:rStyle w:val="775"/>
                  <w:color w:val="0000ff"/>
                  <w:sz w:val="24"/>
                  <w:u w:val="single"/>
                </w:rPr>
                <w:t xml:space="preserve">perm-mail@ural.rt.ru</w:t>
              </w:r>
            </w:hyperlink>
            <w:r>
              <w:rPr>
                <w:color w:val="000000"/>
                <w:sz w:val="24"/>
              </w:rPr>
              <w:t xml:space="preserve">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ПАО «Ростелеком»</w:t>
            </w:r>
            <w:r>
              <w:rPr>
                <w:color w:val="000000"/>
                <w:sz w:val="24"/>
              </w:rPr>
              <w:t xml:space="preserve"> от 04.06.2024 № 01/05/79670/24).</w:t>
            </w:r>
            <w:r/>
          </w:p>
          <w:p>
            <w:pPr>
              <w:pStyle w:val="692"/>
              <w:ind w:firstLine="252"/>
              <w:jc w:val="both"/>
              <w:tabs>
                <w:tab w:val="left" w:pos="311" w:leader="none"/>
                <w:tab w:val="clear" w:pos="7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</w:t>
            </w:r>
            <w:r>
              <w:rPr>
                <w:b/>
                <w:sz w:val="24"/>
                <w:szCs w:val="24"/>
              </w:rPr>
              <w:t xml:space="preserve">дней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однократно за первые 3 года  </w:t>
            </w:r>
            <w:r>
              <w:rPr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тел. 212-61-90 (отдел договоров)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3 305 000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(3% от начальной цены)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99 150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0" w:tooltip="http://www.torgi.gov.ru/" w:history="1">
              <w:r>
                <w:rPr>
                  <w:rStyle w:val="775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5"/>
                  <w:sz w:val="24"/>
                  <w:szCs w:val="24"/>
                </w:rPr>
                <w:t xml:space="preserve">.</w:t>
              </w:r>
              <w:r>
                <w:rPr>
                  <w:rStyle w:val="775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5"/>
                  <w:sz w:val="24"/>
                  <w:szCs w:val="24"/>
                </w:rPr>
                <w:t xml:space="preserve">.</w:t>
              </w:r>
              <w:r>
                <w:rPr>
                  <w:rStyle w:val="775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5"/>
                  <w:sz w:val="24"/>
                  <w:szCs w:val="24"/>
                </w:rPr>
                <w:t xml:space="preserve">.</w:t>
              </w:r>
              <w:r>
                <w:rPr>
                  <w:rStyle w:val="775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и аренда земельных участков).</w:t>
            </w:r>
            <w:r/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 в соответствии со статьей 39.11 Земельного кодекса Российской Федерации. Аукцион является открытым по составу участников.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1 652 500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 8 месяцев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Проект договора аренды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www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torgi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gov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www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gorodperm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auto"/>
              </w:rPr>
              <w:t xml:space="preserve"> (раздел Деятельность/ Муниципальная собст</w:t>
            </w:r>
            <w:r>
              <w:rPr>
                <w:sz w:val="24"/>
                <w:szCs w:val="24"/>
              </w:rPr>
              <w:t xml:space="preserve">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2"/>
        <w:contextualSpacing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ind w:right="-263"/>
        <w:tabs>
          <w:tab w:val="clear" w:pos="720" w:leader="none"/>
          <w:tab w:val="left" w:pos="5103" w:leader="none"/>
        </w:tabs>
        <w:rPr>
          <w:b/>
          <w:lang w:val="en-US"/>
        </w:rPr>
      </w:pPr>
      <w:r>
        <w:rPr>
          <w:b/>
          <w:lang w:val="en-US"/>
        </w:rPr>
        <w:t xml:space="preserve">Лот № 2</w:t>
      </w:r>
      <w:r>
        <w:rPr>
          <w:b/>
          <w:lang w:val="en-US"/>
        </w:rPr>
      </w:r>
      <w:r>
        <w:rPr>
          <w:b/>
          <w:lang w:val="en-US"/>
        </w:rPr>
      </w:r>
    </w:p>
    <w:tbl>
      <w:tblPr>
        <w:tblW w:w="9915" w:type="dxa"/>
        <w:tblInd w:w="-6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2538"/>
        <w:gridCol w:w="6881"/>
      </w:tblGrid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  <w:shd w:val="clear" w:color="auto" w:fill="auto"/>
              </w:rPr>
              <w:t xml:space="preserve">дминистрация города Перми, распоряжение начальника департамента земельных отношений администрации города Перми от 08 октября 2024 г. № 21-01-03-8871 «О проведении аукциона на право </w:t>
            </w:r>
            <w:r>
              <w:rPr>
                <w:sz w:val="24"/>
                <w:szCs w:val="24"/>
              </w:rPr>
              <w:t xml:space="preserve">заключения договора аренды земельного участка в Индустриальном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край Пермский, городской округ Пермский, город Пермь, улица Промышленная, з/у 135в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8 400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510" w:right="0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59:01:4716065:282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510" w:right="57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строительная промышленность (6.6), склады (6.9), складские площадки (6.9.1)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21.10.2024г.              № КУВИ-001/2024-258891993;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11.06.2024 № РФ-59-2-03-0-00-2024-1198-0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Участок частично огорожен забором из железобетона. Имеется строительный и бытовой мусор. Участок не эксплуатируется.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Ближайшие источники противопожарного водоснабжения: пожарные гидранты по адресам: г. Пермь, ул. Промышленная, 123 (собственник – ОАО «Центроспецстой»).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</w:t>
            </w:r>
            <w: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 xml:space="preserve">администрации Индустриального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10.07.2024 № 059-16-01-08/3-1941).</w:t>
            </w:r>
            <w:r/>
          </w:p>
          <w:p>
            <w:pPr>
              <w:pStyle w:val="785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соответствии с геодезической съемкой, представленной Мальцевым А.Ю., вдоль южной и юго-западной границы Участка расположен бетонный забор.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Согласно сведениям ЕГРН в границах Участка отсутствуют объекты капитального строительства.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сведениям, содержащимся в ЕГРН, ГПЗУ </w:t>
              <w:br/>
              <w:t xml:space="preserve"> и справке по градостроительным условиям участка </w:t>
              <w:br/>
              <w:t xml:space="preserve"> от 21.10.2024 № 610221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расположен в ЗОУИТ: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полостью расположен в границах зоны с особыми условиями использования территории Охранная зона транспорта «Зона с особыми условиями использования – Пр</w:t>
            </w:r>
            <w:r>
              <w:rPr>
                <w:color w:val="000000"/>
                <w:sz w:val="24"/>
              </w:rPr>
              <w:t xml:space="preserve">иаэродромная территория аэродрома аэропорта Большое Савино», реестровый номер 59:32-6.553 (Постановление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Федерации»);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полностью в гра</w:t>
            </w:r>
            <w:r>
              <w:rPr>
                <w:color w:val="000000"/>
                <w:sz w:val="24"/>
              </w:rPr>
              <w:t xml:space="preserve">ницах зоны с особыми условиями использования территории Санитарно-защитная зона предприятий, сооружений и иных объектов «Единая санитарно-защитная зона промузла «Осенцы», реестровый номер 59:00-6.30 (Постановление администрации города Перми от 20.06.2007 №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227 «Об утверждении проекта границ общей санитарно-защитной зоны промышленного узла «Осенцы» </w:t>
              <w:br/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 в Индустриальном районе»). Ограничение </w:t>
              <w:br/>
              <w:t xml:space="preserve"> в использовании объектов недвижимости в границах Единой санитарно-защитной зоны промузла «Осенцы»  в соответствии</w:t>
            </w:r>
            <w:r/>
          </w:p>
          <w:p>
            <w:pPr>
              <w:pStyle w:val="785"/>
              <w:ind w:left="0" w:right="0" w:firstLine="0"/>
              <w:jc w:val="both"/>
              <w:spacing w:before="0" w:after="0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с СанПиН 2.2.1-2.1.1.1200-03 (утверждены Главным  государственным санитарным врачом Российской Федерации Г.Г. Онищенко 15.06.2003), с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огласно которому не допускается </w:t>
              <w:br/>
              <w:t xml:space="preserve"> в санитарно-защитной зоне и на территории объектов других отраслей промышленности размещать объекты по производству лекарственных веществ, лекарственных средств и (или) лекарственных форм, склады сырья  и полупродуктов для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</w:t>
              <w:br/>
              <w:t xml:space="preserve"> для подготовки и хранения питьевой воды, которые могут повлиять на качество продукции.</w:t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  <w:p>
            <w:pPr>
              <w:pStyle w:val="785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  <w:szCs w:val="24"/>
              </w:rPr>
              <w:t xml:space="preserve">На Участке отсутствуют  зеленые насаждения.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Победителю аукциона необходимо соблюдать условия строительства: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Проектом предусмотреть: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1.1. Благоустройство и озеленение выделенной территории.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1.2. Сбор и отвод ливневых вод с использованием вариантов решений в зависимости от: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наличия централизованной системы ливневой канализации;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б) площади водосбора с учетом транзитных вод с прилегающей территории;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в) угла наклона рельефа, включающего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прилегающие территории;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г) применения иных решений равномерного отвода поверхностного стока с запрашиваемой территории на прилегающие территории.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1.3. Определение видов образующихся отходов и мест их размещения на период эксплуатации.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1.4. Конкретные мероприятия по охране окружающей среды на период строительства, включая: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установку временного защитного ограждения строительной площадки,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определение видов и объемов образующихся отходов и мест их размещения,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систематический вывоз отходов,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- недопущение загрязнения атмосферы, почвы и подземных вод,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предотвращение выноса грязи автотранспортом, выезжающим со строительной площадки.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</w:t>
            </w:r>
            <w: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 xml:space="preserve">управления по экологии и природопользованию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20.06.2024 № 059-33-01-10/3-369).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рассматриваемой территории не запланировано.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информации, имеющейся в департаменте дорог</w:t>
              <w:br/>
              <w:t xml:space="preserve"> и благоустройства администрации города Перми, условия примыкания Участка к улично-дорожной сети города Перми отсутствуют.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№ 257-ФЗ  «Об автомобил</w:t>
            </w:r>
            <w:r>
              <w:rPr>
                <w:color w:val="000000"/>
                <w:sz w:val="24"/>
              </w:rPr>
              <w:t xml:space="preserve">ьных дорогах и о дорожной деятельности в Российской Федерации и о внесении изменений </w:t>
              <w:br/>
              <w:t xml:space="preserve"> 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выполнение дополнительных работ, связанных с обеспече</w:t>
            </w:r>
            <w:r>
              <w:rPr>
                <w:color w:val="000000"/>
                <w:sz w:val="24"/>
              </w:rPr>
              <w:t xml:space="preserve">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департамента дорог и благоустройства администрации города Перми </w:t>
            </w:r>
            <w:r>
              <w:rPr>
                <w:b w:val="0"/>
                <w:bCs w:val="0"/>
                <w:color w:val="000000"/>
                <w:sz w:val="24"/>
              </w:rPr>
              <w:t xml:space="preserve">от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03.06.2024 № 059-24-01-36/3-1874).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Строительство пожарного водоема на указанной территории не запланировано.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Ближайшее подразделение пожарной охраны расположено по адресу: город Пермь, ул. Беляева, 29 (ПСЧ-2 10-ПСО).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 указанной территории источники противопожарного водоснабжения отсутствуют.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законов от 21 декабря 1994 г.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69-ФЗ «О пожарной безопасности» и от 22 июля 2008 г. № 123-ФЗ «Технический регламент о требованиях пожарной безопасности», Регио</w:t>
            </w:r>
            <w:r>
              <w:rPr>
                <w:color w:val="000000"/>
                <w:sz w:val="24"/>
              </w:rPr>
              <w:t xml:space="preserve">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 и градостроительной деятельности Пермского края от 2</w:t>
            </w:r>
            <w:r>
              <w:rPr>
                <w:color w:val="000000"/>
                <w:sz w:val="24"/>
              </w:rPr>
              <w:t xml:space="preserve">5.02.2021 № 31-02-1-4-248, а также Свода правил 4.13130 «Системы противопожарной защиты. Ограничение распространения пожара на объектах защиты. Требования к объемно-планировочным </w:t>
              <w:br/>
              <w:t xml:space="preserve"> и конструктивным решениям», утвержденных Приказом МЧС России от 24.04.2013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288 и иной документации, касающейся норм противопожарной безопасности.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Ближайший участковый пункт полиции находится </w:t>
              <w:br/>
              <w:t xml:space="preserve"> по адресу г. Пермь, ул. Космонавта Леонова, д. 49.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в особый период.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</w:t>
            </w:r>
            <w:r>
              <w:rPr>
                <w:color w:val="000000"/>
                <w:sz w:val="24"/>
              </w:rPr>
              <w:t xml:space="preserve">щение сиренно-речевых узлов согласно пунктам 6.38, 6.39 </w:t>
              <w:br/>
              <w:t xml:space="preserve"> 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 xml:space="preserve">д</w:t>
            </w:r>
            <w:r>
              <w:rPr>
                <w:b/>
                <w:color w:val="000000"/>
                <w:sz w:val="24"/>
              </w:rPr>
              <w:t xml:space="preserve"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31.05.2024 № 059-10-01-27/3-767).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не предусмотрено строительство сетей водоснабжения и водоотведения.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 xml:space="preserve">д</w:t>
            </w:r>
            <w:r>
              <w:rPr>
                <w:b/>
                <w:color w:val="000000"/>
                <w:sz w:val="24"/>
              </w:rPr>
              <w:t xml:space="preserve"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 от 03.06.2024 № 059-04-17/3-523-ри).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Места для установки и эксплуатации рекламных конструкций, включенный в схему размещения рекламных конструкций на территории города Перми, утвержденную решением Пермской городской Думы от 23.08.2016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171,</w:t>
            </w:r>
            <w:r>
              <w:rPr>
                <w:color w:val="000000"/>
                <w:sz w:val="24"/>
              </w:rPr>
              <w:t xml:space="preserve"> и места размещения НТО, включенную в схему размещения НТО на территории города Перми, утвержденной постановлением администрации города Перми от 02.08.2018 № 521, в границах Участка отсутствуют. Договоры на размещение НТО в границах Участка не заключались.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 xml:space="preserve">д</w:t>
            </w:r>
            <w:r>
              <w:rPr>
                <w:b/>
                <w:color w:val="000000"/>
                <w:sz w:val="24"/>
              </w:rPr>
              <w:t xml:space="preserve">епартамента экономики и промышленной политики администрации города Перми </w:t>
            </w:r>
            <w:r>
              <w:rPr>
                <w:color w:val="000000"/>
                <w:sz w:val="24"/>
              </w:rPr>
              <w:t xml:space="preserve">от 29.05.2024 № 059-13-01-04-966).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границах Участка отсутствуют: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- объекты культурного наследия, включенные </w:t>
              <w:br/>
              <w:t xml:space="preserve"> в единый государственный реестр объектов культурного наследия (памятников истории и культуры) народов Российской Федерации;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выявленные объекты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объекты, обладающие признаками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территории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зоны охраны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защитные зоны объектов культурного наследия;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Участок не связан с земельным участком </w:t>
              <w:br/>
              <w:t xml:space="preserve"> в границах территории объекта культурного наследия;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Сведения о режимах использования (ограничения/обременения) Участка отсутствуют;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Данные о проведенных историко-культурных исследованиях в границах Участка отсутствуют;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границах Участка отсутствует необходимость проведения историко-культурной экспертизы.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</w:t>
            </w:r>
            <w:r>
              <w:t xml:space="preserve"> </w:t>
            </w:r>
            <w:r>
              <w:rPr>
                <w:b/>
                <w:bCs/>
              </w:rPr>
              <w:t xml:space="preserve">г</w:t>
            </w:r>
            <w:r>
              <w:rPr>
                <w:b/>
                <w:bCs/>
                <w:color w:val="000000"/>
                <w:sz w:val="24"/>
              </w:rPr>
              <w:t xml:space="preserve">о</w:t>
            </w:r>
            <w:r>
              <w:rPr>
                <w:b/>
                <w:color w:val="000000"/>
                <w:sz w:val="24"/>
              </w:rPr>
              <w:t xml:space="preserve">сударственной инспекции по охране объектов культурного наследия Пермского края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от 06.06.2024               № Исх55-01-17.2-244).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 в Пермском крае от 16.03.2022 №74-гс </w:t>
            </w:r>
            <w:r>
              <w:rPr>
                <w:color w:val="000000"/>
                <w:sz w:val="24"/>
              </w:rPr>
              <w:t xml:space="preserve">для строительства объектов городской инфраструктуры (парков, скверов, торгово-развлекательных комплексов, иных зданий и сооружений)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обязательным является условие по установке камер видеонаблюдения.</w:t>
            </w:r>
            <w:r/>
          </w:p>
          <w:p>
            <w:pPr>
              <w:pStyle w:val="69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510" w:right="0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t xml:space="preserve">В </w:t>
            </w:r>
            <w:r>
              <w:rPr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на ГИС Торги </w:t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rPr>
                <w:shd w:val="clear" w:color="auto" w:fill="ffffff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21" w:tooltip="http://www.gorodperm.ru/" w:history="1">
              <w:r>
                <w:rPr>
                  <w:rStyle w:val="775"/>
                </w:rPr>
                <w:t xml:space="preserve">www.gorodperm.ru</w:t>
              </w:r>
            </w:hyperlink>
            <w: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firstLine="25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Согласно информации, содержащейся в  ГПЗУ 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color w:val="000000"/>
                <w:sz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Максимальный класс опасности (в соответствии с санитарно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-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эпидемиологическими правилами) объектов капитального строительства, размещаемых на земельных участках – III.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Минимальный отступ от границ земельного участка до места допустимого размещения зданий, строений – 0 м. Предельное количество этажей и (или) предельная высота зданий, строений – без ограничений.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таблицей Б.1 «Показатели плотности застройки участков т</w:t>
            </w:r>
            <w:r>
              <w:rPr>
                <w:color w:val="000000"/>
                <w:sz w:val="24"/>
              </w:rPr>
              <w:t xml:space="preserve">ерриториальных зон» СП 42.13330.2016.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земельного участка в промышленной зоне составляет 2,4.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Таким образом, предельные параметры разрешенного строительства на земельном участке составляют 20160 кв. м (8400 кв. м х 2,4).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Минимальные параметры при строительстве производственного объекта капитального строительства не установлены.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приложением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«Площадь и размеры земельных участков складов» СП 42.13330.2016. Свод правил. Градостроительство. Планировка и застройка городских и сельских поселений. Актуализированная редакция СНиП 2.07.01-89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минимальная площадь склада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на Участке составляет 2463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кв. м для одноэтажных объектов капитального строительства, 3720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кв. м для многоэтажных объектов капитального строительства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(если на земельном участке не планируется строительство объектов согласно установленному виду разрешенного использования «строительная промышленность» (6.6)).</w:t>
            </w:r>
            <w:r/>
          </w:p>
          <w:p>
            <w:pPr>
              <w:pStyle w:val="785"/>
              <w:ind w:firstLine="25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 соответствии с пунктом 2.1.34. Решения Пермской городской Думы от 15.12.2020 № 277 «Об утверждении Правил благоустройства территории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(колерный паспорт).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Колерный паспорт - документ, разрабатываемый </w:t>
              <w:br/>
              <w:t xml:space="preserve"> 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</w:t>
            </w:r>
            <w:r>
              <w:rPr>
                <w:color w:val="000000"/>
                <w:sz w:val="24"/>
              </w:rPr>
              <w:t xml:space="preserve">бъекта культурного наследия  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в отношении материалов, способо</w:t>
            </w:r>
            <w:r>
              <w:rPr>
                <w:color w:val="000000"/>
                <w:sz w:val="24"/>
              </w:rPr>
              <w:t xml:space="preserve">в отделки и цветов фасадов, ограждающих конструкций (крыш (кровельного покрытия), ограждений балконов, лоджий), мест  для размещения средств размещения информации (вывесок, указателей с наименованиями улиц и номерами домов (зданий)), рекламных конструкций,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а также мест для размещения, вида, цветового решения архитектурно-художественной подсветки.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градостроительства.</w:t>
            </w:r>
            <w:r/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numPr>
                <w:ilvl w:val="0"/>
                <w:numId w:val="2"/>
              </w:numPr>
              <w:ind w:left="624" w:right="0" w:hanging="283"/>
              <w:jc w:val="left"/>
              <w:spacing w:before="0" w:after="0"/>
              <w:widowControl/>
              <w:tabs>
                <w:tab w:val="clear" w:pos="720" w:leader="none"/>
                <w:tab w:val="left" w:pos="27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t xml:space="preserve">В </w:t>
            </w:r>
            <w:r>
              <w:rPr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на ГИС Торги </w:t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rPr>
                <w:shd w:val="clear" w:color="auto" w:fill="ffffff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22" w:tooltip="http://www.gorodperm.ru/" w:history="1">
              <w:r>
                <w:rPr>
                  <w:rStyle w:val="775"/>
                </w:rPr>
                <w:t xml:space="preserve">www.gorodperm.ru</w:t>
              </w:r>
            </w:hyperlink>
            <w: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firstLine="25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Техническая возможность подключения к сетям газоснабжения имеется. Возможная точка подключения - газопровод высокого давления 2-й категории по ул. Промышленной (собственник – АО «Газпром газораспределение Пермь»).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Ориентировочное расстояние от точки подключения до границ испрашиваемого земельного участка составляет 77 п.м.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</w:t>
            </w:r>
            <w:r>
              <w:rPr>
                <w:color w:val="000000"/>
                <w:sz w:val="24"/>
              </w:rPr>
              <w:t xml:space="preserve">ов в соответствии с п. 1.6 «Правил подключения...», утвержденных Постановлением правительства РФ от 30.09.2021 № 1547 в Пермский районный филиал АО «Газпром газораспределение Пермь» по адресу: г. Пермь, ул. Оверятская, 54, отдел «ЕЦПУ» тел: (342)220-02-30.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АО «Газпром газораспределение Пермь»</w:t>
            </w:r>
            <w:r>
              <w:rPr>
                <w:color w:val="000000"/>
                <w:sz w:val="24"/>
              </w:rPr>
              <w:t xml:space="preserve"> от 18.09.2024 № ПР-3862).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О возможности подключения планируемого к строительству объекта на </w:t>
            </w:r>
            <w:r>
              <w:rPr>
                <w:color w:val="000000"/>
                <w:sz w:val="24"/>
              </w:rPr>
              <w:t xml:space="preserve">Участке с планируемой величиной подключаемой нагрузки – 4,84 м3/сут, расходом воды на наружное пожаротушение 70 л/сек, сообщается, что в районе Участка отсутствуют централизованные сети водоснабжения и водоотведения, эксплуатируемые ООО «Новогор-Прикамье».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Ближайшие сети водоснабжения и водоотведения, эксплуатируемые ООО «НОВОГОР-Прикамье», располагаются ориентировочно в радиусе – 4,02 км от Участка.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ООО «НОВОГОР-Прикамье» не располагает сведениями о наличии сетей 3-х лиц в границах Участка.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Победителю аукциона для получения информации возможности подключения Участка рекомендуется обратиться к правообладателям близлежащих сетей водоснабжения и водоотведения.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 xml:space="preserve">от 08.08.2024 № 110-13136).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Возможность технологического присоединения к тепловым сетям имеется. Возможные точки присоединения к тепловым сетям: Т-301 на тепловой сети М2-02 2Ду700мм. Источник теплоснабжения: ТЭЦ-9. Тепловая нагрузка в возможных точках подключения 0,23 Гкал/ч.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границах Участка отсутствуют инженерные сети, принадлежащие ПАО «Т Плюс» на праве собственности.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</w:t>
            </w:r>
            <w:r>
              <w:t xml:space="preserve"> </w:t>
            </w:r>
            <w:r>
              <w:rPr>
                <w:b/>
                <w:color w:val="000000"/>
                <w:sz w:val="24"/>
              </w:rPr>
              <w:t xml:space="preserve">Пермские тепловые сети Филиал ПАО «Т Плюс» </w:t>
            </w:r>
            <w:r>
              <w:rPr>
                <w:color w:val="000000"/>
                <w:sz w:val="24"/>
              </w:rPr>
              <w:t xml:space="preserve">письмом от 12.08.2024 № 51030-01-05218).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О возможности технологического присоединения к электросетям филиала объекта капитального строительства, расположенного на Участке, с предполагаемой максимальной мощностью энергопринимающих устройств 1814 кВт сообщается следующее.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</w:t>
            </w:r>
            <w:r>
              <w:rPr>
                <w:color w:val="000000"/>
                <w:sz w:val="24"/>
              </w:rPr>
              <w:t xml:space="preserve">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г.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861 (далее – Правила ТП).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 силу п. 6 Правил ТП технологическое присоединение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При этом Правилами ТП не предусмотр</w:t>
            </w:r>
            <w:r>
              <w:rPr>
                <w:color w:val="000000"/>
                <w:sz w:val="24"/>
              </w:rPr>
              <w:t xml:space="preserve">ена подготовка и выдача сетевой организацией частным лицам либо органам государственной власти (местного самоуправления) каких-либо предварительных технических условий на подключение к электрическим сетям без подачи заявки на технологическое присоединение.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 на основании пункта 15 Правил.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Таким образом, для получения технических условий и заключения договора на технологическое присоединение необходимо направить в адрес филиала «Пермэнерго» заявку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технологическое присоединение с указанием сведений и приложением необходимых документов в соответствии Правилами ТП.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 «Россети»-ПОРТАЛ-ТП.РФ.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</w:t>
            </w:r>
            <w:r>
              <w:t xml:space="preserve"> </w:t>
            </w:r>
            <w:r>
              <w:rPr>
                <w:b/>
                <w:color w:val="000000"/>
                <w:sz w:val="24"/>
              </w:rPr>
              <w:t xml:space="preserve">ПАО «Россети Урал» – филиал «Пермэнерго» </w:t>
            </w:r>
            <w:r>
              <w:rPr>
                <w:color w:val="000000"/>
                <w:sz w:val="24"/>
              </w:rPr>
              <w:t xml:space="preserve">от 15.08.2024 № ПЭ/22/808).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ПАО «Ростелеком» плани</w:t>
            </w:r>
            <w:r>
              <w:rPr>
                <w:color w:val="000000"/>
                <w:sz w:val="24"/>
              </w:rPr>
              <w:t xml:space="preserve">руемых к строительству объектов в границах Участка может быть произведено в точке подключения узел ВОЛС (г. Пермь, ул. 2-я Красавинская, д. 79), максимальную нагрузку в точке подключения (технологического присоединения) определить на стадии проектирования.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объектов капитального строительства в границах Участка необходим запрос правообладателя земельного участка на выдачу технических условий (далее – ТУ) или заявки о заключении договора о подключении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в порядке, определенном действующим законодательством.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Срок действия ТУ составляет 3 года (при комплексном развитии территории – 5 лет) со дня выдачи.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случае, если в течение 1 года (при комплексном развитии территории – 3 лет)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со дня выдачи ТУ заявит</w:t>
            </w:r>
            <w:r>
              <w:rPr>
                <w:color w:val="000000"/>
                <w:sz w:val="24"/>
              </w:rPr>
              <w:t xml:space="preserve">елем не будет подана заявка о подключении, срок действия ТУ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</w:t>
              <w:br/>
              <w:t xml:space="preserve"> от 01.07.2022 № 1196).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получения ТУ на подключение к сетям связи</w:t>
              <w:br/>
              <w:t xml:space="preserve"> ПАО «Ростелеком» необходимо направить письменный запрос по адресу: г. Пермь, ул. Крупской, д. 2, e-mail: </w:t>
            </w:r>
            <w:hyperlink r:id="rId23" w:tooltip="mailto:perm-mail@ural.rt.ru" w:history="1">
              <w:r>
                <w:rPr>
                  <w:rStyle w:val="775"/>
                  <w:color w:val="0000ff"/>
                  <w:sz w:val="24"/>
                  <w:u w:val="single"/>
                </w:rPr>
                <w:t xml:space="preserve">perm-mail@ural.rt.ru</w:t>
              </w:r>
            </w:hyperlink>
            <w:r>
              <w:rPr>
                <w:color w:val="000000"/>
                <w:sz w:val="24"/>
              </w:rPr>
              <w:t xml:space="preserve">.</w:t>
            </w:r>
            <w:r/>
          </w:p>
          <w:p>
            <w:pPr>
              <w:pStyle w:val="785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ПАО «Ростелеком»</w:t>
            </w:r>
            <w:r>
              <w:rPr>
                <w:color w:val="000000"/>
                <w:sz w:val="24"/>
              </w:rPr>
              <w:t xml:space="preserve"> от 08.08.2024 № 01/05/115727/24).</w:t>
            </w:r>
            <w:r/>
          </w:p>
          <w:p>
            <w:pPr>
              <w:pStyle w:val="69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</w:t>
            </w:r>
            <w:r>
              <w:rPr>
                <w:b/>
                <w:sz w:val="24"/>
                <w:szCs w:val="24"/>
              </w:rPr>
              <w:t xml:space="preserve"> дней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однократно за первые 3 года  </w:t>
            </w:r>
            <w:r>
              <w:rPr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тел. 212-61-90 (отдел договоров)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1 899 100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(3% от начальной цены)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56 973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4" w:tooltip="http://www.torgi.gov.ru/" w:history="1">
              <w:r>
                <w:rPr>
                  <w:rStyle w:val="775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5"/>
                  <w:sz w:val="24"/>
                  <w:szCs w:val="24"/>
                </w:rPr>
                <w:t xml:space="preserve">.</w:t>
              </w:r>
              <w:r>
                <w:rPr>
                  <w:rStyle w:val="775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5"/>
                  <w:sz w:val="24"/>
                  <w:szCs w:val="24"/>
                </w:rPr>
                <w:t xml:space="preserve">.</w:t>
              </w:r>
              <w:r>
                <w:rPr>
                  <w:rStyle w:val="775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5"/>
                  <w:sz w:val="24"/>
                  <w:szCs w:val="24"/>
                </w:rPr>
                <w:t xml:space="preserve">.</w:t>
              </w:r>
              <w:r>
                <w:rPr>
                  <w:rStyle w:val="775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и аренда земельных участков).</w:t>
            </w:r>
            <w:r/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 в соответствии со статьей 39.11 Земельного кодекса Российской Федерации. Аукцион является открытым по составу участников.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949 550 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лет 8 месяцев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left="113" w:right="0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Проект договора аренды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www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torgi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gov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www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gorodperm</w:t>
            </w:r>
            <w:r>
              <w:rPr>
                <w:sz w:val="24"/>
                <w:szCs w:val="24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shd w:val="clear" w:color="auto" w:fill="auto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auto"/>
              </w:rPr>
              <w:t xml:space="preserve"> (раздел Деятельность/ Муниципальная собст</w:t>
            </w:r>
            <w:r>
              <w:rPr>
                <w:sz w:val="24"/>
                <w:szCs w:val="24"/>
              </w:rPr>
              <w:t xml:space="preserve">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69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2"/>
        <w:contextualSpacing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ind w:right="-263"/>
        <w:tabs>
          <w:tab w:val="clear" w:pos="720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92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23.11.2024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24.12.2024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 </w:t>
      </w:r>
      <w:r>
        <w:rPr>
          <w:rFonts w:eastAsia="Courier New"/>
          <w:b/>
          <w:bCs/>
          <w:lang w:bidi="ru-RU"/>
        </w:rPr>
        <w:t xml:space="preserve">25.12.2024.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26.</w:t>
      </w:r>
      <w:r>
        <w:rPr>
          <w:rFonts w:eastAsia="Courier New"/>
          <w:b/>
          <w:lang w:bidi="ru-RU"/>
        </w:rPr>
        <w:t xml:space="preserve">12.2024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2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92"/>
        <w:jc w:val="both"/>
        <w:widowControl w:val="off"/>
      </w:pPr>
      <w:r/>
      <w:r/>
    </w:p>
    <w:p>
      <w:pPr>
        <w:pStyle w:val="692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92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2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92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92"/>
        <w:ind w:left="-567" w:firstLine="709"/>
        <w:jc w:val="both"/>
        <w:widowControl w:val="off"/>
      </w:pPr>
      <w:r/>
      <w:r/>
    </w:p>
    <w:p>
      <w:pPr>
        <w:pStyle w:val="69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5" w:tooltip="http://utp.sberbank-ast.ru/AP/Notice/653/Requisites" w:history="1">
        <w:r>
          <w:rPr>
            <w:rStyle w:val="775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2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92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2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92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23.11.2024 по 24.12.2024.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692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  <w:r>
        <w:rPr>
          <w:lang w:bidi="ru-RU"/>
        </w:rPr>
      </w:r>
      <w:r>
        <w:rPr>
          <w:lang w:bidi="ru-RU"/>
        </w:rPr>
      </w:r>
    </w:p>
    <w:p>
      <w:pPr>
        <w:pStyle w:val="692"/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</w:t>
      </w:r>
      <w:r>
        <w:rPr>
          <w:lang w:bidi="ru-RU"/>
        </w:rPr>
        <w:t xml:space="preserve">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 xml:space="preserve">в аукционе участника.</w:t>
      </w:r>
      <w:r>
        <w:rPr>
          <w:lang w:bidi="ru-RU"/>
        </w:rPr>
      </w:r>
      <w:r>
        <w:rPr>
          <w:lang w:bidi="ru-RU"/>
        </w:rPr>
      </w:r>
    </w:p>
    <w:p>
      <w:pPr>
        <w:pStyle w:val="692"/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установленные сроки формирует поручение Оператору:</w:t>
      </w:r>
      <w:r>
        <w:rPr>
          <w:lang w:bidi="ru-RU"/>
        </w:rPr>
      </w:r>
      <w:r>
        <w:rPr>
          <w:lang w:bidi="ru-RU"/>
        </w:rPr>
      </w:r>
    </w:p>
    <w:p>
      <w:pPr>
        <w:pStyle w:val="692"/>
        <w:ind w:left="-567" w:firstLine="567"/>
        <w:jc w:val="both"/>
        <w:widowControl w:val="off"/>
        <w:rPr>
          <w:bCs/>
          <w:lang w:bidi="ru-RU"/>
        </w:rPr>
      </w:pPr>
      <w:r>
        <w:rPr>
          <w:lang w:bidi="ru-RU"/>
        </w:rPr>
        <w:t xml:space="preserve">- о</w:t>
      </w:r>
      <w:r>
        <w:rPr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</w:t>
      </w:r>
      <w:r>
        <w:rPr>
          <w:bCs/>
          <w:lang w:bidi="ru-RU"/>
        </w:rPr>
        <w:t xml:space="preserve">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20, 25 ст. 39.12 Земельного Кодекса Российской Федерации, засчитываются в оплату приобретаемого земельного участка или в </w:t>
      </w:r>
      <w:r>
        <w:rPr>
          <w:bCs/>
          <w:lang w:bidi="ru-RU"/>
        </w:rPr>
        <w:t xml:space="preserve">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jc w:val="center"/>
        <w:widowControl w:val="off"/>
        <w:rPr>
          <w:rFonts w:eastAsia="Courier New"/>
          <w:lang w:bidi="ru-RU"/>
        </w:rPr>
      </w:pPr>
      <w:r>
        <w:rPr>
          <w:b/>
        </w:rPr>
        <w:t xml:space="preserve">Организатор аукциона вправе: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ind w:left="-567" w:firstLine="567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о проведении аукциона. </w:t>
      </w:r>
      <w:r/>
    </w:p>
    <w:p>
      <w:pPr>
        <w:pStyle w:val="692"/>
        <w:ind w:left="-567" w:firstLine="567"/>
        <w:jc w:val="both"/>
        <w:widowControl w:val="off"/>
      </w:pPr>
      <w:r>
        <w:t xml:space="preserve">Принять решение об отказе в проведении аукциона в случае выявления обстоятел</w:t>
      </w:r>
      <w:r>
        <w:t xml:space="preserve">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 xml:space="preserve">и на электронной площадке в течение трех дней со дня принятия данного решения.</w:t>
      </w:r>
      <w:r/>
    </w:p>
    <w:p>
      <w:pPr>
        <w:pStyle w:val="692"/>
        <w:ind w:left="-567" w:firstLine="567"/>
        <w:jc w:val="both"/>
        <w:widowControl w:val="off"/>
      </w:pPr>
      <w: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/>
    </w:p>
    <w:p>
      <w:pPr>
        <w:pStyle w:val="692"/>
        <w:ind w:left="-567" w:firstLine="567"/>
        <w:jc w:val="both"/>
        <w:widowControl w:val="off"/>
      </w:pPr>
      <w:r>
        <w:t xml:space="preserve">В случае отмены аукциона организатором аукциона (в т. ч. одного или нескольких лотов) </w:t>
      </w:r>
      <w:r>
        <w:br w:type="textWrapping" w:clear="all"/>
      </w:r>
      <w:r>
        <w:t xml:space="preserve"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/>
    </w:p>
    <w:p>
      <w:pPr>
        <w:pStyle w:val="692"/>
        <w:jc w:val="both"/>
        <w:widowControl w:val="off"/>
      </w:pPr>
      <w:r/>
      <w:r/>
    </w:p>
    <w:p>
      <w:pPr>
        <w:pStyle w:val="692"/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 xml:space="preserve">Порядок регистрации на электронной площадке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2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23.11.2024 по 24.12.2024 с 9.00 до 18.00 по местному времени (7:00 – 16:00 МСК).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24"/>
        <w:jc w:val="center"/>
        <w:rPr>
          <w:bCs/>
          <w:lang w:bidi="ru-RU"/>
        </w:rPr>
      </w:pPr>
      <w:r>
        <w:rPr>
          <w:b/>
          <w:color w:val="000000"/>
        </w:rPr>
        <w:t xml:space="preserve">Разъяснение положений извещения о проведении аукциона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91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91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ind w:left="-567" w:firstLine="709"/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2"/>
        <w:numPr>
          <w:ilvl w:val="0"/>
          <w:numId w:val="0"/>
        </w:numPr>
        <w:ind w:left="0" w:firstLine="0"/>
        <w:jc w:val="center"/>
        <w:tabs>
          <w:tab w:val="clear" w:pos="720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содержанию и составу заявки на участие в аукционе, инструкция </w:t>
      </w:r>
      <w:r>
        <w:rPr>
          <w:b/>
          <w:bCs/>
        </w:rPr>
        <w:br w:type="textWrapping" w:clear="all"/>
      </w:r>
      <w:r>
        <w:rPr>
          <w:b/>
          <w:bCs/>
        </w:rPr>
        <w:t xml:space="preserve">по её заполнению</w:t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numPr>
          <w:ilvl w:val="0"/>
          <w:numId w:val="0"/>
        </w:numPr>
        <w:ind w:left="0" w:firstLine="0"/>
        <w:jc w:val="center"/>
        <w:tabs>
          <w:tab w:val="clear" w:pos="720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center" w:pos="5076" w:leader="none"/>
        </w:tabs>
        <w:rPr>
          <w:rFonts w:eastAsia="Courier New"/>
          <w:lang w:bidi="ru-RU"/>
        </w:rPr>
        <w:outlineLvl w:val="0"/>
      </w:pPr>
      <w: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br w:type="textWrapping" w:clear="all"/>
      </w:r>
      <w:r>
        <w:t xml:space="preserve">о проведении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о проведении аукциона срок следующие документы: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jc w:val="both"/>
        <w:rPr>
          <w:rFonts w:eastAsia="Calibri"/>
        </w:rPr>
      </w:pPr>
      <w:r>
        <w:rPr>
          <w:rFonts w:eastAsia="Calibri"/>
        </w:rPr>
        <w:t xml:space="preserve">2) копии документов, удостоверяющих личность заявителя (для граждан), всех страниц;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jc w:val="both"/>
        <w:rPr>
          <w:rFonts w:eastAsia="Calibri"/>
        </w:rPr>
      </w:pPr>
      <w:r>
        <w:rPr>
          <w:rFonts w:eastAsia="Calibri"/>
        </w:rPr>
        <w:t xml:space="preserve">4) документы, подтверждающие внесение задатка.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firstLine="708"/>
        <w:jc w:val="center"/>
        <w:rPr>
          <w:b/>
        </w:rPr>
      </w:pPr>
      <w:r>
        <w:rPr>
          <w:b/>
        </w:rPr>
        <w:t xml:space="preserve">Инструкция по заполнению и подаче заявки, порядок приема заявки</w:t>
      </w:r>
      <w:r>
        <w:rPr>
          <w:b/>
        </w:rPr>
      </w:r>
      <w:r>
        <w:rPr>
          <w:b/>
        </w:rPr>
      </w:r>
    </w:p>
    <w:p>
      <w:pPr>
        <w:pStyle w:val="692"/>
        <w:ind w:firstLine="70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2"/>
        <w:ind w:left="-567" w:firstLine="567"/>
        <w:jc w:val="both"/>
      </w:pPr>
      <w: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/>
    </w:p>
    <w:p>
      <w:pPr>
        <w:pStyle w:val="692"/>
        <w:ind w:left="-567" w:firstLine="567"/>
        <w:jc w:val="both"/>
      </w:pPr>
      <w: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/>
    </w:p>
    <w:p>
      <w:pPr>
        <w:pStyle w:val="692"/>
        <w:ind w:left="-567" w:firstLine="567"/>
        <w:jc w:val="both"/>
      </w:pPr>
      <w:r>
        <w:t xml:space="preserve">Подача заявки осуществляется заявителем, зарегистрированным в торговой секции, </w:t>
      </w:r>
      <w:r>
        <w:br w:type="textWrapping" w:clear="all"/>
      </w:r>
      <w: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/>
    </w:p>
    <w:p>
      <w:pPr>
        <w:pStyle w:val="692"/>
        <w:ind w:left="-567" w:firstLine="567"/>
        <w:jc w:val="both"/>
      </w:pPr>
      <w:r>
        <w:t xml:space="preserve">Заявитель вправе подать заявку в любое время с момента размещения извещения </w:t>
      </w:r>
      <w:r>
        <w:br w:type="textWrapping" w:clear="all"/>
      </w:r>
      <w:r>
        <w:t xml:space="preserve">о проведении аукциона до предусмотренных указанным извещением даты и времени окончания срока подачи заявок.</w:t>
      </w:r>
      <w:r/>
    </w:p>
    <w:p>
      <w:pPr>
        <w:pStyle w:val="692"/>
        <w:ind w:left="-567" w:firstLine="567"/>
        <w:jc w:val="both"/>
      </w:pPr>
      <w:r>
        <w:t xml:space="preserve">Один заявитель вправе подать только одну заявку на участие в аукционе в отношении каждого лота.</w:t>
      </w:r>
      <w:r/>
    </w:p>
    <w:p>
      <w:pPr>
        <w:pStyle w:val="692"/>
        <w:ind w:left="-567" w:firstLine="567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/>
    </w:p>
    <w:p>
      <w:pPr>
        <w:pStyle w:val="692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 w:type="textWrapping" w:clear="all"/>
      </w:r>
      <w:r>
        <w:t xml:space="preserve">в размере не менее чем размер задатка на участие в аукционе, предусмотренный извещением </w:t>
      </w:r>
      <w:r>
        <w:br w:type="textWrapping" w:clear="all"/>
      </w:r>
      <w:r>
        <w:t xml:space="preserve">о проведении аукциона.</w:t>
      </w:r>
      <w:r/>
    </w:p>
    <w:p>
      <w:pPr>
        <w:pStyle w:val="692"/>
        <w:ind w:left="-567" w:firstLine="567"/>
        <w:jc w:val="both"/>
      </w:pPr>
      <w:r>
        <w:t xml:space="preserve">Все документы, входящие в состав заявки, должны иметь четко читаемый текст.</w:t>
      </w:r>
      <w:r/>
    </w:p>
    <w:p>
      <w:pPr>
        <w:pStyle w:val="692"/>
        <w:ind w:left="-567" w:firstLine="567"/>
        <w:jc w:val="both"/>
        <w:rPr>
          <w:bCs/>
        </w:rPr>
      </w:pPr>
      <w:r>
        <w:t xml:space="preserve">Заявка предоставляется организатору аукциона через Оператора.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0" w:firstLine="0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 xml:space="preserve">в размере задатка;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0" w:firstLine="0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20" w:leader="none"/>
        </w:tabs>
        <w:rPr>
          <w:bCs/>
        </w:rPr>
        <w:outlineLvl w:val="0"/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 xml:space="preserve">в течение одн</w:t>
      </w:r>
      <w:r>
        <w:rPr>
          <w:bCs/>
        </w:rPr>
        <w:t xml:space="preserve">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20" w:leader="none"/>
        </w:tabs>
        <w:rPr>
          <w:bCs/>
        </w:rPr>
        <w:outlineLvl w:val="0"/>
      </w:pPr>
      <w:r>
        <w:rPr>
          <w:bCs/>
        </w:rPr>
        <w:t xml:space="preserve">Заявителям, признанным участниками аукциона, и зая</w:t>
      </w:r>
      <w:r>
        <w:rPr>
          <w:bCs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20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92"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Порядок и срок изменения, отзыва заявки на участие в аукционе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2"/>
        <w:ind w:left="502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2"/>
        <w:ind w:left="-567" w:firstLine="567"/>
        <w:jc w:val="both"/>
        <w:widowControl w:val="off"/>
        <w:rPr>
          <w:rFonts w:eastAsia="Courier New"/>
          <w:lang w:bidi="ru-RU"/>
        </w:rPr>
      </w:pPr>
      <w:r>
        <w:t xml:space="preserve">Заявитель имеет право отозвать принятую организатором аукциона заявку на участие </w:t>
      </w:r>
      <w:r>
        <w:br w:type="textWrapping" w:clear="all"/>
      </w:r>
      <w:r>
        <w:t xml:space="preserve">в аукционе до дня окончания срока приема заявок, путем направлен</w:t>
      </w:r>
      <w: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2"/>
        <w:ind w:left="-567" w:firstLine="567"/>
        <w:jc w:val="both"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 xml:space="preserve">к участию в аукционе или об отказе в допуске к участию в аукционе.</w:t>
      </w:r>
      <w:r/>
    </w:p>
    <w:p>
      <w:pPr>
        <w:pStyle w:val="692"/>
        <w:jc w:val="both"/>
        <w:rPr>
          <w:sz w:val="20"/>
        </w:rPr>
      </w:pPr>
      <w:r>
        <w:t xml:space="preserve">Заявитель не допускается к участию в аукционе в следующих случаях:</w:t>
      </w:r>
      <w:r>
        <w:rPr>
          <w:sz w:val="20"/>
        </w:rPr>
      </w:r>
      <w:r>
        <w:rPr>
          <w:sz w:val="20"/>
        </w:rPr>
      </w:r>
    </w:p>
    <w:p>
      <w:pPr>
        <w:pStyle w:val="692"/>
        <w:ind w:left="-567" w:firstLine="567"/>
        <w:jc w:val="both"/>
        <w:widowControl w:val="off"/>
      </w:pPr>
      <w:r>
        <w:rPr>
          <w:sz w:val="20"/>
        </w:rPr>
        <w:t xml:space="preserve">1) </w:t>
      </w:r>
      <w:r>
        <w:t xml:space="preserve">непредставление необходимых для участия в аукционе документов или представление недостоверных сведений;</w:t>
      </w:r>
      <w:r/>
    </w:p>
    <w:p>
      <w:pPr>
        <w:pStyle w:val="692"/>
        <w:jc w:val="both"/>
        <w:widowControl w:val="off"/>
      </w:pPr>
      <w:r>
        <w:t xml:space="preserve">2) непоступление задатка на дату рассмотрения заявок на участие в аукционе;</w:t>
      </w:r>
      <w:r/>
    </w:p>
    <w:p>
      <w:pPr>
        <w:pStyle w:val="692"/>
        <w:ind w:left="-567" w:firstLine="567"/>
        <w:jc w:val="both"/>
        <w:widowControl w:val="off"/>
      </w:pPr>
      <w:r>
        <w:t xml:space="preserve">3) подача заяв</w:t>
      </w:r>
      <w: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/>
    </w:p>
    <w:p>
      <w:pPr>
        <w:pStyle w:val="692"/>
        <w:ind w:left="-567" w:firstLine="567"/>
        <w:jc w:val="both"/>
        <w:widowControl w:val="off"/>
      </w:pPr>
      <w:r>
        <w:t xml:space="preserve">4) наличие свед</w:t>
      </w:r>
      <w: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pStyle w:val="692"/>
        <w:ind w:left="-567" w:firstLine="567"/>
        <w:jc w:val="both"/>
        <w:widowControl w:val="off"/>
      </w:pPr>
      <w:r>
        <w:t xml:space="preserve">В день при</w:t>
      </w:r>
      <w: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/>
    </w:p>
    <w:p>
      <w:pPr>
        <w:pStyle w:val="692"/>
        <w:ind w:left="-567" w:firstLine="567"/>
        <w:jc w:val="both"/>
        <w:widowControl w:val="off"/>
      </w:pPr>
      <w:r>
        <w:t xml:space="preserve">По результатам рассмотрения заявок и докуме</w:t>
      </w:r>
      <w:r>
        <w:t xml:space="preserve">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</w:t>
      </w:r>
      <w:r>
        <w:t xml:space="preserve">ния заявок на участие в аукционе подписывается организатором аукциона не позднее чем в течение одного дня со дня их рассмотрения </w:t>
        <w:br/>
        <w:t xml:space="preserve">и размещается на официальных сайтах и на электронной площадке не позднее чем на следующий день после дня подписания протокола.</w:t>
      </w:r>
      <w:r/>
    </w:p>
    <w:p>
      <w:pPr>
        <w:pStyle w:val="692"/>
        <w:ind w:left="-567" w:firstLine="567"/>
        <w:jc w:val="both"/>
        <w:widowControl w:val="off"/>
      </w:pPr>
      <w:r>
        <w:t xml:space="preserve">Заявитель приобретает статус участника аукциона с момента подписания протокола </w:t>
      </w:r>
      <w:r>
        <w:br w:type="textWrapping" w:clear="all"/>
      </w:r>
      <w:r>
        <w:t xml:space="preserve">о признании претендентов участниками аукциона.</w:t>
      </w:r>
      <w:r/>
    </w:p>
    <w:p>
      <w:pPr>
        <w:pStyle w:val="692"/>
        <w:ind w:left="-567" w:firstLine="567"/>
        <w:jc w:val="both"/>
        <w:widowControl w:val="off"/>
      </w:pPr>
      <w:r>
        <w:t xml:space="preserve">Не позднее следующего рабочего дня после дня подписания протокола о признании претен</w:t>
      </w:r>
      <w:r>
        <w:t xml:space="preserve">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  <w:r/>
    </w:p>
    <w:p>
      <w:pPr>
        <w:pStyle w:val="692"/>
        <w:ind w:left="-567" w:firstLine="567"/>
        <w:jc w:val="both"/>
        <w:spacing w:line="276" w:lineRule="auto"/>
        <w:widowControl w:val="off"/>
      </w:pPr>
      <w:r/>
      <w:r/>
    </w:p>
    <w:p>
      <w:pPr>
        <w:pStyle w:val="692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 xml:space="preserve">Порядок проведения аукциона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2"/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о цене предмета аукциона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для подачи предложений о цене аукциона определяется в следующем порядке: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</w:t>
      </w:r>
      <w:r>
        <w:rPr>
          <w:rFonts w:eastAsia="Calibri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ниже начальной цены;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равно нулю;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ind w:left="-567"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692"/>
        <w:numPr>
          <w:ilvl w:val="0"/>
          <w:numId w:val="0"/>
        </w:numPr>
        <w:ind w:left="0" w:firstLine="0"/>
        <w:jc w:val="center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</w:t>
      </w:r>
      <w:r>
        <w:rPr>
          <w:b/>
          <w:bCs/>
        </w:rPr>
        <w:br w:type="textWrapping" w:clear="all"/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</w:t>
      </w:r>
      <w:r>
        <w:rPr>
          <w:bCs/>
        </w:rPr>
        <w:t xml:space="preserve">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</w:t>
      </w:r>
      <w:r>
        <w:rPr>
          <w:bCs/>
        </w:rPr>
        <w:t xml:space="preserve">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</w:t>
      </w:r>
      <w:r>
        <w:rPr>
          <w:bCs/>
        </w:rPr>
        <w:t xml:space="preserve">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 xml:space="preserve">в государственной или муниципальной собственности, либо подписанный проект договора аренды такого участка.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lear" w:pos="720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догов</w:t>
      </w:r>
      <w:r>
        <w:rPr>
          <w:bCs/>
        </w:rPr>
        <w:t xml:space="preserve">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bCs/>
        </w:rPr>
      </w:r>
      <w:r>
        <w:rPr>
          <w:bCs/>
        </w:rPr>
      </w:r>
    </w:p>
    <w:p>
      <w:pPr>
        <w:pStyle w:val="692"/>
        <w:ind w:left="-567" w:firstLine="567"/>
        <w:jc w:val="both"/>
        <w:rPr>
          <w:bCs/>
        </w:rPr>
      </w:pPr>
      <w:r>
        <w:rPr>
          <w:bCs/>
        </w:rPr>
        <w:t xml:space="preserve">Проекты договоров являются частью извещения и представлены в Приложениях 2, 3  к настоящему извещению.</w:t>
        <w:tab/>
      </w:r>
      <w:r>
        <w:rPr>
          <w:bCs/>
        </w:rPr>
      </w:r>
      <w:r>
        <w:rPr>
          <w:bCs/>
        </w:rPr>
      </w:r>
    </w:p>
    <w:p>
      <w:pPr>
        <w:pStyle w:val="692"/>
        <w:ind w:left="-567" w:firstLine="567"/>
        <w:jc w:val="both"/>
        <w:rPr>
          <w:bCs/>
        </w:rPr>
      </w:pPr>
      <w:r>
        <w:rPr>
          <w:bCs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</w:t>
      </w:r>
      <w:r>
        <w:rPr>
          <w:bCs/>
        </w:rPr>
        <w:t xml:space="preserve">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bCs/>
        </w:rPr>
      </w:r>
      <w:r>
        <w:rPr>
          <w:bCs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20" w:leader="none"/>
        </w:tabs>
        <w:rPr>
          <w:rFonts w:eastAsia="Courier New"/>
          <w:lang w:bidi="ru-RU"/>
        </w:rPr>
        <w:outlineLvl w:val="0"/>
      </w:pPr>
      <w:r>
        <w:rPr>
          <w:bCs/>
        </w:rPr>
        <w:tab/>
        <w:t xml:space="preserve">В </w:t>
      </w:r>
      <w:r>
        <w:rPr>
          <w:bCs/>
        </w:rPr>
        <w:t xml:space="preserve">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</w:t>
      </w:r>
      <w:r>
        <w:rPr>
          <w:bCs/>
        </w:rPr>
        <w:t xml:space="preserve">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2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20" w:leader="none"/>
        </w:tabs>
        <w:rPr>
          <w:rFonts w:eastAsia="Courier New"/>
          <w:lang w:bidi="ru-RU"/>
        </w:rPr>
        <w:outlineLvl w:val="0"/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</w:t>
      </w:r>
      <w:r>
        <w:rPr>
          <w:rFonts w:eastAsia="Courier New"/>
          <w:lang w:bidi="ru-RU"/>
        </w:rPr>
        <w:t xml:space="preserve">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 xml:space="preserve"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93">
    <w:name w:val="Heading 1"/>
    <w:basedOn w:val="692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94">
    <w:name w:val="Heading 2"/>
    <w:basedOn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8">
    <w:name w:val="Heading 6"/>
    <w:basedOn w:val="69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9">
    <w:name w:val="Heading 7"/>
    <w:basedOn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  <w:qFormat/>
  </w:style>
  <w:style w:type="character" w:styleId="703" w:customStyle="1">
    <w:name w:val="Heading 1 Char"/>
    <w:basedOn w:val="702"/>
    <w:uiPriority w:val="9"/>
    <w:qFormat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2"/>
    <w:uiPriority w:val="9"/>
    <w:qFormat/>
    <w:rPr>
      <w:rFonts w:ascii="Arial" w:hAnsi="Arial" w:eastAsia="Arial" w:cs="Arial"/>
      <w:sz w:val="34"/>
    </w:rPr>
  </w:style>
  <w:style w:type="character" w:styleId="705" w:customStyle="1">
    <w:name w:val="Heading 3 Char"/>
    <w:basedOn w:val="702"/>
    <w:uiPriority w:val="9"/>
    <w:qFormat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2"/>
    <w:uiPriority w:val="10"/>
    <w:qFormat/>
    <w:rPr>
      <w:sz w:val="48"/>
      <w:szCs w:val="48"/>
    </w:rPr>
  </w:style>
  <w:style w:type="character" w:styleId="713" w:customStyle="1">
    <w:name w:val="Subtitle Char"/>
    <w:basedOn w:val="702"/>
    <w:uiPriority w:val="11"/>
    <w:qFormat/>
    <w:rPr>
      <w:sz w:val="24"/>
      <w:szCs w:val="24"/>
    </w:rPr>
  </w:style>
  <w:style w:type="character" w:styleId="714" w:customStyle="1">
    <w:name w:val="Quote Char"/>
    <w:uiPriority w:val="29"/>
    <w:qFormat/>
    <w:rPr>
      <w:i/>
    </w:rPr>
  </w:style>
  <w:style w:type="character" w:styleId="715" w:customStyle="1">
    <w:name w:val="Intense Quote Char"/>
    <w:uiPriority w:val="30"/>
    <w:qFormat/>
    <w:rPr>
      <w:i/>
    </w:rPr>
  </w:style>
  <w:style w:type="character" w:styleId="716" w:customStyle="1">
    <w:name w:val="Header Char"/>
    <w:basedOn w:val="702"/>
    <w:uiPriority w:val="99"/>
    <w:qFormat/>
  </w:style>
  <w:style w:type="character" w:styleId="717" w:customStyle="1">
    <w:name w:val="Caption Char"/>
    <w:uiPriority w:val="99"/>
    <w:qFormat/>
  </w:style>
  <w:style w:type="character" w:styleId="718" w:customStyle="1">
    <w:name w:val="Footnote Text Char"/>
    <w:uiPriority w:val="99"/>
    <w:qFormat/>
    <w:rPr>
      <w:sz w:val="18"/>
    </w:rPr>
  </w:style>
  <w:style w:type="character" w:styleId="719" w:customStyle="1">
    <w:name w:val="Endnote Text Char"/>
    <w:uiPriority w:val="99"/>
    <w:qFormat/>
    <w:rPr>
      <w:sz w:val="20"/>
    </w:rPr>
  </w:style>
  <w:style w:type="character" w:styleId="72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2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Заголовок Знак1"/>
    <w:uiPriority w:val="10"/>
    <w:qFormat/>
    <w:rPr>
      <w:sz w:val="48"/>
      <w:szCs w:val="48"/>
    </w:rPr>
  </w:style>
  <w:style w:type="character" w:styleId="730" w:customStyle="1">
    <w:name w:val="Подзаголовок Знак"/>
    <w:uiPriority w:val="11"/>
    <w:qFormat/>
    <w:rPr>
      <w:sz w:val="24"/>
      <w:szCs w:val="24"/>
    </w:rPr>
  </w:style>
  <w:style w:type="character" w:styleId="731" w:customStyle="1">
    <w:name w:val="Цитата 2 Знак"/>
    <w:uiPriority w:val="29"/>
    <w:qFormat/>
    <w:rPr>
      <w:i/>
    </w:rPr>
  </w:style>
  <w:style w:type="character" w:styleId="732" w:customStyle="1">
    <w:name w:val="Выделенная цитата Знак"/>
    <w:uiPriority w:val="30"/>
    <w:qFormat/>
    <w:rPr>
      <w:i/>
    </w:rPr>
  </w:style>
  <w:style w:type="character" w:styleId="733" w:customStyle="1">
    <w:name w:val="Верхний колонтитул Знак1"/>
    <w:uiPriority w:val="99"/>
    <w:qFormat/>
  </w:style>
  <w:style w:type="character" w:styleId="734" w:customStyle="1">
    <w:name w:val="Footer Char"/>
    <w:uiPriority w:val="99"/>
    <w:qFormat/>
  </w:style>
  <w:style w:type="character" w:styleId="735" w:customStyle="1">
    <w:name w:val="Нижний колонтитул Знак1"/>
    <w:uiPriority w:val="99"/>
    <w:qFormat/>
  </w:style>
  <w:style w:type="character" w:styleId="736" w:customStyle="1">
    <w:name w:val="Текст сноски Знак"/>
    <w:uiPriority w:val="99"/>
    <w:qFormat/>
    <w:rPr>
      <w:sz w:val="18"/>
    </w:rPr>
  </w:style>
  <w:style w:type="character" w:styleId="737" w:customStyle="1">
    <w:name w:val="Символ сноски"/>
    <w:uiPriority w:val="99"/>
    <w:unhideWhenUsed/>
    <w:qFormat/>
    <w:rPr>
      <w:vertAlign w:val="superscript"/>
    </w:rPr>
  </w:style>
  <w:style w:type="character" w:styleId="738">
    <w:name w:val="footnote reference"/>
    <w:rPr>
      <w:vertAlign w:val="superscript"/>
    </w:rPr>
  </w:style>
  <w:style w:type="character" w:styleId="739" w:customStyle="1">
    <w:name w:val="Текст концевой сноски Знак"/>
    <w:uiPriority w:val="99"/>
    <w:qFormat/>
    <w:rPr>
      <w:sz w:val="20"/>
    </w:rPr>
  </w:style>
  <w:style w:type="character" w:styleId="74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1">
    <w:name w:val="endnote reference"/>
    <w:rPr>
      <w:vertAlign w:val="superscript"/>
    </w:rPr>
  </w:style>
  <w:style w:type="character" w:styleId="742" w:customStyle="1">
    <w:name w:val="WW8Num2z0"/>
    <w:qFormat/>
    <w:rPr>
      <w:rFonts w:ascii="Symbol" w:hAnsi="Symbol" w:cs="Symbol"/>
    </w:rPr>
  </w:style>
  <w:style w:type="character" w:styleId="743" w:customStyle="1">
    <w:name w:val="WW8Num3z0"/>
    <w:qFormat/>
  </w:style>
  <w:style w:type="character" w:styleId="744" w:customStyle="1">
    <w:name w:val="WW8Num4z0"/>
    <w:qFormat/>
  </w:style>
  <w:style w:type="character" w:styleId="745" w:customStyle="1">
    <w:name w:val="WW8Num5z0"/>
    <w:qFormat/>
    <w:rPr>
      <w:sz w:val="16"/>
      <w:szCs w:val="16"/>
    </w:rPr>
  </w:style>
  <w:style w:type="character" w:styleId="746" w:customStyle="1">
    <w:name w:val="WW8Num6z0"/>
    <w:qFormat/>
  </w:style>
  <w:style w:type="character" w:styleId="747" w:customStyle="1">
    <w:name w:val="WW8Num7z0"/>
    <w:qFormat/>
  </w:style>
  <w:style w:type="character" w:styleId="748" w:customStyle="1">
    <w:name w:val="WW8Num8z0"/>
    <w:qFormat/>
  </w:style>
  <w:style w:type="character" w:styleId="749" w:customStyle="1">
    <w:name w:val="WW8Num9z0"/>
    <w:qFormat/>
  </w:style>
  <w:style w:type="character" w:styleId="750" w:customStyle="1">
    <w:name w:val="WW8Num10z0"/>
    <w:qFormat/>
  </w:style>
  <w:style w:type="character" w:styleId="751" w:customStyle="1">
    <w:name w:val="WW8Num11z0"/>
    <w:qFormat/>
  </w:style>
  <w:style w:type="character" w:styleId="752" w:customStyle="1">
    <w:name w:val="WW8Num12z0"/>
    <w:qFormat/>
  </w:style>
  <w:style w:type="character" w:styleId="753" w:customStyle="1">
    <w:name w:val="WW8Num13z0"/>
    <w:qFormat/>
  </w:style>
  <w:style w:type="character" w:styleId="754" w:customStyle="1">
    <w:name w:val="WW8Num14z0"/>
    <w:qFormat/>
  </w:style>
  <w:style w:type="character" w:styleId="755" w:customStyle="1">
    <w:name w:val="WW8Num15z0"/>
    <w:qFormat/>
  </w:style>
  <w:style w:type="character" w:styleId="756" w:customStyle="1">
    <w:name w:val="WW8Num18z0"/>
    <w:qFormat/>
  </w:style>
  <w:style w:type="character" w:styleId="757" w:customStyle="1">
    <w:name w:val="WW8Num19z0"/>
    <w:qFormat/>
  </w:style>
  <w:style w:type="character" w:styleId="758" w:customStyle="1">
    <w:name w:val="WW8Num20z0"/>
    <w:qFormat/>
  </w:style>
  <w:style w:type="character" w:styleId="759" w:customStyle="1">
    <w:name w:val="WW8Num21z0"/>
    <w:qFormat/>
  </w:style>
  <w:style w:type="character" w:styleId="760" w:customStyle="1">
    <w:name w:val="WW8Num22z0"/>
    <w:qFormat/>
  </w:style>
  <w:style w:type="character" w:styleId="761" w:customStyle="1">
    <w:name w:val="WW8Num23z0"/>
    <w:qFormat/>
  </w:style>
  <w:style w:type="character" w:styleId="762" w:customStyle="1">
    <w:name w:val="WW8Num25z0"/>
    <w:qFormat/>
  </w:style>
  <w:style w:type="character" w:styleId="763" w:customStyle="1">
    <w:name w:val="WW8Num26z0"/>
    <w:qFormat/>
  </w:style>
  <w:style w:type="character" w:styleId="764" w:customStyle="1">
    <w:name w:val="WW8Num27z0"/>
    <w:qFormat/>
  </w:style>
  <w:style w:type="character" w:styleId="765" w:customStyle="1">
    <w:name w:val="WW8Num29z0"/>
    <w:qFormat/>
    <w:rPr>
      <w:rFonts w:ascii="Symbol" w:hAnsi="Symbol" w:cs="Symbol"/>
    </w:rPr>
  </w:style>
  <w:style w:type="character" w:styleId="766" w:customStyle="1">
    <w:name w:val="WW8Num30z0"/>
    <w:qFormat/>
  </w:style>
  <w:style w:type="character" w:styleId="767" w:customStyle="1">
    <w:name w:val="WW8Num31z0"/>
    <w:qFormat/>
  </w:style>
  <w:style w:type="character" w:styleId="768" w:customStyle="1">
    <w:name w:val="WW8Num32z0"/>
    <w:qFormat/>
  </w:style>
  <w:style w:type="character" w:styleId="769" w:customStyle="1">
    <w:name w:val="WW8Num33z0"/>
    <w:qFormat/>
  </w:style>
  <w:style w:type="character" w:styleId="770" w:customStyle="1">
    <w:name w:val="WW8Num34z0"/>
    <w:qFormat/>
  </w:style>
  <w:style w:type="character" w:styleId="771">
    <w:name w:val="page number"/>
    <w:basedOn w:val="702"/>
    <w:qFormat/>
  </w:style>
  <w:style w:type="character" w:styleId="772" w:customStyle="1">
    <w:name w:val="Текст Знак"/>
    <w:qFormat/>
    <w:rPr>
      <w:rFonts w:ascii="Courier New" w:hAnsi="Courier New" w:cs="Courier New"/>
    </w:rPr>
  </w:style>
  <w:style w:type="character" w:styleId="773" w:customStyle="1">
    <w:name w:val="Верхний колонтитул Знак"/>
    <w:qFormat/>
    <w:rPr>
      <w:sz w:val="16"/>
      <w:lang w:val="ru-RU" w:bidi="ar-SA"/>
    </w:rPr>
  </w:style>
  <w:style w:type="character" w:styleId="774" w:customStyle="1">
    <w:name w:val="Основной текст с отступом 3 Знак"/>
    <w:qFormat/>
    <w:rPr>
      <w:sz w:val="16"/>
      <w:szCs w:val="16"/>
    </w:rPr>
  </w:style>
  <w:style w:type="character" w:styleId="775">
    <w:name w:val="Hyperlink"/>
    <w:rPr>
      <w:color w:val="0563c1"/>
      <w:u w:val="single"/>
    </w:rPr>
  </w:style>
  <w:style w:type="character" w:styleId="776" w:customStyle="1">
    <w:name w:val="Абзац списка Знак"/>
    <w:qFormat/>
    <w:rPr>
      <w:sz w:val="24"/>
      <w:szCs w:val="24"/>
    </w:rPr>
  </w:style>
  <w:style w:type="character" w:styleId="777" w:customStyle="1">
    <w:name w:val="Заголовок 6 Знак"/>
    <w:qFormat/>
    <w:rPr>
      <w:b/>
      <w:bCs/>
      <w:sz w:val="22"/>
      <w:szCs w:val="22"/>
    </w:rPr>
  </w:style>
  <w:style w:type="character" w:styleId="778" w:customStyle="1">
    <w:name w:val="Название Знак"/>
    <w:qFormat/>
    <w:rPr>
      <w:sz w:val="28"/>
      <w:lang w:val="ru-RU" w:bidi="ar-SA"/>
    </w:rPr>
  </w:style>
  <w:style w:type="character" w:styleId="779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80" w:customStyle="1">
    <w:name w:val="Нижний колонтитул Знак"/>
    <w:qFormat/>
  </w:style>
  <w:style w:type="character" w:styleId="781">
    <w:name w:val="FollowedHyperlink"/>
    <w:rPr>
      <w:color w:val="954f72"/>
      <w:u w:val="single"/>
    </w:rPr>
  </w:style>
  <w:style w:type="character" w:styleId="782" w:customStyle="1">
    <w:name w:val="Гиперссылка1"/>
    <w:qFormat/>
    <w:rPr>
      <w:color w:val="0000ff"/>
      <w:u w:val="single"/>
    </w:rPr>
  </w:style>
  <w:style w:type="character" w:styleId="783">
    <w:name w:val="Символ нумерации"/>
    <w:qFormat/>
  </w:style>
  <w:style w:type="paragraph" w:styleId="784" w:customStyle="1">
    <w:name w:val="Заголовок"/>
    <w:basedOn w:val="692"/>
    <w:next w:val="78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85">
    <w:name w:val="Body Text"/>
    <w:basedOn w:val="692"/>
    <w:pPr>
      <w:jc w:val="right"/>
    </w:pPr>
    <w:rPr>
      <w:sz w:val="28"/>
    </w:rPr>
  </w:style>
  <w:style w:type="paragraph" w:styleId="786">
    <w:name w:val="List"/>
    <w:basedOn w:val="785"/>
  </w:style>
  <w:style w:type="paragraph" w:styleId="787">
    <w:name w:val="Caption"/>
    <w:basedOn w:val="69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88">
    <w:name w:val="Указатель"/>
    <w:basedOn w:val="692"/>
    <w:qFormat/>
    <w:pPr>
      <w:suppressLineNumbers/>
    </w:pPr>
    <w:rPr>
      <w:rFonts w:cs="Lohit Devanagari"/>
    </w:rPr>
  </w:style>
  <w:style w:type="paragraph" w:styleId="789">
    <w:name w:val="caption1"/>
    <w:basedOn w:val="692"/>
    <w:qFormat/>
    <w:pPr>
      <w:spacing w:before="120" w:after="120"/>
      <w:suppressLineNumbers/>
    </w:pPr>
    <w:rPr>
      <w:i/>
      <w:iCs/>
    </w:rPr>
  </w:style>
  <w:style w:type="paragraph" w:styleId="790">
    <w:name w:val="index heading1"/>
    <w:basedOn w:val="784"/>
    <w:qFormat/>
  </w:style>
  <w:style w:type="paragraph" w:styleId="791">
    <w:name w:val="List Paragraph"/>
    <w:basedOn w:val="692"/>
    <w:qFormat/>
    <w:pPr>
      <w:ind w:left="708"/>
    </w:pPr>
  </w:style>
  <w:style w:type="paragraph" w:styleId="79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93">
    <w:name w:val="Title"/>
    <w:basedOn w:val="692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94">
    <w:name w:val="Subtitle"/>
    <w:basedOn w:val="692"/>
    <w:uiPriority w:val="11"/>
    <w:qFormat/>
    <w:pPr>
      <w:spacing w:before="200" w:after="200"/>
    </w:pPr>
  </w:style>
  <w:style w:type="paragraph" w:styleId="795">
    <w:name w:val="Quote"/>
    <w:basedOn w:val="692"/>
    <w:uiPriority w:val="29"/>
    <w:qFormat/>
    <w:pPr>
      <w:ind w:left="720" w:right="720"/>
    </w:pPr>
    <w:rPr>
      <w:i/>
    </w:rPr>
  </w:style>
  <w:style w:type="paragraph" w:styleId="796">
    <w:name w:val="Intense Quote"/>
    <w:basedOn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7">
    <w:name w:val="footnote text"/>
    <w:basedOn w:val="692"/>
    <w:uiPriority w:val="99"/>
    <w:semiHidden/>
    <w:unhideWhenUsed/>
    <w:pPr>
      <w:spacing w:before="0" w:after="40"/>
    </w:pPr>
    <w:rPr>
      <w:sz w:val="18"/>
    </w:rPr>
  </w:style>
  <w:style w:type="paragraph" w:styleId="798">
    <w:name w:val="endnote text"/>
    <w:basedOn w:val="692"/>
    <w:uiPriority w:val="99"/>
    <w:semiHidden/>
    <w:unhideWhenUsed/>
    <w:rPr>
      <w:sz w:val="20"/>
    </w:rPr>
  </w:style>
  <w:style w:type="paragraph" w:styleId="799">
    <w:name w:val="toc 1"/>
    <w:basedOn w:val="692"/>
    <w:uiPriority w:val="39"/>
    <w:unhideWhenUsed/>
    <w:pPr>
      <w:spacing w:before="0" w:after="57"/>
    </w:pPr>
  </w:style>
  <w:style w:type="paragraph" w:styleId="800">
    <w:name w:val="toc 2"/>
    <w:basedOn w:val="692"/>
    <w:uiPriority w:val="39"/>
    <w:unhideWhenUsed/>
    <w:pPr>
      <w:ind w:left="283"/>
      <w:spacing w:before="0" w:after="57"/>
    </w:pPr>
  </w:style>
  <w:style w:type="paragraph" w:styleId="801">
    <w:name w:val="toc 3"/>
    <w:basedOn w:val="692"/>
    <w:uiPriority w:val="39"/>
    <w:unhideWhenUsed/>
    <w:pPr>
      <w:ind w:left="567"/>
      <w:spacing w:before="0" w:after="57"/>
    </w:pPr>
  </w:style>
  <w:style w:type="paragraph" w:styleId="802">
    <w:name w:val="toc 4"/>
    <w:basedOn w:val="692"/>
    <w:uiPriority w:val="39"/>
    <w:unhideWhenUsed/>
    <w:pPr>
      <w:ind w:left="850"/>
      <w:spacing w:before="0" w:after="57"/>
    </w:pPr>
  </w:style>
  <w:style w:type="paragraph" w:styleId="803">
    <w:name w:val="toc 5"/>
    <w:basedOn w:val="692"/>
    <w:uiPriority w:val="39"/>
    <w:unhideWhenUsed/>
    <w:pPr>
      <w:ind w:left="1134"/>
      <w:spacing w:before="0" w:after="57"/>
    </w:pPr>
  </w:style>
  <w:style w:type="paragraph" w:styleId="804">
    <w:name w:val="toc 6"/>
    <w:basedOn w:val="692"/>
    <w:uiPriority w:val="39"/>
    <w:unhideWhenUsed/>
    <w:pPr>
      <w:ind w:left="1417"/>
      <w:spacing w:before="0" w:after="57"/>
    </w:pPr>
  </w:style>
  <w:style w:type="paragraph" w:styleId="805">
    <w:name w:val="toc 7"/>
    <w:basedOn w:val="692"/>
    <w:uiPriority w:val="39"/>
    <w:unhideWhenUsed/>
    <w:pPr>
      <w:ind w:left="1701"/>
      <w:spacing w:before="0" w:after="57"/>
    </w:pPr>
  </w:style>
  <w:style w:type="paragraph" w:styleId="806">
    <w:name w:val="toc 8"/>
    <w:basedOn w:val="692"/>
    <w:uiPriority w:val="39"/>
    <w:unhideWhenUsed/>
    <w:pPr>
      <w:ind w:left="1984"/>
      <w:spacing w:before="0" w:after="57"/>
    </w:pPr>
  </w:style>
  <w:style w:type="paragraph" w:styleId="807">
    <w:name w:val="toc 9"/>
    <w:basedOn w:val="692"/>
    <w:uiPriority w:val="39"/>
    <w:unhideWhenUsed/>
    <w:pPr>
      <w:ind w:left="2268"/>
      <w:spacing w:before="0" w:after="57"/>
    </w:pPr>
  </w:style>
  <w:style w:type="paragraph" w:styleId="808">
    <w:name w:val="Index Heading"/>
    <w:basedOn w:val="784"/>
  </w:style>
  <w:style w:type="paragraph" w:styleId="80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10">
    <w:name w:val="table of figures"/>
    <w:basedOn w:val="692"/>
    <w:uiPriority w:val="99"/>
    <w:unhideWhenUsed/>
  </w:style>
  <w:style w:type="paragraph" w:styleId="811" w:customStyle="1">
    <w:name w:val="index heading11"/>
    <w:basedOn w:val="692"/>
    <w:qFormat/>
    <w:pPr>
      <w:suppressLineNumbers/>
    </w:pPr>
  </w:style>
  <w:style w:type="paragraph" w:styleId="812" w:customStyle="1">
    <w:name w:val="Caption11"/>
    <w:basedOn w:val="692"/>
    <w:qFormat/>
    <w:pPr>
      <w:spacing w:before="120" w:after="120"/>
      <w:suppressLineNumbers/>
    </w:pPr>
    <w:rPr>
      <w:i/>
      <w:iCs/>
    </w:rPr>
  </w:style>
  <w:style w:type="paragraph" w:styleId="813">
    <w:name w:val="Plain Text"/>
    <w:basedOn w:val="692"/>
    <w:qFormat/>
    <w:rPr>
      <w:rFonts w:ascii="Courier New" w:hAnsi="Courier New" w:cs="Courier New"/>
      <w:sz w:val="20"/>
      <w:szCs w:val="20"/>
      <w:lang w:val="en-US"/>
    </w:rPr>
  </w:style>
  <w:style w:type="paragraph" w:styleId="814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15">
    <w:name w:val="Body Text 2"/>
    <w:basedOn w:val="692"/>
    <w:qFormat/>
    <w:pPr>
      <w:spacing w:before="0" w:after="120" w:line="480" w:lineRule="auto"/>
    </w:pPr>
  </w:style>
  <w:style w:type="paragraph" w:styleId="816">
    <w:name w:val="Body Text 3"/>
    <w:basedOn w:val="692"/>
    <w:qFormat/>
    <w:pPr>
      <w:spacing w:before="0" w:after="120"/>
    </w:pPr>
    <w:rPr>
      <w:sz w:val="16"/>
      <w:szCs w:val="16"/>
    </w:rPr>
  </w:style>
  <w:style w:type="paragraph" w:styleId="817" w:customStyle="1">
    <w:name w:val="Колонтитул"/>
    <w:basedOn w:val="692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18">
    <w:name w:val="Footer"/>
    <w:basedOn w:val="692"/>
    <w:pPr>
      <w:tabs>
        <w:tab w:val="clear" w:pos="720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9">
    <w:name w:val="Balloon Text"/>
    <w:basedOn w:val="692"/>
    <w:qFormat/>
    <w:rPr>
      <w:rFonts w:ascii="Tahoma" w:hAnsi="Tahoma" w:cs="Tahoma"/>
      <w:sz w:val="16"/>
      <w:szCs w:val="16"/>
    </w:rPr>
  </w:style>
  <w:style w:type="paragraph" w:styleId="820" w:customStyle="1">
    <w:name w:val="Знак Знак Знак Знак Знак Знак Знак Знак Знак Знак Знак Знак"/>
    <w:basedOn w:val="692"/>
    <w:qFormat/>
    <w:rPr>
      <w:rFonts w:ascii="Verdana" w:hAnsi="Verdana" w:cs="Verdana"/>
      <w:sz w:val="20"/>
      <w:szCs w:val="20"/>
      <w:lang w:val="en-US"/>
    </w:rPr>
  </w:style>
  <w:style w:type="paragraph" w:styleId="82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22">
    <w:name w:val="Header"/>
    <w:pPr>
      <w:jc w:val="center"/>
      <w:spacing w:before="0" w:after="0"/>
      <w:widowControl/>
      <w:tabs>
        <w:tab w:val="clear" w:pos="720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23">
    <w:name w:val="Body Text Indent 3"/>
    <w:basedOn w:val="692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24">
    <w:name w:val="Normal (Web)"/>
    <w:basedOn w:val="692"/>
    <w:qFormat/>
    <w:pPr>
      <w:spacing w:before="280" w:after="280"/>
    </w:pPr>
  </w:style>
  <w:style w:type="paragraph" w:styleId="825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6" w:customStyle="1">
    <w:name w:val="Содержимое таблицы"/>
    <w:basedOn w:val="692"/>
    <w:qFormat/>
    <w:pPr>
      <w:widowControl w:val="off"/>
      <w:suppressLineNumbers/>
    </w:pPr>
  </w:style>
  <w:style w:type="paragraph" w:styleId="827" w:customStyle="1">
    <w:name w:val="Заголовок таблицы"/>
    <w:basedOn w:val="826"/>
    <w:qFormat/>
    <w:pPr>
      <w:jc w:val="center"/>
    </w:pPr>
    <w:rPr>
      <w:b/>
      <w:bCs/>
    </w:rPr>
  </w:style>
  <w:style w:type="numbering" w:styleId="828" w:default="1">
    <w:name w:val="No List"/>
    <w:uiPriority w:val="99"/>
    <w:semiHidden/>
    <w:unhideWhenUsed/>
    <w:qFormat/>
  </w:style>
  <w:style w:type="table" w:styleId="82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4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5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60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61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62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63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64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65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73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74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75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76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77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78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79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4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5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6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7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8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9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900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9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0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1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22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3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4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5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6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7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8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36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37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38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39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40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41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42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43" w:customStyle="1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44" w:customStyle="1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45" w:customStyle="1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46" w:customStyle="1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47" w:customStyle="1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48" w:customStyle="1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49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50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1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52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3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4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5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www.torgi.gov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://utp.sberbank-ast.ru/" TargetMode="External"/><Relationship Id="rId16" Type="http://schemas.openxmlformats.org/officeDocument/2006/relationships/hyperlink" Target="https://utp.sberbank-ast.ru/Main/Notice/988/Reglament" TargetMode="External"/><Relationship Id="rId17" Type="http://schemas.openxmlformats.org/officeDocument/2006/relationships/hyperlink" Target="https://utp.sberbank-ast.ru/AP/Notice/1027/Instructions" TargetMode="External"/><Relationship Id="rId18" Type="http://schemas.openxmlformats.org/officeDocument/2006/relationships/hyperlink" Target="https://utp.sberbank-ast.ru/AP/Notice/652/Instructions" TargetMode="External"/><Relationship Id="rId19" Type="http://schemas.openxmlformats.org/officeDocument/2006/relationships/hyperlink" Target="mailto:perm-mail@ural.rt.ru" TargetMode="External"/><Relationship Id="rId20" Type="http://schemas.openxmlformats.org/officeDocument/2006/relationships/hyperlink" Target="http://www.torgi.gov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://www.gorodperm.ru/" TargetMode="External"/><Relationship Id="rId23" Type="http://schemas.openxmlformats.org/officeDocument/2006/relationships/hyperlink" Target="mailto:perm-mail@ural.rt.ru" TargetMode="External"/><Relationship Id="rId24" Type="http://schemas.openxmlformats.org/officeDocument/2006/relationships/hyperlink" Target="http://www.torgi.gov.ru/" TargetMode="External"/><Relationship Id="rId25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87</cp:revision>
  <dcterms:created xsi:type="dcterms:W3CDTF">2024-09-02T08:08:00Z</dcterms:created>
  <dcterms:modified xsi:type="dcterms:W3CDTF">2024-11-22T09:58:51Z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