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PlainText"/>
        <w:ind w:hanging="1134" w:left="1134" w:right="-261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cs="Times New Roman" w:ascii="Times New Roman" w:hAnsi="Times New Roman"/>
          <w:b/>
          <w:sz w:val="24"/>
          <w:szCs w:val="24"/>
          <w:lang w:val="ru-RU"/>
        </w:rPr>
      </w:r>
    </w:p>
    <w:p>
      <w:pPr>
        <w:pStyle w:val="PlainText"/>
        <w:ind w:hanging="1134" w:left="1134" w:right="-261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4732" w:leader="none"/>
          <w:tab w:val="left" w:pos="5812" w:leader="none"/>
        </w:tabs>
        <w:spacing w:lineRule="exact" w:line="240"/>
        <w:ind w:firstLine="5670" w:left="0"/>
        <w:jc w:val="both"/>
        <w:outlineLvl w:val="5"/>
        <w:rPr>
          <w:sz w:val="28"/>
          <w:szCs w:val="28"/>
        </w:rPr>
      </w:pPr>
      <w:r>
        <w:rPr>
          <w:bCs/>
          <w:sz w:val="28"/>
          <w:szCs w:val="28"/>
        </w:rPr>
        <w:t>Приложение 2</w:t>
      </w:r>
    </w:p>
    <w:p>
      <w:pPr>
        <w:pStyle w:val="Normal"/>
        <w:tabs>
          <w:tab w:val="clear" w:pos="708"/>
          <w:tab w:val="left" w:pos="4732" w:leader="none"/>
        </w:tabs>
        <w:spacing w:lineRule="exact" w:line="240"/>
        <w:ind w:firstLine="6" w:left="5664"/>
        <w:rPr>
          <w:sz w:val="28"/>
          <w:szCs w:val="28"/>
        </w:rPr>
      </w:pPr>
      <w:r>
        <w:rPr>
          <w:sz w:val="28"/>
          <w:szCs w:val="28"/>
        </w:rPr>
        <w:t>к приказу начальника департамента</w:t>
      </w:r>
    </w:p>
    <w:p>
      <w:pPr>
        <w:pStyle w:val="Normal"/>
        <w:tabs>
          <w:tab w:val="clear" w:pos="708"/>
          <w:tab w:val="left" w:pos="4732" w:leader="none"/>
        </w:tabs>
        <w:spacing w:lineRule="exact" w:line="240"/>
        <w:ind w:firstLine="5670"/>
        <w:rPr>
          <w:sz w:val="28"/>
          <w:szCs w:val="28"/>
        </w:rPr>
      </w:pPr>
      <w:r>
        <w:rPr>
          <w:sz w:val="28"/>
          <w:szCs w:val="28"/>
        </w:rPr>
        <w:t>имущественных отношений</w:t>
      </w:r>
    </w:p>
    <w:p>
      <w:pPr>
        <w:pStyle w:val="Normal"/>
        <w:tabs>
          <w:tab w:val="clear" w:pos="708"/>
          <w:tab w:val="left" w:pos="4732" w:leader="none"/>
        </w:tabs>
        <w:spacing w:lineRule="exact" w:line="240"/>
        <w:ind w:firstLine="5670"/>
        <w:rPr>
          <w:sz w:val="28"/>
          <w:szCs w:val="28"/>
        </w:rPr>
      </w:pPr>
      <w:r>
        <w:rPr>
          <w:sz w:val="28"/>
          <w:szCs w:val="28"/>
        </w:rPr>
        <w:t>администрации города Перми</w:t>
      </w:r>
    </w:p>
    <w:p>
      <w:pPr>
        <w:pStyle w:val="Normal"/>
        <w:tabs>
          <w:tab w:val="clear" w:pos="708"/>
          <w:tab w:val="left" w:pos="4732" w:leader="none"/>
        </w:tabs>
        <w:spacing w:lineRule="exact" w:line="240"/>
        <w:ind w:firstLine="5670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>
        <w:rPr>
          <w:sz w:val="28"/>
          <w:szCs w:val="28"/>
        </w:rPr>
        <w:t>28.12.2024 № 059-19-01-11-130</w:t>
      </w:r>
    </w:p>
    <w:p>
      <w:pPr>
        <w:pStyle w:val="Normal"/>
        <w:tabs>
          <w:tab w:val="clear" w:pos="708"/>
          <w:tab w:val="left" w:pos="4732" w:leader="none"/>
        </w:tabs>
        <w:ind w:left="283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tabs>
          <w:tab w:val="clear" w:pos="708"/>
          <w:tab w:val="left" w:pos="4732" w:leader="none"/>
        </w:tabs>
        <w:ind w:left="28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PlainText"/>
        <w:spacing w:lineRule="exact" w:line="240"/>
        <w:ind w:hanging="1134" w:left="1134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cs="Times New Roman" w:ascii="Times New Roman" w:hAnsi="Times New Roman"/>
          <w:b/>
          <w:sz w:val="28"/>
          <w:szCs w:val="28"/>
          <w:lang w:val="ru-RU"/>
        </w:rPr>
        <w:t>Извещение о проведении 06.02.2025 электронных аукционов на право заключения договоров аренды земельных участков</w:t>
      </w:r>
    </w:p>
    <w:p>
      <w:pPr>
        <w:pStyle w:val="PlainText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cs="Times New Roman" w:ascii="Times New Roman" w:hAnsi="Times New Roman"/>
          <w:b/>
          <w:sz w:val="28"/>
          <w:szCs w:val="28"/>
          <w:lang w:val="ru-RU"/>
        </w:rPr>
      </w:r>
    </w:p>
    <w:p>
      <w:pPr>
        <w:pStyle w:val="Normal"/>
        <w:widowControl w:val="false"/>
        <w:ind w:firstLine="567" w:left="-567"/>
        <w:jc w:val="both"/>
        <w:rPr>
          <w:b/>
          <w:bCs/>
        </w:rPr>
      </w:pPr>
      <w:r>
        <w:rPr>
          <w:shd w:fill="FFFFFF" w:val="clear"/>
        </w:rPr>
        <w:t xml:space="preserve">Электронные аукционы на право заключения договоров аренды земельных участков (далее – аукцион) проводятся в соответствии со статьями 39.11, 39.12, 39.13 Земельного кодекса Российской Федерации, Положением о департаменте имущественных отношений администрации города Перми, утвержденным решением Пермской городской Думы от 12 сентября 2006 г. № 210, постановлением администрации города Перми от 20 ноября 2008 г. № 1089 «О комиссии по проведению аукционов по продаже земельных участков, находящихся в муниципальной собственности города Перми, и участков, собственность на которые не разграничена, объектов незавершенного строительства, расположенных на земельных участках, находящихся в муниципальной собственности города Перми, и участках, собственность на которые  не разграничена, или на право заключения договоров аренды земельных участков, находящихся в муниципальной собственности города Перми, и участков, собственность на которые не разграничена» (далее – комиссия), </w:t>
      </w:r>
      <w:r>
        <w:rPr>
          <w:rFonts w:eastAsia="Droid Sans Fallback" w:cs="Lohit Devanagari"/>
          <w:color w:val="000000"/>
          <w:sz w:val="24"/>
          <w:szCs w:val="24"/>
          <w:shd w:fill="FFFFFF" w:val="clear"/>
          <w:lang w:val="ru-RU" w:eastAsia="zh-CN" w:bidi="ar-SA"/>
        </w:rPr>
        <w:t>регламентом работы электронной площадки АО «Сбербанк-АСТ», регламентом работы торговой секции АО «Сбербанк-АСТ».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9355" w:leader="none"/>
        </w:tabs>
        <w:ind w:firstLine="567" w:left="-567"/>
        <w:jc w:val="both"/>
        <w:outlineLvl w:val="0"/>
        <w:rPr>
          <w:b/>
          <w:bCs/>
        </w:rPr>
      </w:pPr>
      <w:r>
        <w:rPr>
          <w:b/>
          <w:bCs/>
        </w:rPr>
        <w:t xml:space="preserve">Орган, принявший решение о проведении аукциона: </w:t>
      </w:r>
      <w:r>
        <w:rPr>
          <w:bCs/>
        </w:rPr>
        <w:t xml:space="preserve">департамент земельных отношений администрации города Перми, местонахождение: 614015, г. Пермь, ул. Сибирская,15, почтовый адрес: 614015, г. Пермь, ул. Сибирская,15, телефон 212-33-48 (аналитический отдел), адрес электронной почты: </w:t>
      </w:r>
      <w:r>
        <w:rPr>
          <w:rStyle w:val="Hyperlink"/>
          <w:bCs/>
          <w:sz w:val="24"/>
          <w:szCs w:val="24"/>
          <w:lang w:val="en-US"/>
        </w:rPr>
        <w:t>dzo@perm.permkrai.ru.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9355" w:leader="none"/>
        </w:tabs>
        <w:ind w:firstLine="567" w:left="-567"/>
        <w:jc w:val="both"/>
        <w:outlineLvl w:val="0"/>
        <w:rPr>
          <w:b/>
          <w:bCs/>
        </w:rPr>
      </w:pPr>
      <w:r>
        <w:rPr>
          <w:b/>
          <w:bCs/>
        </w:rPr>
        <w:t xml:space="preserve">Организатор аукциона </w:t>
      </w:r>
      <w:r>
        <w:rPr>
          <w:bCs/>
        </w:rPr>
        <w:t>(далее – Организатор аукциона)</w:t>
      </w:r>
      <w:r>
        <w:rPr>
          <w:b/>
          <w:bCs/>
        </w:rPr>
        <w:t xml:space="preserve">: </w:t>
      </w:r>
      <w:r>
        <w:rPr>
          <w:bCs/>
        </w:rPr>
        <w:t>департамент имущественных отношений администрации города Перми, местонахождение: 614015, г. Пермь, ул. Сибирская,14, почтовый адрес: 614015, г. Пермь, ул. Сибирская,14, телефон 212-77-24 (отдел по распоряжению муниципальным имуществом), адрес электронной почты:</w:t>
      </w:r>
      <w:r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  <w:lang w:val="en-US"/>
        </w:rPr>
        <w:t>dio</w:t>
      </w:r>
      <w:r>
        <w:rPr>
          <w:bCs/>
          <w:sz w:val="24"/>
          <w:szCs w:val="24"/>
        </w:rPr>
        <w:t>@</w:t>
      </w:r>
      <w:r>
        <w:rPr>
          <w:bCs/>
          <w:sz w:val="24"/>
          <w:szCs w:val="24"/>
          <w:lang w:val="en-US"/>
        </w:rPr>
        <w:t>perm</w:t>
      </w:r>
      <w:r>
        <w:rPr>
          <w:bCs/>
          <w:sz w:val="24"/>
          <w:szCs w:val="24"/>
        </w:rPr>
        <w:t>.</w:t>
      </w:r>
      <w:r>
        <w:rPr>
          <w:bCs/>
          <w:sz w:val="24"/>
          <w:szCs w:val="24"/>
          <w:lang w:val="en-US"/>
        </w:rPr>
        <w:t>permkrai</w:t>
      </w:r>
      <w:r>
        <w:rPr>
          <w:bCs/>
          <w:sz w:val="24"/>
          <w:szCs w:val="24"/>
        </w:rPr>
        <w:t>.</w:t>
      </w:r>
      <w:r>
        <w:rPr>
          <w:bCs/>
          <w:sz w:val="24"/>
          <w:szCs w:val="24"/>
          <w:lang w:val="en-US"/>
        </w:rPr>
        <w:t>ru.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9355" w:leader="none"/>
        </w:tabs>
        <w:ind w:firstLine="567" w:left="-567"/>
        <w:jc w:val="both"/>
        <w:outlineLvl w:val="0"/>
        <w:rPr/>
      </w:pPr>
      <w:r>
        <w:rPr>
          <w:b/>
          <w:bCs/>
        </w:rPr>
        <w:t>Реквизиты приказа о проведении аукциона:</w:t>
      </w:r>
      <w:r>
        <w:rPr>
          <w:bCs/>
        </w:rPr>
        <w:t xml:space="preserve"> приказ начальника департамента имущественных отношений администрации города Перми от</w:t>
      </w:r>
      <w:r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28.12.2024 № 059-19-01-11-130.</w:t>
      </w:r>
    </w:p>
    <w:p>
      <w:pPr>
        <w:pStyle w:val="BodyTextIndent3"/>
        <w:numPr>
          <w:ilvl w:val="0"/>
          <w:numId w:val="0"/>
        </w:numPr>
        <w:spacing w:before="0" w:after="0"/>
        <w:ind w:firstLine="567" w:left="-567"/>
        <w:jc w:val="both"/>
        <w:outlineLvl w:val="0"/>
        <w:rPr>
          <w:rFonts w:eastAsia="Courier New"/>
          <w:b/>
          <w:color w:val="000000"/>
          <w:lang w:val="ru-RU" w:bidi="ru-RU"/>
        </w:rPr>
      </w:pPr>
      <w:r>
        <w:rPr>
          <w:sz w:val="24"/>
          <w:szCs w:val="24"/>
          <w:lang w:val="ru-RU"/>
        </w:rPr>
        <w:t xml:space="preserve">Извещение о проведение электронных аукционов размещается в государственной информационной системе «Официальный сайт Российской Федерации в информационно-телекоммуникационной сети «Интернет» </w:t>
      </w:r>
      <w:hyperlink r:id="rId2" w:tgtFrame="http://www.torgi.gov.ru/">
        <w:r>
          <w:rPr>
            <w:rStyle w:val="ListLabel28"/>
            <w:color w:val="0000FF"/>
            <w:sz w:val="24"/>
            <w:szCs w:val="24"/>
            <w:u w:val="single"/>
          </w:rPr>
          <w:t>www</w:t>
        </w:r>
        <w:r>
          <w:rPr>
            <w:rStyle w:val="ListLabel28"/>
            <w:color w:val="0000FF"/>
            <w:sz w:val="24"/>
            <w:szCs w:val="24"/>
            <w:u w:val="single"/>
            <w:lang w:val="ru-RU"/>
          </w:rPr>
          <w:t>.</w:t>
        </w:r>
        <w:r>
          <w:rPr>
            <w:rStyle w:val="ListLabel28"/>
            <w:color w:val="0000FF"/>
            <w:sz w:val="24"/>
            <w:szCs w:val="24"/>
            <w:u w:val="single"/>
          </w:rPr>
          <w:t>torgi</w:t>
        </w:r>
        <w:r>
          <w:rPr>
            <w:rStyle w:val="ListLabel28"/>
            <w:color w:val="0000FF"/>
            <w:sz w:val="24"/>
            <w:szCs w:val="24"/>
            <w:u w:val="single"/>
            <w:lang w:val="ru-RU"/>
          </w:rPr>
          <w:t>.</w:t>
        </w:r>
        <w:r>
          <w:rPr>
            <w:rStyle w:val="ListLabel28"/>
            <w:color w:val="0000FF"/>
            <w:sz w:val="24"/>
            <w:szCs w:val="24"/>
            <w:u w:val="single"/>
          </w:rPr>
          <w:t>gov</w:t>
        </w:r>
        <w:r>
          <w:rPr>
            <w:rStyle w:val="ListLabel28"/>
            <w:color w:val="0000FF"/>
            <w:sz w:val="24"/>
            <w:szCs w:val="24"/>
            <w:u w:val="single"/>
            <w:lang w:val="ru-RU"/>
          </w:rPr>
          <w:t>.</w:t>
        </w:r>
        <w:r>
          <w:rPr>
            <w:rStyle w:val="ListLabel28"/>
            <w:color w:val="0000FF"/>
            <w:sz w:val="24"/>
            <w:szCs w:val="24"/>
            <w:u w:val="single"/>
          </w:rPr>
          <w:t>ru</w:t>
        </w:r>
      </w:hyperlink>
      <w:r>
        <w:rPr>
          <w:sz w:val="24"/>
          <w:szCs w:val="24"/>
          <w:lang w:val="ru-RU"/>
        </w:rPr>
        <w:t xml:space="preserve">, на официальном сайте муниципального образования город Пермь в информационно-телекоммуникационной сети Интернет </w:t>
      </w:r>
      <w:hyperlink r:id="rId3" w:tgtFrame="http://www.gorodperm.ru/">
        <w:r>
          <w:rPr>
            <w:rStyle w:val="ListLabel28"/>
            <w:color w:val="0000FF"/>
            <w:sz w:val="24"/>
            <w:szCs w:val="24"/>
            <w:u w:val="single"/>
          </w:rPr>
          <w:t>www</w:t>
        </w:r>
        <w:r>
          <w:rPr>
            <w:rStyle w:val="ListLabel28"/>
            <w:color w:val="0000FF"/>
            <w:sz w:val="24"/>
            <w:szCs w:val="24"/>
            <w:u w:val="single"/>
            <w:lang w:val="ru-RU"/>
          </w:rPr>
          <w:t>.</w:t>
        </w:r>
        <w:r>
          <w:rPr>
            <w:rStyle w:val="ListLabel28"/>
            <w:color w:val="0000FF"/>
            <w:sz w:val="24"/>
            <w:szCs w:val="24"/>
            <w:u w:val="single"/>
          </w:rPr>
          <w:t>gorodperm</w:t>
        </w:r>
        <w:r>
          <w:rPr>
            <w:rStyle w:val="ListLabel28"/>
            <w:color w:val="0000FF"/>
            <w:sz w:val="24"/>
            <w:szCs w:val="24"/>
            <w:u w:val="single"/>
            <w:lang w:val="ru-RU"/>
          </w:rPr>
          <w:t>.</w:t>
        </w:r>
        <w:r>
          <w:rPr>
            <w:rStyle w:val="ListLabel28"/>
            <w:color w:val="0000FF"/>
            <w:sz w:val="24"/>
            <w:szCs w:val="24"/>
            <w:u w:val="single"/>
          </w:rPr>
          <w:t>ru</w:t>
        </w:r>
      </w:hyperlink>
      <w:r>
        <w:rPr>
          <w:sz w:val="24"/>
          <w:szCs w:val="24"/>
          <w:lang w:val="ru-RU"/>
        </w:rPr>
        <w:t xml:space="preserve"> и на электронной </w:t>
      </w:r>
      <w:r>
        <w:rPr>
          <w:bCs/>
          <w:sz w:val="24"/>
          <w:szCs w:val="24"/>
          <w:lang w:val="ru-RU" w:bidi="ru-RU"/>
        </w:rPr>
        <w:t xml:space="preserve">площадке </w:t>
      </w:r>
      <w:hyperlink r:id="rId4" w:tgtFrame="http://utp.sberbank-ast.ru/">
        <w:r>
          <w:rPr>
            <w:rStyle w:val="Hyperlink"/>
            <w:sz w:val="24"/>
            <w:szCs w:val="24"/>
          </w:rPr>
          <w:t>http</w:t>
        </w:r>
        <w:r>
          <w:rPr>
            <w:rStyle w:val="Hyperlink"/>
            <w:sz w:val="24"/>
            <w:szCs w:val="24"/>
            <w:lang w:val="ru-RU"/>
          </w:rPr>
          <w:t>://</w:t>
        </w:r>
        <w:r>
          <w:rPr>
            <w:rStyle w:val="Hyperlink"/>
            <w:sz w:val="24"/>
            <w:szCs w:val="24"/>
          </w:rPr>
          <w:t>utp</w:t>
        </w:r>
        <w:r>
          <w:rPr>
            <w:rStyle w:val="Hyperlink"/>
            <w:sz w:val="24"/>
            <w:szCs w:val="24"/>
            <w:lang w:val="ru-RU"/>
          </w:rPr>
          <w:t>.</w:t>
        </w:r>
        <w:r>
          <w:rPr>
            <w:rStyle w:val="Hyperlink"/>
            <w:sz w:val="24"/>
            <w:szCs w:val="24"/>
          </w:rPr>
          <w:t>sberbank</w:t>
        </w:r>
        <w:r>
          <w:rPr>
            <w:rStyle w:val="Hyperlink"/>
            <w:sz w:val="24"/>
            <w:szCs w:val="24"/>
            <w:lang w:val="ru-RU"/>
          </w:rPr>
          <w:t>-</w:t>
        </w:r>
        <w:r>
          <w:rPr>
            <w:rStyle w:val="Hyperlink"/>
            <w:sz w:val="24"/>
            <w:szCs w:val="24"/>
          </w:rPr>
          <w:t>ast</w:t>
        </w:r>
        <w:r>
          <w:rPr>
            <w:rStyle w:val="Hyperlink"/>
            <w:sz w:val="24"/>
            <w:szCs w:val="24"/>
            <w:lang w:val="ru-RU"/>
          </w:rPr>
          <w:t>.</w:t>
        </w:r>
        <w:r>
          <w:rPr>
            <w:rStyle w:val="Hyperlink"/>
            <w:sz w:val="24"/>
            <w:szCs w:val="24"/>
          </w:rPr>
          <w:t>ru</w:t>
        </w:r>
      </w:hyperlink>
      <w:r>
        <w:rPr>
          <w:bCs/>
          <w:sz w:val="24"/>
          <w:szCs w:val="24"/>
          <w:lang w:val="ru-RU" w:bidi="ru-RU"/>
        </w:rPr>
        <w:t>.</w:t>
      </w:r>
    </w:p>
    <w:p>
      <w:pPr>
        <w:pStyle w:val="Normal"/>
        <w:widowControl w:val="false"/>
        <w:ind w:firstLine="567" w:left="-567"/>
        <w:jc w:val="both"/>
        <w:rPr>
          <w:rFonts w:eastAsia="Courier New"/>
          <w:b/>
          <w:color w:val="000000"/>
          <w:lang w:eastAsia="en-US" w:bidi="ru-RU"/>
        </w:rPr>
      </w:pPr>
      <w:r>
        <w:rPr>
          <w:rFonts w:eastAsia="Courier New"/>
          <w:b/>
          <w:color w:val="000000"/>
          <w:lang w:bidi="ru-RU"/>
        </w:rPr>
        <w:t>Адрес электронной площадки в информационно-телекоммуникационной сети «Интернет», на которой будет проводиться аукцион</w:t>
      </w:r>
      <w:r>
        <w:rPr>
          <w:rFonts w:eastAsia="Courier New"/>
          <w:color w:val="000000"/>
          <w:lang w:bidi="ru-RU"/>
        </w:rPr>
        <w:t>:</w:t>
      </w:r>
      <w:r>
        <w:rPr>
          <w:rFonts w:eastAsia="Courier New" w:cs="Courier New" w:ascii="Courier New" w:hAnsi="Courier New"/>
          <w:color w:val="000000"/>
          <w:lang w:bidi="ru-RU"/>
        </w:rPr>
        <w:t xml:space="preserve"> </w:t>
      </w:r>
      <w:hyperlink r:id="rId5" w:tgtFrame="http://utp.sberbank-ast.ru/">
        <w:r>
          <w:rPr>
            <w:rStyle w:val="Hyperlink"/>
          </w:rPr>
          <w:t>http://utp.sberbank-ast.ru</w:t>
        </w:r>
      </w:hyperlink>
      <w:r>
        <w:rPr>
          <w:rFonts w:eastAsia="Courier New"/>
          <w:lang w:bidi="ru-RU"/>
        </w:rPr>
        <w:t xml:space="preserve"> </w:t>
        <w:br/>
      </w:r>
      <w:r>
        <w:rPr>
          <w:rFonts w:eastAsia="Courier New"/>
          <w:color w:val="000000"/>
          <w:lang w:bidi="ru-RU"/>
        </w:rPr>
        <w:t xml:space="preserve">(далее – электронная площадка), торговая секция «Приватизация, аренда и продажа прав» (далее – торговая секция). </w:t>
      </w:r>
    </w:p>
    <w:p>
      <w:pPr>
        <w:pStyle w:val="Normal"/>
        <w:widowControl w:val="false"/>
        <w:spacing w:before="0" w:after="0"/>
        <w:ind w:firstLine="567" w:left="-567"/>
        <w:contextualSpacing/>
        <w:jc w:val="both"/>
        <w:rPr>
          <w:rFonts w:eastAsia="Courier New"/>
          <w:color w:val="000000"/>
          <w:lang w:bidi="ru-RU"/>
        </w:rPr>
      </w:pPr>
      <w:r>
        <w:rPr>
          <w:rFonts w:eastAsia="Courier New"/>
          <w:b/>
          <w:color w:val="000000"/>
          <w:lang w:eastAsia="en-US" w:bidi="ru-RU"/>
        </w:rPr>
        <w:t>Владелец электронной площадки</w:t>
      </w:r>
      <w:r>
        <w:rPr>
          <w:rFonts w:eastAsia="Courier New"/>
          <w:color w:val="000000"/>
          <w:lang w:eastAsia="en-US" w:bidi="ru-RU"/>
        </w:rPr>
        <w:t>:</w:t>
      </w:r>
      <w:r>
        <w:rPr>
          <w:rFonts w:eastAsia="Calibri"/>
          <w:lang w:eastAsia="en-US"/>
        </w:rPr>
        <w:t xml:space="preserve"> АО «Сбербанк-АСТ» (далее – Оператор)</w:t>
      </w:r>
      <w:r>
        <w:rPr>
          <w:rFonts w:eastAsia="Courier New"/>
          <w:color w:val="000000"/>
          <w:lang w:eastAsia="en-US" w:bidi="ru-RU"/>
        </w:rPr>
        <w:t>.</w:t>
      </w:r>
    </w:p>
    <w:p>
      <w:pPr>
        <w:pStyle w:val="Normal"/>
        <w:widowControl w:val="false"/>
        <w:spacing w:before="0" w:after="0"/>
        <w:ind w:firstLine="567" w:left="-567"/>
        <w:contextualSpacing/>
        <w:jc w:val="both"/>
        <w:rPr>
          <w:bCs/>
          <w:lang w:bidi="ru-RU"/>
        </w:rPr>
      </w:pPr>
      <w:r>
        <w:rPr>
          <w:rFonts w:eastAsia="Courier New"/>
          <w:color w:val="000000"/>
          <w:lang w:bidi="ru-RU"/>
        </w:rPr>
        <w:t xml:space="preserve">Регламент работы электронной площадки размещён по </w:t>
      </w:r>
      <w:r>
        <w:rPr>
          <w:rFonts w:eastAsia="Courier New"/>
          <w:lang w:bidi="ru-RU"/>
        </w:rPr>
        <w:t xml:space="preserve">адресу: </w:t>
      </w:r>
      <w:hyperlink r:id="rId6" w:tgtFrame="https://utp.sberbank-ast.ru/Main/Notice/988/Reglament">
        <w:r>
          <w:rPr>
            <w:rStyle w:val="Hyperlink"/>
            <w:rFonts w:eastAsia="Courier New"/>
            <w:lang w:bidi="ru-RU"/>
          </w:rPr>
          <w:t>https://utp.sberbank-ast.ru/Main/Notice/988/Reglament</w:t>
        </w:r>
      </w:hyperlink>
      <w:r>
        <w:rPr>
          <w:rFonts w:eastAsia="Courier New"/>
          <w:lang w:bidi="ru-RU"/>
        </w:rPr>
        <w:t>.</w:t>
      </w:r>
    </w:p>
    <w:p>
      <w:pPr>
        <w:pStyle w:val="Normal"/>
        <w:widowControl w:val="false"/>
        <w:spacing w:before="0" w:after="0"/>
        <w:ind w:firstLine="567" w:left="-567"/>
        <w:contextualSpacing/>
        <w:jc w:val="both"/>
        <w:rPr>
          <w:rFonts w:eastAsia="Courier New"/>
          <w:lang w:bidi="ru-RU"/>
        </w:rPr>
      </w:pPr>
      <w:r>
        <w:rPr>
          <w:bCs/>
          <w:lang w:bidi="ru-RU"/>
        </w:rPr>
        <w:t xml:space="preserve">Регламент работы </w:t>
      </w:r>
      <w:r>
        <w:rPr>
          <w:rFonts w:eastAsia="Courier New"/>
          <w:lang w:bidi="ru-RU"/>
        </w:rPr>
        <w:t xml:space="preserve">торговой секции </w:t>
      </w:r>
      <w:r>
        <w:rPr>
          <w:bCs/>
          <w:lang w:eastAsia="en-US" w:bidi="ru-RU"/>
        </w:rPr>
        <w:t xml:space="preserve">размещен по адресу: </w:t>
      </w:r>
      <w:r>
        <w:rPr>
          <w:rFonts w:eastAsia="Calibri"/>
          <w:lang w:eastAsia="en-US"/>
        </w:rPr>
        <w:t xml:space="preserve"> </w:t>
      </w:r>
      <w:hyperlink r:id="rId7" w:tgtFrame="https://utp.sberbank-ast.ru/AP/Notice/1027/Instructions">
        <w:r>
          <w:rPr>
            <w:rStyle w:val="Hyperlink"/>
            <w:rFonts w:eastAsia="Calibri"/>
            <w:lang w:eastAsia="en-US"/>
          </w:rPr>
          <w:t>https://utp.sberbank-ast.ru/AP/Notice/1027/Instructions</w:t>
        </w:r>
      </w:hyperlink>
      <w:r>
        <w:rPr>
          <w:rFonts w:eastAsia="Calibri"/>
          <w:lang w:eastAsia="en-US"/>
        </w:rPr>
        <w:t>.</w:t>
      </w:r>
    </w:p>
    <w:p>
      <w:pPr>
        <w:pStyle w:val="Normal"/>
        <w:widowControl w:val="false"/>
        <w:spacing w:before="0" w:after="0"/>
        <w:ind w:firstLine="567" w:left="-567"/>
        <w:contextualSpacing/>
        <w:jc w:val="both"/>
        <w:rPr>
          <w:b/>
          <w:bCs/>
        </w:rPr>
      </w:pPr>
      <w:r>
        <w:rPr>
          <w:rFonts w:eastAsia="Courier New"/>
          <w:lang w:bidi="ru-RU"/>
        </w:rPr>
        <w:t xml:space="preserve">Инструкция по работе в торговой секции электронной площадки  </w:t>
      </w:r>
      <w:r>
        <w:rPr>
          <w:bCs/>
          <w:lang w:eastAsia="en-US" w:bidi="ru-RU"/>
        </w:rPr>
        <w:t>размещена по адресу:</w:t>
      </w:r>
      <w:r>
        <w:rPr>
          <w:rFonts w:eastAsia="Calibri" w:cs="Calibri" w:ascii="Calibri" w:hAnsi="Calibri"/>
          <w:sz w:val="22"/>
          <w:szCs w:val="22"/>
          <w:lang w:eastAsia="en-US"/>
        </w:rPr>
        <w:t xml:space="preserve"> </w:t>
      </w:r>
      <w:hyperlink r:id="rId8" w:tgtFrame="https://utp.sberbank-ast.ru/AP/Notice/652/Instructions">
        <w:r>
          <w:rPr>
            <w:rStyle w:val="Hyperlink"/>
            <w:bCs/>
            <w:lang w:eastAsia="en-US" w:bidi="ru-RU"/>
          </w:rPr>
          <w:t>https://utp.sberbank-ast.ru/AP/Notice/652/Instructions</w:t>
        </w:r>
      </w:hyperlink>
      <w:r>
        <w:rPr>
          <w:bCs/>
          <w:lang w:eastAsia="en-US" w:bidi="ru-RU"/>
        </w:rPr>
        <w:t>.</w:t>
      </w:r>
    </w:p>
    <w:p>
      <w:pPr>
        <w:pStyle w:val="Normal"/>
        <w:widowControl w:val="false"/>
        <w:ind w:firstLine="567" w:left="-567"/>
        <w:jc w:val="both"/>
        <w:rPr>
          <w:b/>
          <w:bCs/>
        </w:rPr>
      </w:pPr>
      <w:r>
        <w:rPr>
          <w:b/>
          <w:bCs/>
        </w:rPr>
        <w:t xml:space="preserve">Орган, уполномоченный на заключение договора купли-продажи земельного участка, находящегося в государственной или муниципальной собственности, либо договора аренды такого участка: </w:t>
      </w:r>
      <w:r>
        <w:rPr>
          <w:bCs/>
        </w:rPr>
        <w:t>департамент земельных отношений администрации города Перми, местонахождение: 614015, г. Пермь, ул. Сибирская,15, почтовый адрес: 614015, г. Пермь,                        ул. Сибирская,15, телефон 212-61-90 (отдел договоров), адрес электронной почты:</w:t>
      </w:r>
      <w:r>
        <w:rPr>
          <w:bCs/>
          <w:sz w:val="24"/>
          <w:szCs w:val="24"/>
        </w:rPr>
        <w:t xml:space="preserve"> </w:t>
      </w:r>
      <w:r>
        <w:rPr>
          <w:rStyle w:val="Hyperlink"/>
          <w:bCs/>
          <w:sz w:val="24"/>
          <w:szCs w:val="24"/>
          <w:lang w:val="en-US"/>
        </w:rPr>
        <w:t>dzo</w:t>
      </w:r>
      <w:r>
        <w:rPr>
          <w:rStyle w:val="Hyperlink"/>
          <w:bCs/>
          <w:sz w:val="24"/>
          <w:szCs w:val="24"/>
        </w:rPr>
        <w:t>@</w:t>
      </w:r>
      <w:r>
        <w:rPr>
          <w:rStyle w:val="Hyperlink"/>
          <w:bCs/>
          <w:sz w:val="24"/>
          <w:szCs w:val="24"/>
          <w:lang w:val="en-US"/>
        </w:rPr>
        <w:t>perm</w:t>
      </w:r>
      <w:r>
        <w:rPr>
          <w:rStyle w:val="Hyperlink"/>
          <w:bCs/>
          <w:sz w:val="24"/>
          <w:szCs w:val="24"/>
        </w:rPr>
        <w:t>.</w:t>
      </w:r>
      <w:r>
        <w:rPr>
          <w:rStyle w:val="Hyperlink"/>
          <w:bCs/>
          <w:sz w:val="24"/>
          <w:szCs w:val="24"/>
          <w:lang w:val="en-US"/>
        </w:rPr>
        <w:t>permkrai</w:t>
      </w:r>
      <w:r>
        <w:rPr>
          <w:rStyle w:val="Hyperlink"/>
          <w:bCs/>
          <w:sz w:val="24"/>
          <w:szCs w:val="24"/>
        </w:rPr>
        <w:t>.</w:t>
      </w:r>
      <w:r>
        <w:rPr>
          <w:rStyle w:val="Hyperlink"/>
          <w:bCs/>
          <w:sz w:val="24"/>
          <w:szCs w:val="24"/>
          <w:lang w:val="en-US"/>
        </w:rPr>
        <w:t>ru.</w:t>
      </w:r>
    </w:p>
    <w:p>
      <w:pPr>
        <w:pStyle w:val="Normal"/>
        <w:widowControl w:val="false"/>
        <w:jc w:val="both"/>
        <w:rPr>
          <w:b/>
          <w:bCs/>
        </w:rPr>
      </w:pPr>
      <w:r>
        <w:rPr>
          <w:b/>
          <w:bCs/>
        </w:rPr>
      </w:r>
    </w:p>
    <w:p>
      <w:pPr>
        <w:pStyle w:val="PlainText"/>
        <w:spacing w:lineRule="exact" w:line="240"/>
        <w:ind w:hanging="1134" w:left="1134"/>
        <w:jc w:val="center"/>
        <w:rPr>
          <w:b/>
          <w:bCs/>
          <w:lang w:val="ru-RU"/>
        </w:rPr>
      </w:pPr>
      <w:r>
        <w:rPr>
          <w:b/>
          <w:bCs/>
          <w:lang w:val="ru-RU"/>
        </w:rPr>
      </w:r>
    </w:p>
    <w:p>
      <w:pPr>
        <w:pStyle w:val="PlainText"/>
        <w:spacing w:lineRule="exact" w:line="240"/>
        <w:ind w:hanging="1134" w:left="1134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cs="Times New Roman" w:ascii="Times New Roman" w:hAnsi="Times New Roman"/>
          <w:b/>
          <w:sz w:val="28"/>
          <w:szCs w:val="28"/>
          <w:lang w:val="ru-RU"/>
        </w:rPr>
        <w:t>Сведения о лотах (предметах аукциона)</w:t>
      </w:r>
    </w:p>
    <w:p>
      <w:pPr>
        <w:pStyle w:val="Normal"/>
        <w:spacing w:lineRule="exact" w:line="240"/>
        <w:ind w:right="-263"/>
        <w:rPr>
          <w:b/>
          <w:bCs/>
        </w:rPr>
      </w:pPr>
      <w:r>
        <w:rPr>
          <w:b/>
          <w:bCs/>
        </w:rPr>
      </w:r>
    </w:p>
    <w:p>
      <w:pPr>
        <w:pStyle w:val="Normal"/>
        <w:tabs>
          <w:tab w:val="clear" w:pos="708"/>
          <w:tab w:val="left" w:pos="5103" w:leader="none"/>
        </w:tabs>
        <w:ind w:right="-263"/>
        <w:rPr>
          <w:sz w:val="20"/>
          <w:szCs w:val="20"/>
        </w:rPr>
      </w:pPr>
      <w:r>
        <w:rPr>
          <w:b/>
          <w:lang w:val="en-US"/>
        </w:rPr>
        <w:t>Лот № 1</w:t>
      </w:r>
    </w:p>
    <w:tbl>
      <w:tblPr>
        <w:tblW w:w="9915" w:type="dxa"/>
        <w:jc w:val="left"/>
        <w:tblInd w:w="-606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330"/>
        <w:gridCol w:w="2749"/>
        <w:gridCol w:w="6836"/>
      </w:tblGrid>
      <w:tr>
        <w:trPr>
          <w:trHeight w:val="426" w:hRule="atLeast"/>
        </w:trPr>
        <w:tc>
          <w:tcPr>
            <w:tcW w:w="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органа местного самоуправления, принявшего решение о проведении аукциона,</w:t>
            </w:r>
          </w:p>
          <w:p>
            <w:pPr>
              <w:pStyle w:val="Normal"/>
              <w:ind w:righ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реквизиты указанного решения</w:t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города Перми, распоряжение начальника департамента земельных отношений администрации города Перми от 26 августа 2024 г. № 21-01-03-7801 «О проведении аукциона на право заключения договора аренды земельного участка  в Орджоникидзевском районе города Перми»</w:t>
            </w:r>
          </w:p>
        </w:tc>
      </w:tr>
      <w:tr>
        <w:trPr>
          <w:trHeight w:val="225" w:hRule="atLeast"/>
        </w:trPr>
        <w:tc>
          <w:tcPr>
            <w:tcW w:w="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Предмет аукциона на право заключения договора аренды земельного участка</w:t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381" w:hRule="atLeast"/>
        </w:trPr>
        <w:tc>
          <w:tcPr>
            <w:tcW w:w="3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2"/>
              </w:numPr>
              <w:ind w:hanging="277" w:left="419" w:right="-26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местоположение</w:t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Российская Федерация, край Пермский, городской округ Пермский, город Пермь, улица 2-я Юрлинская, з/у 4</w:t>
            </w:r>
          </w:p>
        </w:tc>
      </w:tr>
      <w:tr>
        <w:trPr>
          <w:trHeight w:val="321" w:hRule="atLeast"/>
        </w:trPr>
        <w:tc>
          <w:tcPr>
            <w:tcW w:w="3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2"/>
              </w:numPr>
              <w:ind w:hanging="277" w:left="419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площадь</w:t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4353 кв. м</w:t>
            </w:r>
          </w:p>
        </w:tc>
      </w:tr>
      <w:tr>
        <w:trPr>
          <w:trHeight w:val="345" w:hRule="atLeast"/>
        </w:trPr>
        <w:tc>
          <w:tcPr>
            <w:tcW w:w="3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2"/>
              </w:numPr>
              <w:ind w:hanging="277" w:left="419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кадастровый номер</w:t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59:01:3812164:139</w:t>
            </w:r>
          </w:p>
        </w:tc>
      </w:tr>
      <w:tr>
        <w:trPr>
          <w:trHeight w:val="285" w:hRule="atLeast"/>
        </w:trPr>
        <w:tc>
          <w:tcPr>
            <w:tcW w:w="3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2"/>
              </w:numPr>
              <w:ind w:hanging="284" w:left="419" w:righ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права на земельный участок</w:t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государственная собственность не разграничена</w:t>
            </w:r>
          </w:p>
        </w:tc>
      </w:tr>
      <w:tr>
        <w:trPr>
          <w:trHeight w:val="232" w:hRule="atLeast"/>
        </w:trPr>
        <w:tc>
          <w:tcPr>
            <w:tcW w:w="3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2"/>
              </w:numPr>
              <w:ind w:hanging="277" w:left="419" w:right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разрешенное использование</w:t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спорт</w:t>
            </w:r>
          </w:p>
        </w:tc>
      </w:tr>
      <w:tr>
        <w:trPr>
          <w:trHeight w:val="670" w:hRule="atLeast"/>
        </w:trPr>
        <w:tc>
          <w:tcPr>
            <w:tcW w:w="3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2"/>
              </w:numPr>
              <w:ind w:hanging="284" w:left="419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принадлежность к определенной  </w:t>
              <w:br/>
              <w:t>категории земель</w:t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земли населенных пунктов</w:t>
            </w:r>
          </w:p>
        </w:tc>
      </w:tr>
      <w:tr>
        <w:trPr>
          <w:trHeight w:val="670" w:hRule="atLeast"/>
        </w:trPr>
        <w:tc>
          <w:tcPr>
            <w:tcW w:w="3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3"/>
              </w:numPr>
              <w:ind w:hanging="277" w:left="419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ограничение прав</w:t>
            </w:r>
          </w:p>
          <w:p>
            <w:pPr>
              <w:pStyle w:val="Normal"/>
              <w:ind w:left="419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firstLine="31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Ограничения прав подробно описаны:</w:t>
            </w:r>
          </w:p>
          <w:p>
            <w:pPr>
              <w:pStyle w:val="Normal"/>
              <w:ind w:firstLine="31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выписке из Единого государственного реестра недвижимости об объекте недвижимости  от 10.12.2024г. № КУВИ-001/2024-299250646;</w:t>
            </w:r>
          </w:p>
          <w:p>
            <w:pPr>
              <w:pStyle w:val="Normal"/>
              <w:ind w:firstLine="31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 градостроительном плане земельного участка</w:t>
            </w:r>
          </w:p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 24.07.2024 № РФ-59-2-03-0-00-2024-1551-0 (далее – ГПЗУ).</w:t>
            </w:r>
          </w:p>
          <w:p>
            <w:pPr>
              <w:pStyle w:val="BodyText"/>
              <w:ind w:firstLine="70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BodyText"/>
              <w:ind w:firstLine="709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Участок не огорожен, доступ не ограничен, рельеф ровный. На части территории размещены эстакада из бруса и железобетона под авто, железобетонные блоки, иные объекты капитального/ некапитального строительства отсутствуют. На Участке произрастают лиственные деревья и низкорослые кустарники.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Восточнее от Участка размещены железный гараж, дровяник/сарай.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Принято решение о включении эстакады из бруса </w:t>
              <w:br/>
              <w:t> и железобетона под авто, железобетонных блоков, железного гаража, дровяника/сарая в Единый реестр самовольно установленных и незаконно размещенных движимых объектов, выявленных на территории города Перми, для последующего демонтажа.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Ближайшие гидранты расположены по адресу: Пермский край,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г. Пермь, Орджоникидзевский район, ул. Ишимская, 5, 14,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ул. Усинская, 2, 12.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</w:t>
            </w:r>
            <w:r>
              <w:rPr>
                <w:b/>
                <w:bCs/>
                <w:color w:val="000000"/>
                <w:sz w:val="24"/>
              </w:rPr>
              <w:t>а</w:t>
            </w:r>
            <w:r>
              <w:rPr>
                <w:b/>
                <w:bCs/>
                <w:color w:val="000000"/>
                <w:sz w:val="24"/>
                <w:szCs w:val="24"/>
              </w:rPr>
              <w:t xml:space="preserve">дминистрации Орджоникидзевского района города Перми </w:t>
            </w:r>
            <w:r>
              <w:rPr>
                <w:color w:val="000000"/>
                <w:sz w:val="24"/>
                <w:szCs w:val="24"/>
              </w:rPr>
              <w:t>от 24.07.2024 № 059-37-01-32/3-2978, в акте обследования территории от 21.07.2024 № 197).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Согласно геодезической съемке в границах Участка отсутствуют объекты.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По сведениям ЕГРН в границах Участка отсутствуют объекты капитального строительства.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В случае выявления объектов некапитального типа победитель аукциона обязан осуществить демонтаж выявленных объектов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за счет собственных средств и (или) с привлечением средств других лиц  без отнесения соответствующих расходов  на территориальный орган администрации города Перми, департамент земельных отношений администрации города Перми или иной функциональный орган или подразделение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администрации города Перми.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Согласно сведениям, содержащимся в ЕГРН, ГПЗУ и справке по градостроительным условиям участка от 10.12.2024 № 615973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Участок расположен в ЗОУИТ: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полостью в границах зоны с особыми условиями использования территории Охранная зона транспорта «Зона с особыми условиями использования – Приаэродромная территория аэродрома аэропорта Большое Савино», реестровый номер 59:32-6.553 (Постановление Правительства Российской Федерации от 11.03.2010 № 138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«Об утверждении Федеральных правил использования воздушного пространства Российской Федерации»);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частично в границах зоны с особыми условиями использования территории Охранная зона инженерных коммуникаций «Охранная зона сооружения», 59:01-6.4393, площадь земельного участка, покрываемая зоной с особыми условиями использования территории, составляет 0,49 кв. м. (Постановление Правительства Российской Федерации от 20.11.2000 № 878 «Об утверждении Правил охраны газораспределительных сетей»).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ind w:firstLine="709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Победителю аукциона необходимо соблюдать условия строительства: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1. На испрашиваемом земельном участке произрастают 175 шт. деревьев породы – тополь 24 шт., береза 123 шт., рябина 19 шт., дуб 1 шт., ирга 8 шт.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 Проектом предусмотреть: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2.1. Нанесение существующих деревьев на стройгенплане.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2.2. Снос деревьев, попадающих под пятно застройки, вести на основании акта комиссионного обследования зеленых насаждений в соответствии с решением Пермской городской Думы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от 15.12.2020 г. № 277. Указанный акт должен быть составлен на основании проектной документации. Остальные деревья сохранить.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2.3. Восстановление зеленых насаждений вести </w:t>
              <w:br/>
              <w:t> в соответствии с решением Пермской городской Думы от 15 декабря 2020 г.</w:t>
            </w:r>
            <w:r>
              <w:rPr>
                <w:color w:val="000000"/>
              </w:rPr>
              <w:t xml:space="preserve"> № </w:t>
            </w:r>
            <w:r>
              <w:rPr>
                <w:color w:val="000000"/>
                <w:sz w:val="24"/>
              </w:rPr>
              <w:t>277.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2.4. Сбор и отвод ливневых вод с использованием вариантов решений в зависимости от: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а) наличия централизованной системы ливневой канализации;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б) площади водосбора с учетом транзитных вод с прилегающей территории;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в) угла наклона рельефа, включающий прилегающие территории;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г) применения иных решений равномерного отвода поверхностного стока с запрашиваемой территории </w:t>
              <w:br/>
              <w:t> на прилегающие территории.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2.5. Определение видов образующихся отходов и мест </w:t>
              <w:br/>
              <w:t> их размещения на период эксплуатации.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2.6. Конкретные мероприятия по охране окружающей среды на период строительства, включая: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- установку временного защитного ограждения строительной площадки,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- ограждение существующих зеленых насаждений, </w:t>
              <w:br/>
              <w:t> не попадающих под пятно застройки,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- прокладку коммуникаций осуществлять </w:t>
              <w:br/>
              <w:t xml:space="preserve"> на расстоянии не менее 2 м от ствола дерева, чтобы </w:t>
              <w:br/>
              <w:t> не повредить корневую систему,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- не использовать приствольные круги существующих деревьев (ø 1м) под складирование материалов </w:t>
              <w:br/>
              <w:t> и установки временных сооружений,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- определение видов и объемов образующихся отходов и мест их размещения,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- систематический вывоз отходов,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- недопущение загрязнения атмосферы, почвы и подземных вод,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- предотвращение выноса грязи автотранспортом, выезжающим со строительной площадки.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rFonts w:eastAsia="Droid Sans Fallback" w:cs="Lohit Devanagari"/>
                <w:color w:val="000000"/>
                <w:kern w:val="0"/>
                <w:sz w:val="24"/>
                <w:szCs w:val="24"/>
                <w:lang w:val="ru-RU" w:eastAsia="zh-CN" w:bidi="ar-SA"/>
              </w:rPr>
              <w:t>(Аналогичная информация отражена в письме</w:t>
            </w:r>
            <w:r>
              <w:rPr/>
              <w:t xml:space="preserve">  </w:t>
            </w:r>
            <w:r>
              <w:rPr>
                <w:b/>
                <w:color w:val="000000"/>
                <w:sz w:val="24"/>
                <w:szCs w:val="24"/>
              </w:rPr>
              <w:t xml:space="preserve">управления по экологии и природопользованию администрации города Перми </w:t>
            </w:r>
            <w:r>
              <w:rPr>
                <w:color w:val="000000"/>
                <w:sz w:val="24"/>
                <w:szCs w:val="24"/>
              </w:rPr>
              <w:t>от 26.07.2024 № 059-33-01-10/3-467).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/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В соответствии с бюджетом города Перми на 2024 год и плановый период 2025-2026 годов мероприятий по строительству, реконструкции, капитальному ремонту улично-дорожной сети на рассматриваемой территории не предусмотрены.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Организация плоскостных парковок общего пользования местного значения Планом развития парковочного пространства города Перми на 2024-2026 гг. на указанной территории не предусмотрена.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Для примыкания земельного участка к улично-дорожной сети города Перми необходимо: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разработать проект организации дорожного движения </w:t>
              <w:br/>
              <w:t> и согласовать в установленном порядке с ГКУ «Центр безопасности дорожного движения Пермского края»</w:t>
              <w:br/>
              <w:t> (ул. Пермская, 164,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тел. 236-21-84);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получить согласие владельца автомобильной дороги (порядок выдачи согласия владельца автомобильной дороги общего пользования местного значения в целях строительства, реконструкции, капитального ремонта, ремонта являющихся сооружениями пересечения автомобильной дороги общего пользования местного значения с другими автомобильными дорогами, примыкания автомобильной дороги общего пользования местного значения к другой автомобильной дороге, а также перечень документов, необходимых для выдачи согласия, утверждены Постановлением администрации города Перми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от 31.01.2022 № 45).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Также направляется информация о соблюдении Правил благоустройства территории города Перми, утвержденных решением Пермской городской Думы от 15.12.2020 № 277,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при строительстве объектов недвижимости на земельных участках, предоставленных на торгах: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поверхностный водоотвод решить проектом без подтопления смежных территорий, в соответствии с действующими нормативно-правовыми актами и природоохранным законодательством;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предусмотреть электроосвещение территории объекта;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стоянку для временного хранения транспорта разместить в границах отведенного под строительство земельного участка вне территории общего пользования;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предусмотреть устройство подъезда к земельному участку </w:t>
              <w:br/>
              <w:t> или ликвидацию разрушений, повреждений дорожного покрытия существующего проезда от границ земельного участка до существующей улично-дорожной сети города Перми, а также наружное освещение подъезда.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Для сведения сообщается, что в соответствии </w:t>
              <w:br/>
              <w:t xml:space="preserve"> с Федеральным законом от 08.11.2007 № 257-ФЗ </w:t>
              <w:br/>
              <w:t> «Об автомобильных дорогах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 xml:space="preserve">и о дорожной деятельности в Российской Федерации и о внесении изменений </w:t>
              <w:br/>
              <w:t xml:space="preserve"> в отдельные законодательные акты Российской Федерации», расходы на строительство, реконструкцию, капитальный ремонт, ремонт пересечений и примыканий, </w:t>
              <w:br/>
              <w:t> в том числе расходы на выполнение дополнительных работ, связанных с обеспечением безопасности дорожного движения, водоотведения и исполнением других установленных техническими регламентами требований, несут лица, в интересах которых осуществляются строительство, реконструкция, капитальный ремонт, ремонт пересечений или примыканий.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 </w:t>
            </w:r>
            <w:r>
              <w:rPr>
                <w:b/>
                <w:color w:val="000000"/>
                <w:sz w:val="24"/>
              </w:rPr>
              <w:t xml:space="preserve">департамента дорог и благоустройства администрации города Перми от </w:t>
            </w:r>
            <w:r>
              <w:rPr>
                <w:color w:val="000000"/>
                <w:sz w:val="24"/>
              </w:rPr>
              <w:t>16.07.2024 № 059-24-01-36/3-2522).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Ближайшие источники противопожарного водоснабжения (пожарный гидрант) расположены ул. Усинская, д. 2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и ул. Краснослудская, д. 3а.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Информация о подразделениях пожарной охраны и времени их прибытия содержится в «Расписании выезда подразделений Пермского местного пожарно-спасательного гарнизона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 xml:space="preserve">для тушения пожаров и проведения аварийно- спасательных работ </w:t>
              <w:br/>
              <w:t> на территории Пермского городского округа, Пермского муниципального района», утвержденном Главой города Перми 26.04.2024. Ближайшие подразделения пожарной охраны расположены по адресу: г. Пермь, ул. Волховская, д. 37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(ПСЧ-57 10-ПСО) и ул. Веденеева, д. 40  (СПЧ СУ ФПС № 34.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При планировке и размещении объектов </w:t>
              <w:br/>
              <w:t> на вышеуказанной территории необходимо соблюдать нормы и требования действующего законодательства: федеральных законов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 xml:space="preserve">от 21 декабря 1994 г. </w:t>
            </w:r>
            <w:r>
              <w:rPr>
                <w:color w:val="000000"/>
              </w:rPr>
              <w:t xml:space="preserve">№ </w:t>
            </w:r>
            <w:r>
              <w:rPr>
                <w:color w:val="000000"/>
                <w:sz w:val="24"/>
              </w:rPr>
              <w:t>69-ФЗ «О пожарной безопасности»  и от 22 июля 2008 г. № 123-ФЗ «Технический регламент о требованиях пожарной безопасности», Свода правил 8.13130. «Системы противопожарной защиты. Источники наружного противопожарного водоснабжения. Требования пожарной безопасности», утвержденных приказом МЧС России от 30.03.2020 № 225, Свода правил 4.13130 «Системы противопожарной защиты. Ограничение распространения пожара на объектах защиты. Требования к объемно-планировочным и конструктивным решениям», утвержденных Приказом МЧС России от 24.04.2013</w:t>
            </w:r>
            <w:r>
              <w:rPr>
                <w:color w:val="000000"/>
              </w:rPr>
              <w:t xml:space="preserve"> № </w:t>
            </w:r>
            <w:r>
              <w:rPr>
                <w:color w:val="000000"/>
                <w:sz w:val="24"/>
              </w:rPr>
              <w:t>288 и иной документации, касающейся норм противопожарной безопасности (предусмотрев и запроектировав соответствующее расстояние между строений для обеспечения подъезда и разворота пожарной техники, а также источники противопожарного водоснабжения с пожарными гидрантами, которые надлежит размещать из условия обслуживания ими зданий, находящихся  в радиусе 200 м. Ширина проездов для пожарной техники  в зависимости от высоты зданий или сооружений должна составлять не менее: 3,5 метров - при высоте зданий  или сооружения до 13,0 метров включительно; 4,2 метра - при высоте здания от 13,0 метров до 46,0 метров включительно; 6,0 метров - при высоте здания более 46 метров).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Объекты общественной безопасности, отнесенные к объектам полиции (участковые пункты полиции) в данном микрорайоне Энергетик отсутствуют. Ближайший участковый пункт расположен по адресу: г. Пермь, ул. Косякова, д 5, (м-н Молодежный, Орджоникидзевского район). В настоящее время </w:t>
              <w:br/>
              <w:t> в указанном микрорайоне строительство (приобретение) участковых пунктов полиции не планируется.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Помещения для аварийно-спасательных служб  и (или) аварийно-спасательных формирований на указанной территории отсутствуют.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На данной территории оконечные устройства системы оповещения населения города Перми отсутствуют. </w:t>
              <w:br/>
              <w:t> Для обеспечения покрытия запланированной территории системой оповещения населения необходимо предусматривать размещение сиренно-речевых узлов согласно пунктам 6.38, 6.39  СП 165.1325800.2014 «Свод правил. Инженерно-технические мероприятия по гражданской обороне. Актуализированная редакция СНиП 2.01.51-90», утвержденные Приказом Минстроя России от 12.11.2014 № 705/пр.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</w:t>
            </w:r>
            <w:r>
              <w:rPr>
                <w:b/>
                <w:bCs/>
                <w:color w:val="000000"/>
                <w:sz w:val="24"/>
              </w:rPr>
              <w:t>де</w:t>
            </w:r>
            <w:r>
              <w:rPr>
                <w:b/>
                <w:color w:val="000000"/>
                <w:sz w:val="24"/>
              </w:rPr>
              <w:t>партамента общественной безопасности администрации города Перми</w:t>
            </w:r>
            <w:r>
              <w:rPr>
                <w:color w:val="000000"/>
                <w:sz w:val="24"/>
              </w:rPr>
              <w:t xml:space="preserve"> письмом от 18.07.2024 № 059-10-01-27/3-1054).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На период до 2028 года на территории, где расположен Участок, схемами водоснабжения и водоотведения города Перми, утвержденными постановлением администрации города Перми от 28.12.2018 № 1085,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не предусмотрено строительство сетей водоснабжения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и водоотведения.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</w:t>
            </w:r>
            <w:r>
              <w:rPr>
                <w:b/>
                <w:bCs/>
                <w:color w:val="000000"/>
                <w:sz w:val="24"/>
              </w:rPr>
              <w:t>д</w:t>
            </w:r>
            <w:r>
              <w:rPr>
                <w:b/>
                <w:color w:val="000000"/>
                <w:sz w:val="24"/>
              </w:rPr>
              <w:t>епартамента жилищно-коммунального хозяйства администрации города Перми</w:t>
            </w:r>
            <w:r>
              <w:rPr>
                <w:color w:val="000000"/>
                <w:sz w:val="24"/>
              </w:rPr>
              <w:t xml:space="preserve"> письмом от 12.07.2024 № 059-04-17/3-666-ри).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Согласно </w:t>
            </w:r>
            <w:r>
              <w:rPr>
                <w:b/>
                <w:color w:val="000000"/>
                <w:sz w:val="24"/>
              </w:rPr>
              <w:t xml:space="preserve">протоколу заседания координационного совещания по обеспечению правопорядка в Пермском крае от 16.03.2022 №74-гс </w:t>
            </w:r>
            <w:r>
              <w:rPr>
                <w:color w:val="000000"/>
                <w:sz w:val="24"/>
              </w:rPr>
              <w:t>для строительства объектов городской инфраструктуры (парков, скверов, торгово-развлекательных комплексов, иных зданий и сооружений) обязательным является условие по установке камер видеонаблюдения.</w:t>
            </w:r>
          </w:p>
          <w:p>
            <w:pPr>
              <w:pStyle w:val="BodyText"/>
              <w:ind w:firstLine="709"/>
              <w:jc w:val="both"/>
              <w:rPr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</w:r>
          </w:p>
        </w:tc>
      </w:tr>
      <w:tr>
        <w:trPr>
          <w:trHeight w:val="1041" w:hRule="atLeast"/>
        </w:trPr>
        <w:tc>
          <w:tcPr>
            <w:tcW w:w="3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numPr>
                <w:ilvl w:val="0"/>
                <w:numId w:val="2"/>
              </w:numPr>
              <w:spacing w:before="0" w:after="0"/>
              <w:ind w:hanging="283" w:left="510" w:right="57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максимально и (или) минимально допустимые параметры разрешенного строительства </w:t>
              <w:br/>
              <w:t>объекта капитального строительства</w:t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firstLine="312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ind w:firstLine="312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</w:rPr>
              <w:t xml:space="preserve">В </w:t>
            </w:r>
            <w:r>
              <w:rPr>
                <w:sz w:val="24"/>
                <w:szCs w:val="24"/>
                <w:shd w:fill="FFFFFF" w:val="clear"/>
              </w:rPr>
              <w:t xml:space="preserve">документации по земельному участку, размещенной с извещением о проведении аукциона в ГИС Торги </w:t>
            </w:r>
            <w:r>
              <w:rPr>
                <w:sz w:val="24"/>
                <w:szCs w:val="24"/>
                <w:lang w:val="en-US"/>
              </w:rPr>
              <w:t>www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torgi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gov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ru</w:t>
            </w:r>
            <w:r>
              <w:rPr>
                <w:sz w:val="24"/>
                <w:szCs w:val="24"/>
                <w:shd w:fill="FFFFFF" w:val="clear"/>
              </w:rPr>
              <w:t xml:space="preserve">, на официальном сайте муниципального образования город Пермь в информационно-телекоммуникационной сети Интернет </w:t>
            </w:r>
            <w:r>
              <w:rPr>
                <w:sz w:val="24"/>
                <w:szCs w:val="24"/>
              </w:rPr>
              <w:t>www.gorodperm.ru.</w:t>
            </w:r>
          </w:p>
          <w:p>
            <w:pPr>
              <w:pStyle w:val="Normal"/>
              <w:ind w:firstLine="31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BodyText"/>
              <w:ind w:firstLine="312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Проектирование и строительство необходимо вести с учетом СП 383.1325800.2018 «Комплексы физкультурно-оздоровительные. Правила проектирования», утвержденным приказом Министерства строительства и жилищно-коммунального хозяйства Российской Федерации от 24.05.2018 </w:t>
              <w:br/>
              <w:t> № 305/пр, СП 332.1325800.2017 «Спортивные сооружения. Правила проектирования», утвержденным приказом Министерства строительства и жилищно-коммунального хозяйства Российской Федерации от 14.11.2017 № 1536/пр.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Согласно информации, содержащейся  в градостроительном плане от 24.07.2024 </w:t>
            </w:r>
            <w:r>
              <w:rPr>
                <w:color w:val="000000"/>
              </w:rPr>
              <w:t xml:space="preserve">№ </w:t>
            </w:r>
            <w:r>
              <w:rPr>
                <w:color w:val="000000"/>
                <w:sz w:val="24"/>
              </w:rPr>
              <w:t>РФ-59-2-03-0-00-2024-1551-0 (далее – ГПЗУ):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Минимальный отступ от границ земельного участка до места допустимого размещения зданий, строений – </w:t>
              <w:br/>
              <w:t> 0 м.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Предельное количество этажей и (или) предельная высота зданий, строений – не более 4 этажей.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Максимальный процент застройки в границах земельного участка, определяемый как отношений суммарной площади земельного участка, которая может быть застроена, ко всей площади земельного участка – без ограничений.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Максимальный выступ за красную линию нависающих частей здания наземных уровней, выступающих из плоскости наружной стены фасада здания на высоте не менее 4,5 м над территорией общего пользования, составляет не более 1,2 м от красной линии.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В случаях, когда линия регулирования застройки отличается от красной линии, указанный выступ может быть произведен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 xml:space="preserve">за линию регулирования застройки. </w:t>
              <w:br/>
              <w:t> В случае если в границах территориальной зоны предусматривается осуществление деятельности</w:t>
              <w:br/>
              <w:t xml:space="preserve"> по комплексному развитию территории, расчет показателей минимально допустимого уровня обеспеченности территории объектами коммунальной, транспортной, социальной инфраструктур и расчет показателей максимально допустимого уровня территориальной доступности указанных объектов </w:t>
              <w:br/>
              <w:t> для населения осуществляются в соответствии</w:t>
              <w:br/>
              <w:t> с утвержденными нормативами градостроительного проектирования. В соответствии с документацией</w:t>
              <w:br/>
              <w:t> по планировке территории, утвержденной постановлением администрации города Перми от 23.12.2015</w:t>
            </w:r>
            <w:r>
              <w:rPr>
                <w:color w:val="000000"/>
              </w:rPr>
              <w:t xml:space="preserve"> № </w:t>
            </w:r>
            <w:r>
              <w:rPr>
                <w:color w:val="000000"/>
                <w:sz w:val="24"/>
              </w:rPr>
              <w:t>1102, параметры возможной предельной высоты жилой застройки – до 10.5 м.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В соответствии с таблицей Б.1 «Показатели плотности застройки участков территориальных зон» СП 42.13330.2016.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Свод правил. Градостроительство. Планировка и застройка городских и сельских поселений. Актуализированная редакция СНиП 2.07.01-89* коэффициент плотности застройки земельного участка в специализированной общественной застройке общественно-деловой зоны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составляет 2,4.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Таким образом, предельные параметры разрешенного строительства на земельном участке составляют 10 447,2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кв. м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(4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353 кв. м х 2,4).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В соответствии с пунктом 2.1.34. Решения Пермской городской Думы от 15.12.2020 № 277 «Об утверждении Правил благоустройства территории города Перми» при проектировании и строительстве объекта капитального строительства соблюдать требования по разработке паспорта внешнего облика объекта капитального строительства (колерный паспорт).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Колерный паспорт – документ, разрабатываемый в случаях, предусмотренных действующим законодательством, Правилами, для фасада здания, строения, сооружения при планируемом строительстве, реконструкции, капитальном ремонте, реставрации, приспособлении объекта культурного наследия  для современного использования, а также при изменении внешнего вида здания, строения, сооружения, который устанавливает внешний облик (вид) фасада здания, строения, сооружения, включая требования в отношении материалов, способов отделки и цветов фасадов, ограждающих конструкций (крыш (кровельного покрытия), ограждений балконов, лоджий), мест для размещения средств размещения информации (вывесок, указателей с наименованиями улиц и номерами домов (зданий)), рекламных конструкций,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а также мест для размещения, вида, цветового решения архитектурно-художественной подсветки.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Колерный паспорт подлежит согласованию  с функциональным органом администрации города Перми, осуществляющим функции управления в сфере градостроительства.</w:t>
            </w:r>
          </w:p>
          <w:p>
            <w:pPr>
              <w:pStyle w:val="BodyText"/>
              <w:ind w:hanging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417" w:hRule="atLeast"/>
        </w:trPr>
        <w:tc>
          <w:tcPr>
            <w:tcW w:w="3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2"/>
              </w:numPr>
              <w:ind w:hanging="284" w:left="410" w:right="2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возможность подключения (технологического присоединения) объектов капитального строительства к сетям инженерно-технического обеспечения (за исключением сетей электроснабжения)</w:t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hanging="0"/>
              <w:jc w:val="both"/>
              <w:rPr/>
            </w:pPr>
            <w:r>
              <w:rPr/>
            </w:r>
          </w:p>
          <w:p>
            <w:pPr>
              <w:pStyle w:val="Normal"/>
              <w:ind w:firstLine="252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</w:rPr>
              <w:t xml:space="preserve">В </w:t>
            </w:r>
            <w:r>
              <w:rPr>
                <w:sz w:val="24"/>
                <w:szCs w:val="24"/>
                <w:shd w:fill="FFFFFF" w:val="clear"/>
              </w:rPr>
              <w:t xml:space="preserve">документации по земельному участку, размещенной с извещением о проведении аукциона в ГИС Торги </w:t>
            </w:r>
            <w:r>
              <w:rPr>
                <w:sz w:val="24"/>
                <w:szCs w:val="24"/>
                <w:lang w:val="en-US"/>
              </w:rPr>
              <w:t>www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torgi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gov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ru</w:t>
            </w:r>
            <w:r>
              <w:rPr>
                <w:sz w:val="24"/>
                <w:szCs w:val="24"/>
                <w:shd w:fill="FFFFFF" w:val="clear"/>
              </w:rPr>
              <w:t xml:space="preserve">, на официальном сайте муниципального образования город Пермь в информационно-телекоммуникационной сети Интернет </w:t>
            </w:r>
            <w:hyperlink r:id="rId9">
              <w:r>
                <w:rPr>
                  <w:rStyle w:val="Hyperlink"/>
                  <w:sz w:val="24"/>
                  <w:szCs w:val="24"/>
                </w:rPr>
                <w:t>www.gorodperm.ru</w:t>
              </w:r>
            </w:hyperlink>
            <w:r>
              <w:rPr>
                <w:sz w:val="24"/>
                <w:szCs w:val="24"/>
              </w:rPr>
              <w:t>.</w:t>
            </w:r>
          </w:p>
          <w:p>
            <w:pPr>
              <w:pStyle w:val="Normal"/>
              <w:ind w:firstLine="252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ind w:firstLine="252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color w:val="000000"/>
                <w:sz w:val="24"/>
              </w:rPr>
              <w:t>Техническая возможность подключения к сетям газоснабжения имеется.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Для рассмотрения вопроса о предоставлении технических условий на подключение (технологическое присоединение) необходимо направить запрос по типовой форме с приложением необходимых документов и сведений, указанных в пунктах 11 и 16 постановления Правительства Российской Федерации от 13.09.2021 № 1547 «Об утверждении Правил подключения (технологического присоединения) газоиспользующего оборудования и объектов капитального строительства к сетям газораспределения и о признании утратившим силу некоторых актов Правительства Российской Федерации» на электронную почту post@pf.ugaz.ru, либо почтовым отправлением по адресу: г. Пермь, ул. Уральская, 104, через Единый центр предоставления услуг по адресу: г. Пермь, ул. Уральская, д. 104, каб. 101.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 </w:t>
            </w:r>
            <w:r>
              <w:rPr>
                <w:b/>
                <w:color w:val="000000"/>
                <w:sz w:val="24"/>
              </w:rPr>
              <w:t xml:space="preserve">АО «Газпром газораспределение Пермь» </w:t>
            </w:r>
            <w:r>
              <w:rPr>
                <w:color w:val="000000"/>
                <w:sz w:val="24"/>
              </w:rPr>
              <w:t>от 17.07.2024 № ПФ-4388).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О возможности подключения планируемого к строительству объекта на Участке с предполагаемыми объемами водопотребления и водоотведения – 46,0 м3/сут, расходом воды на наружное пожаротушение 30,0 л/сек, подключение к сетям водопровода и канализации планируемого к строительству объекта будет возможно после выполнения мероприятий по ликвидации технологического разрыва, указанных в письме </w:t>
            </w:r>
            <w:r>
              <w:rPr>
                <w:b w:val="false"/>
                <w:bCs w:val="false"/>
                <w:color w:val="000000"/>
                <w:sz w:val="24"/>
              </w:rPr>
              <w:t>ООО «Новогор-Прикамье».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 </w:t>
            </w:r>
            <w:r>
              <w:rPr>
                <w:b/>
                <w:color w:val="000000"/>
                <w:sz w:val="24"/>
              </w:rPr>
              <w:t xml:space="preserve">ООО «Новогор-Прикамье» </w:t>
            </w:r>
            <w:r>
              <w:rPr>
                <w:color w:val="000000"/>
                <w:sz w:val="24"/>
              </w:rPr>
              <w:t>от 25.07.2024 № 110-12248).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Техническая возможность подключения (технологического присоединения) к системе теплоснабжения отсутствует, требуется реконструкция оборудования котельной.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Уточнение объема и перечня необходимых мероприятий для подключения объекта к системе теплоснабжения возможно после подачи заявки и представления полного пакета документов для заключения договора о подключении (технологическом присоединении).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</w:t>
            </w:r>
            <w:r>
              <w:rPr>
                <w:b/>
                <w:color w:val="000000"/>
                <w:sz w:val="24"/>
              </w:rPr>
              <w:t xml:space="preserve">Пермские тепловые сети Филиал ПАО «Т Плюс» </w:t>
            </w:r>
            <w:r>
              <w:rPr>
                <w:color w:val="000000"/>
                <w:sz w:val="24"/>
              </w:rPr>
              <w:t>от 18.07.2024 № 51030-01-04617).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О возможности технологического присоединения и о плате за подключение к сетям электроснабжения объекта капитального строительства, расположенного на Участке, с присоединяемой мощностью 1175 кВт сообщается следующее.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В соответствии с Правилами технологического присоединения энергопринимающих устройств потребителей электрической энергии, объектов по производству электрической энергии, а также объектов электросетевого хозяйства, принадлежащих сетевым организациям и иным лицам, к электрическим сетям, утвержденными Постановлением Правительства РФ от 27.12.2004 г. № 861 (далее – Правила ТП), конкретные технические условия на энергоснабжение объекта будут разработаны в составе договора о технологическом присоединении.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Для заключения договора на технологическое присоединение необходимо представить письменную заявку с приложением необходимых документов </w:t>
              <w:br/>
              <w:t> и сведений, указанных в п. 9 Правил ТП.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Подать заявку на технологическое присоединение возможно через единый федеральный портал электросетевых услуг группы компаний «Россети» на сайте: </w:t>
            </w:r>
            <w:r>
              <w:rPr>
                <w:color w:val="0000FF"/>
                <w:sz w:val="24"/>
                <w:u w:val="single"/>
              </w:rPr>
              <w:t>https://портал-тп.рф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или через Мобильное приложение ПАО «Россети».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 </w:t>
            </w:r>
            <w:r>
              <w:rPr>
                <w:b/>
                <w:color w:val="000000"/>
                <w:sz w:val="24"/>
              </w:rPr>
              <w:t xml:space="preserve">ПАО «Россети Урал» – филиал «Пермэнерго» </w:t>
            </w:r>
            <w:r>
              <w:rPr>
                <w:color w:val="000000"/>
                <w:sz w:val="24"/>
              </w:rPr>
              <w:t>от 17.07.2024 № ПЭ/22/671).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Технологическое присоединение к сетям связи ПАО «Ростелеком» планируемых к строительству объектов в границах Участка может быть произведено в точке подключения узел ВОЛС (г. Пермь, ул. Кронита, д. 8), максимальную нагрузку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в точке подключения (технологического присоединения) определить на стадии проектирования.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Для подключения (технологического присоединения) объектов капитального строительства в границах Участка необходим запрос правообладателя земельного участка на выдачу технических условий (далее – ТУ) или заявки о заключении договора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о подключении в порядке, определенном действующим законодательством.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Срок действия ТУ составляет 3 года (при комплексном развитии территории – 5 лет) со дня выдачи.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В случае, если в течение 1 года (при комплексном развитии территории – 3 лет) со дня выдачи ТУ заявителем не будет подана заявка о подключении, срок действия ТУ прекращается («Правила подключения (технологического присоединения) объектов капитального строительства к сетям электросвязи», утвержденные постановлением Правительства РФ от 01.07.2022 № 1196).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Для получения ТУ на подключение к сетям связи </w:t>
              <w:br/>
              <w:t xml:space="preserve"> ПАО «Ростелеком» необходимо направить письменный запрос по адресу: г. Пермь, ул. Крупской, д. 2, e-mail: </w:t>
            </w:r>
            <w:hyperlink r:id="rId10">
              <w:r>
                <w:rPr>
                  <w:rStyle w:val="Hyperlink"/>
                  <w:color w:val="0000FF"/>
                  <w:sz w:val="24"/>
                  <w:u w:val="single"/>
                </w:rPr>
                <w:t>perm-mail@ural.rt.ru</w:t>
              </w:r>
            </w:hyperlink>
            <w:r>
              <w:rPr>
                <w:color w:val="000000"/>
                <w:sz w:val="24"/>
              </w:rPr>
              <w:t>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 </w:t>
            </w:r>
            <w:r>
              <w:rPr>
                <w:b/>
                <w:color w:val="000000"/>
                <w:sz w:val="24"/>
              </w:rPr>
              <w:t>ПАО «Ростелеком»</w:t>
            </w:r>
            <w:r>
              <w:rPr>
                <w:color w:val="000000"/>
                <w:sz w:val="24"/>
              </w:rPr>
              <w:t xml:space="preserve"> от 19.07.2024 № 01/05/104350/24).</w:t>
            </w:r>
          </w:p>
          <w:p>
            <w:pPr>
              <w:pStyle w:val="BodyText"/>
              <w:spacing w:before="0" w:after="0"/>
              <w:ind w:hanging="0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</w:tc>
      </w:tr>
      <w:tr>
        <w:trPr>
          <w:trHeight w:val="225" w:hRule="atLeast"/>
        </w:trPr>
        <w:tc>
          <w:tcPr>
            <w:tcW w:w="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Начальная цена предмета аукциона</w:t>
            </w:r>
          </w:p>
          <w:p>
            <w:pPr>
              <w:pStyle w:val="Normal"/>
              <w:ind w:right="0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(размер ежегодной арендной платы)</w:t>
            </w:r>
          </w:p>
          <w:p>
            <w:pPr>
              <w:pStyle w:val="Normal"/>
              <w:ind w:right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</w:r>
          </w:p>
          <w:p>
            <w:pPr>
              <w:pStyle w:val="Normal"/>
              <w:ind w:right="0"/>
              <w:rPr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 xml:space="preserve">Победитель аукциона, иное лицо, с которым договор заключается в соответствии с п.13, п.14 или п. 20 ст. 39.12 Земельного Кодекса Российской Федерации (далее – ЗК РФ), обязан в течение </w:t>
            </w:r>
            <w:r>
              <w:rPr>
                <w:b/>
                <w:bCs/>
                <w:sz w:val="24"/>
                <w:szCs w:val="24"/>
              </w:rPr>
              <w:t xml:space="preserve">15 дней </w:t>
            </w:r>
            <w:r>
              <w:rPr>
                <w:b w:val="false"/>
                <w:bCs w:val="false"/>
                <w:sz w:val="24"/>
                <w:szCs w:val="24"/>
              </w:rPr>
              <w:t xml:space="preserve">со дня размещения протокола о результатах аукциона, а в случаях, определенных п.13, п.14, ст. 39.12 ЗК РФ, протокола рассмотрения заявок, уплатить ежегодный размер арендной платы (за вычетом задатка, внесенного для участия в аукционе) </w:t>
            </w:r>
            <w:r>
              <w:rPr>
                <w:b/>
                <w:bCs w:val="false"/>
                <w:color w:val="000000"/>
                <w:sz w:val="24"/>
                <w:szCs w:val="24"/>
              </w:rPr>
              <w:t>однократно за первые 3 года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>
              <w:rPr>
                <w:b w:val="false"/>
                <w:bCs w:val="false"/>
                <w:sz w:val="24"/>
                <w:szCs w:val="24"/>
              </w:rPr>
              <w:t xml:space="preserve">на счет департамента земельных отношений администрации города Перми, 614015, ул. Сибирская,15, </w:t>
            </w:r>
            <w:r>
              <w:rPr>
                <w:b w:val="false"/>
                <w:bCs w:val="false"/>
                <w:sz w:val="24"/>
                <w:szCs w:val="24"/>
              </w:rPr>
              <w:br w:type="textWrapping" w:clear="all"/>
            </w:r>
            <w:r>
              <w:rPr>
                <w:b w:val="false"/>
                <w:bCs w:val="false"/>
                <w:sz w:val="24"/>
                <w:szCs w:val="24"/>
              </w:rPr>
              <w:t>тел. 212-61-90 (отдел договоров)</w:t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1 687 000 руб.</w:t>
            </w:r>
          </w:p>
        </w:tc>
      </w:tr>
      <w:tr>
        <w:trPr>
          <w:trHeight w:val="225" w:hRule="atLeast"/>
        </w:trPr>
        <w:tc>
          <w:tcPr>
            <w:tcW w:w="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2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«Шаг аукциона» (3% от начальной цены)</w:t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50 610 руб.</w:t>
            </w:r>
          </w:p>
        </w:tc>
      </w:tr>
      <w:tr>
        <w:trPr>
          <w:trHeight w:val="498" w:hRule="atLeast"/>
        </w:trPr>
        <w:tc>
          <w:tcPr>
            <w:tcW w:w="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before="0" w:after="0"/>
              <w:ind w:hanging="0" w:left="113" w:right="113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Форма заявки на участие в аукционе</w:t>
            </w:r>
          </w:p>
          <w:p>
            <w:pPr>
              <w:pStyle w:val="Normal"/>
              <w:widowControl/>
              <w:spacing w:before="0" w:after="0"/>
              <w:ind w:hanging="0" w:left="113" w:right="113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>
                <w:sz w:val="24"/>
                <w:szCs w:val="24"/>
              </w:rPr>
              <w:t xml:space="preserve">Форма заявки размещена на сайтах </w:t>
            </w:r>
            <w:hyperlink r:id="rId11" w:tgtFrame="http://www.torgi.gov.ru/">
              <w:r>
                <w:rPr>
                  <w:rStyle w:val="Hyperlink"/>
                  <w:sz w:val="24"/>
                  <w:szCs w:val="24"/>
                  <w:lang w:val="en-US"/>
                </w:rPr>
                <w:t>www</w:t>
              </w:r>
              <w:r>
                <w:rPr>
                  <w:rStyle w:val="Hyperlink"/>
                  <w:sz w:val="24"/>
                  <w:szCs w:val="24"/>
                </w:rPr>
                <w:t>.</w:t>
              </w:r>
              <w:r>
                <w:rPr>
                  <w:rStyle w:val="Hyperlink"/>
                  <w:sz w:val="24"/>
                  <w:szCs w:val="24"/>
                  <w:lang w:val="en-US"/>
                </w:rPr>
                <w:t>torgi</w:t>
              </w:r>
              <w:r>
                <w:rPr>
                  <w:rStyle w:val="Hyperlink"/>
                  <w:sz w:val="24"/>
                  <w:szCs w:val="24"/>
                </w:rPr>
                <w:t>.</w:t>
              </w:r>
              <w:r>
                <w:rPr>
                  <w:rStyle w:val="Hyperlink"/>
                  <w:sz w:val="24"/>
                  <w:szCs w:val="24"/>
                  <w:lang w:val="en-US"/>
                </w:rPr>
                <w:t>gov</w:t>
              </w:r>
              <w:r>
                <w:rPr>
                  <w:rStyle w:val="Hyperlink"/>
                  <w:sz w:val="24"/>
                  <w:szCs w:val="24"/>
                </w:rPr>
                <w:t>.</w:t>
              </w:r>
              <w:r>
                <w:rPr>
                  <w:rStyle w:val="Hyperlink"/>
                  <w:sz w:val="24"/>
                  <w:szCs w:val="24"/>
                  <w:lang w:val="en-US"/>
                </w:rPr>
                <w:t>ru</w:t>
              </w:r>
            </w:hyperlink>
            <w:r>
              <w:rPr>
                <w:sz w:val="24"/>
                <w:szCs w:val="24"/>
              </w:rPr>
              <w:t>, www.gorodperm.ru (раздел Деятельность/Муниципальная собственность/Торговая площадка/ Вид торгов Продажа и аренда земельных участков).</w:t>
            </w:r>
          </w:p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Заявка подается одновременно с полным пакетом документов, требуемых для участия в аукционе. На каждый лот представляется отдельный пакет документов.</w:t>
            </w:r>
          </w:p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jc w:val="both"/>
              <w:rPr>
                <w:b/>
              </w:rPr>
            </w:pPr>
            <w:r>
              <w:rPr>
                <w:b/>
                <w:color w:val="000000"/>
                <w:sz w:val="24"/>
                <w:szCs w:val="24"/>
              </w:rPr>
              <w:t>Решение о проведении аукциона принято в соответствии со статьей 39.11 Земельного кодекса Российской Федерации, аукцион является открытым по составу участников.</w:t>
            </w:r>
          </w:p>
        </w:tc>
      </w:tr>
      <w:tr>
        <w:trPr>
          <w:trHeight w:val="557" w:hRule="atLeast"/>
        </w:trPr>
        <w:tc>
          <w:tcPr>
            <w:tcW w:w="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2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Размер задатка (50% от начальной цены)</w:t>
            </w:r>
          </w:p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843 500 руб.</w:t>
            </w:r>
          </w:p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318" w:hRule="atLeast"/>
        </w:trPr>
        <w:tc>
          <w:tcPr>
            <w:tcW w:w="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аренды земельного участка</w:t>
            </w:r>
          </w:p>
          <w:p>
            <w:pPr>
              <w:pStyle w:val="Normal"/>
              <w:ind w:righ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 лет 4 месяца</w:t>
            </w:r>
          </w:p>
        </w:tc>
      </w:tr>
      <w:tr>
        <w:trPr>
          <w:trHeight w:val="144" w:hRule="atLeast"/>
        </w:trPr>
        <w:tc>
          <w:tcPr>
            <w:tcW w:w="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Проект договора аренды земельного участка</w:t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Проект договора аренды земельного участка, приобретаемого на торгах в форме аукциона, для строительства, утвержден постановлением администрации города Перми от 29.05.2015 № 322, является Приложением 2 к настоящему извещению и размещен на сайтах </w:t>
            </w:r>
            <w:r>
              <w:rPr>
                <w:sz w:val="24"/>
                <w:szCs w:val="24"/>
                <w:lang w:val="en-US"/>
              </w:rPr>
              <w:t>www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torgi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gov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ru</w:t>
            </w:r>
            <w:r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  <w:lang w:val="en-US"/>
              </w:rPr>
              <w:t>www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gorodperm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ru</w:t>
            </w:r>
            <w:r>
              <w:rPr>
                <w:sz w:val="24"/>
                <w:szCs w:val="24"/>
              </w:rPr>
              <w:t xml:space="preserve"> (раздел Деятельность/ муниципальная собственность/ Торговая площадка/Вид торгов Продажа и аренда земельных участков).</w:t>
            </w:r>
          </w:p>
        </w:tc>
      </w:tr>
      <w:tr>
        <w:trPr>
          <w:trHeight w:val="144" w:hRule="atLeast"/>
        </w:trPr>
        <w:tc>
          <w:tcPr>
            <w:tcW w:w="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Порядок осмотра земельного участка </w:t>
              <w:br/>
              <w:t>на местности</w:t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Осмотр земельного участка производится заявителем самостоятельно в любое время с даты опубликования настоящего извещения.</w:t>
            </w:r>
          </w:p>
        </w:tc>
      </w:tr>
    </w:tbl>
    <w:p>
      <w:pPr>
        <w:pStyle w:val="Normal"/>
        <w:spacing w:lineRule="exact" w:line="240"/>
        <w:ind w:right="-263"/>
        <w:rPr>
          <w:b/>
          <w:bCs/>
        </w:rPr>
      </w:pPr>
      <w:r>
        <w:rPr>
          <w:b/>
          <w:bCs/>
        </w:rPr>
      </w:r>
    </w:p>
    <w:p>
      <w:pPr>
        <w:pStyle w:val="Normal"/>
        <w:tabs>
          <w:tab w:val="clear" w:pos="708"/>
          <w:tab w:val="left" w:pos="5103" w:leader="none"/>
        </w:tabs>
        <w:ind w:right="-263"/>
        <w:rPr>
          <w:sz w:val="20"/>
          <w:szCs w:val="20"/>
        </w:rPr>
      </w:pPr>
      <w:r>
        <w:rPr>
          <w:b/>
          <w:lang w:val="en-US"/>
        </w:rPr>
        <w:t>Лот № 2</w:t>
      </w:r>
    </w:p>
    <w:tbl>
      <w:tblPr>
        <w:tblW w:w="9915" w:type="dxa"/>
        <w:jc w:val="left"/>
        <w:tblInd w:w="-606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330"/>
        <w:gridCol w:w="2749"/>
        <w:gridCol w:w="6836"/>
      </w:tblGrid>
      <w:tr>
        <w:trPr>
          <w:trHeight w:val="426" w:hRule="atLeast"/>
        </w:trPr>
        <w:tc>
          <w:tcPr>
            <w:tcW w:w="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органа местного самоуправления, принявшего решение о проведении аукциона,</w:t>
            </w:r>
          </w:p>
          <w:p>
            <w:pPr>
              <w:pStyle w:val="Normal"/>
              <w:ind w:righ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реквизиты указанного решения</w:t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города Перми, распоряжение начальника департамента земельных отношений администрации города Перми от 11 ноября 2024 г. № 21-01-03-9879 «О проведении аукциона на право заключения договора аренды земельного участка  в Индустриальном районе города Перми»</w:t>
            </w:r>
          </w:p>
        </w:tc>
      </w:tr>
      <w:tr>
        <w:trPr>
          <w:trHeight w:val="225" w:hRule="atLeast"/>
        </w:trPr>
        <w:tc>
          <w:tcPr>
            <w:tcW w:w="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Предмет аукциона на право заключения договора аренды земельного участка</w:t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381" w:hRule="atLeast"/>
        </w:trPr>
        <w:tc>
          <w:tcPr>
            <w:tcW w:w="3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2"/>
              </w:numPr>
              <w:ind w:hanging="277" w:left="419" w:right="-26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местоположение</w:t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Российская Федерация, край Пермский, городской округ Пермский, город Пермь, улица Промышленная, з/у 80в</w:t>
            </w:r>
          </w:p>
        </w:tc>
      </w:tr>
      <w:tr>
        <w:trPr>
          <w:trHeight w:val="321" w:hRule="atLeast"/>
        </w:trPr>
        <w:tc>
          <w:tcPr>
            <w:tcW w:w="3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2"/>
              </w:numPr>
              <w:ind w:hanging="277" w:left="419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площадь</w:t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40007 кв. м</w:t>
            </w:r>
          </w:p>
        </w:tc>
      </w:tr>
      <w:tr>
        <w:trPr>
          <w:trHeight w:val="345" w:hRule="atLeast"/>
        </w:trPr>
        <w:tc>
          <w:tcPr>
            <w:tcW w:w="3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2"/>
              </w:numPr>
              <w:ind w:hanging="277" w:left="419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кадастровый номер</w:t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59:01:4716146:4</w:t>
            </w:r>
          </w:p>
        </w:tc>
      </w:tr>
      <w:tr>
        <w:trPr>
          <w:trHeight w:val="285" w:hRule="atLeast"/>
        </w:trPr>
        <w:tc>
          <w:tcPr>
            <w:tcW w:w="3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2"/>
              </w:numPr>
              <w:ind w:hanging="284" w:left="419" w:righ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права на земельный участок</w:t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государственная собственность не разграничена</w:t>
            </w:r>
          </w:p>
        </w:tc>
      </w:tr>
      <w:tr>
        <w:trPr>
          <w:trHeight w:val="232" w:hRule="atLeast"/>
        </w:trPr>
        <w:tc>
          <w:tcPr>
            <w:tcW w:w="3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2"/>
              </w:numPr>
              <w:ind w:hanging="277" w:left="419" w:right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разрешенное использование</w:t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деловое управление (4.1), склады (6.9), складские площадки (6.9.1)</w:t>
            </w:r>
          </w:p>
        </w:tc>
      </w:tr>
      <w:tr>
        <w:trPr>
          <w:trHeight w:val="670" w:hRule="atLeast"/>
        </w:trPr>
        <w:tc>
          <w:tcPr>
            <w:tcW w:w="3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2"/>
              </w:numPr>
              <w:ind w:hanging="284" w:left="419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принадлежность к определенной  </w:t>
              <w:br/>
              <w:t>категории земель</w:t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земли населенных пунктов</w:t>
            </w:r>
          </w:p>
        </w:tc>
      </w:tr>
      <w:tr>
        <w:trPr>
          <w:trHeight w:val="670" w:hRule="atLeast"/>
        </w:trPr>
        <w:tc>
          <w:tcPr>
            <w:tcW w:w="3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3"/>
              </w:numPr>
              <w:ind w:hanging="277" w:left="419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ограничение прав</w:t>
            </w:r>
          </w:p>
          <w:p>
            <w:pPr>
              <w:pStyle w:val="Normal"/>
              <w:ind w:left="419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firstLine="31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Ограничения прав подробно описаны:</w:t>
            </w:r>
          </w:p>
          <w:p>
            <w:pPr>
              <w:pStyle w:val="Normal"/>
              <w:ind w:firstLine="31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выписке из Единого государственного реестра недвижимости об объекте недвижимости  от 06.12.2024г.               № КУВИ-001/2024-296332778;</w:t>
            </w:r>
          </w:p>
          <w:p>
            <w:pPr>
              <w:pStyle w:val="Normal"/>
              <w:ind w:firstLine="31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 градостроительном плане земельного участка                    от 17.05.2024 № РФ-59-2-03-0-00-2024-0947-0 (далее – ГПЗУ).</w:t>
            </w:r>
          </w:p>
          <w:p>
            <w:pPr>
              <w:pStyle w:val="BodyText"/>
              <w:ind w:firstLine="312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Участок находится в свободном доступе, капитальные и некапитальные сооружения отсутствуют. Территория не эксплуатируется.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 w:eastAsia="Droid Sans Fallback" w:cs="Lohit Devanagari"/>
                <w:color w:val="000000"/>
                <w:kern w:val="0"/>
                <w:sz w:val="24"/>
                <w:szCs w:val="24"/>
                <w:lang w:val="ru-RU" w:eastAsia="zh-CN" w:bidi="ar-SA"/>
              </w:rPr>
            </w:pPr>
            <w:r>
              <w:rPr>
                <w:rFonts w:eastAsia="Droid Sans Fallback" w:cs="Lohit Devanagari"/>
                <w:color w:val="000000"/>
                <w:kern w:val="0"/>
                <w:sz w:val="24"/>
                <w:szCs w:val="24"/>
                <w:lang w:val="ru-RU" w:eastAsia="zh-CN" w:bidi="ar-SA"/>
              </w:rPr>
              <w:t>(Аналогичная информация отражена в письме  администрации Индустриального района города Перми от 08.05.2024 № 059-16-01-08/3-1429, в акте обследования территории от 07.05.2024 № 105).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</w:rPr>
            </w:pPr>
            <w:r>
              <w:rPr/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В случае выявления объектов некапитального типа победитель аукциона вправе осуществить демонтаж выявленных объектов за счет собственных средств и (или) с привлечением средств других лиц без отнесения соответствующих расходов на территориальный орган администрации города Перми, департамент земельных отношений администрации города Перми или иной функциональный орган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или подразделение администрации города Перми.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В соответствии копией планшета М 1:500 (требующего корректуры) в границах Участка расположены сети водоснабжения, электроснабжения, газоснабжения, нефтепровода, шламопровода.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Согласно сведениям ЕГРН Участок имеет связь </w:t>
              <w:br/>
              <w:t> с объектом капитального строительства с кадастровым номером 59:32:3980008:2586 – трубопровод авиакеросина, находящийся в собственности ООО «Лукойл-АЭРО».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Согласно сведениям, содержащимся в ЕГРН, ГПЗУ и справке по градостроительным условиям участка от 06.12.2024 № 615662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Участок расположен в ЗОУИТ: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частично в границах зоны с особыми условиями использования территории Зона санитарной охраны источников водоснабжения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и водопроводов питьевого назначения «Санитарно-защитная полоса водовода», 59:32-6.536. площадь земельного участка, покрываемая зоной с особыми условиями использования территории, составляет 2599,06 кв. м. (Постановление Главного государственного санитарного врача Российской Федерации от 14.03.2002 № 10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«О введении в действие санитарных правил и норм «Зоны санитарной охраны источников водоснабжения и водопроводов питьевого назначения. САНПИН 2.1.4.1110-02»);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частично в границах зоны с особыми условиями использования территории Охранная зона инженерных коммуникаций «Охранная зона газопровода высокого давления», 59:00-6.15, площадь земельного участка, покрываемая зоной с особыми условиями использования территории, составляет 718,63 кв. м,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частично в границах зоны с особыми условиями использования территории Охранная зона инженерных коммуникаций «Охранная зона газопровода высокого давления к котельной поселка Сокол», 59:00-6.18, площадь земельного участка, покрываемая зоной с особыми условиями использования территории, составляет 580,8 кв. м. (Постановление Правительства Российской Федерации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от 20.11.2000 № 878 «Об утверждении Правил охраны газораспределительных сетей»);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частично в границах зоны с особыми условиями использования территории Охранная зона инженерных коммуникаций «Охранная зона трубопровода авиационного керосина из стальных труб, инв. № 0000176П, находящегося по адресу: Пермский край. Пермский район. Савинское с/п, аэропорт «Большое Савино», 59:01-6,896, площадь земельного участка, покрываемая зоной с особыми условиями использования территории, составляет 2323,45 кв. м. (Постановление Госгортехнадзора Российской Федерации от 22.04.1992 № 9 «Правила охраны магистральных трубопроводов»);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полостью в границах зоны с особыми условиями использования территории Охранная зона транспорта «Зона с особыми условиями использования – Приаэродромная территория аэродрома аэропорта Большое Савино», реестровый номер 59:32-6.553 (Постановление Правительства Российской Федерации от 11.03.2010 № 138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«Об утверждении Федеральных правил использования воздушного пространства Российской Федерации»);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полностью в границах зоны с особыми условиями использования территории Санитарно-защитная зона предприятий, сооружений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 xml:space="preserve">и иных объектов «Санитарно-защитная зона для ООО «ЛУКОЙЛ- Пермнефтеоргсинтез» с учетом строительства блока гликолевой осушки и строительства эстакады тактового налива светлых нефтепродуктов», 59:00-6.1604 (Решение Федеральной службы по надзору в сфере защиты драв потребителей и благополучия человека от 06.07.2020 </w:t>
            </w:r>
            <w:r>
              <w:rPr>
                <w:color w:val="000000"/>
              </w:rPr>
              <w:t xml:space="preserve">№ </w:t>
            </w:r>
            <w:r>
              <w:rPr>
                <w:color w:val="000000"/>
                <w:sz w:val="24"/>
              </w:rPr>
              <w:t>126-РСЗЗ «Об установлении санитарно- защитной зоны для промышленной площадки ООО «ЛУКОЙЛ -Пермнефтеоргсинтез» с учетом строительства блока гликолевой осушки и строительства эстакады тактового налива светлых нефтепродуктов, расположенного по адресу: Пермский край, г. Пермь, ул. Промышленная, д. 84»),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полностью в границах зоны с особыми условиями использования территории Санитарно-защитная зона предприятий, сооружений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и иных объектов «Единая санитарно-защитная зона промузла «Осенцы», реестровый номер 59:00-6.30 (Постановление администрации города Перми от 20.06.2007 №°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 xml:space="preserve">227 «Об утверждении проекта границ общей санитарно-защитной зоны промышленного узла «Осенцы» </w:t>
              <w:br/>
              <w:t> в Индустриальном районе»). Ограничение</w:t>
            </w:r>
            <w:r>
              <w:rPr>
                <w:color w:val="000000"/>
              </w:rPr>
              <w:t xml:space="preserve">  </w:t>
            </w:r>
            <w:r>
              <w:rPr>
                <w:color w:val="000000"/>
                <w:sz w:val="24"/>
              </w:rPr>
              <w:t>в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использовании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объектов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недвижимости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в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границах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Единой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санитарно-защитной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зоны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промузла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«Осенцы»  в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соответствии с</w:t>
            </w:r>
            <w:r>
              <w:rPr>
                <w:color w:val="000000"/>
              </w:rPr>
              <w:t xml:space="preserve">  </w:t>
            </w:r>
            <w:r>
              <w:rPr>
                <w:color w:val="000000"/>
                <w:sz w:val="24"/>
              </w:rPr>
              <w:t>СанПиН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2.2.1-2.1.1.1200-03 (утверждены Главным государственным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санитарным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врачом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Российской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Федерации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Г.Г. Онищенко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 xml:space="preserve">15.06.2003), согласно которому </w:t>
            </w:r>
            <w:r>
              <w:rPr>
                <w:b/>
                <w:color w:val="000000"/>
                <w:sz w:val="24"/>
              </w:rPr>
              <w:t>не допускается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br/>
              <w:t xml:space="preserve"> в санитарно-защитной зоне и на территории объектов других отраслей промышленности размещать объекты по производству лекарственных веществ, лекарственных средств и (или) лекарственных форм, склады сырья </w:t>
              <w:br/>
              <w:t> и полупродуктов для фармацевтических предприятий; объекты пищевых отраслей промышленности, оптовые склады продовольственного сырья и пищевых продуктов, комплексы водопроводных сооружений для подготовки и хранения питьевой воды, которые могут повлиять на качество продукции.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На Участке произрастают 107 деревьев пород – яблоня 20 шт., береза 19 шт., ива 16 шт., тополь 30 шт., клен 17 шт., черемуха 5 шт.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 </w:t>
            </w:r>
            <w:r>
              <w:rPr>
                <w:b/>
                <w:color w:val="000000"/>
                <w:sz w:val="24"/>
              </w:rPr>
              <w:t xml:space="preserve">управления по экологии и природопользованию администрации города Перми </w:t>
            </w:r>
            <w:r>
              <w:rPr>
                <w:color w:val="000000"/>
                <w:sz w:val="24"/>
              </w:rPr>
              <w:t>от 22.05.2024 № 059-33-01-11/3-55).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В соответствии с бюджетом города Перми на 2024 год и плановый период 2025-2026 годов мероприятий по строительству, реконструкции, капитальному ремонту улично-дорожной сети на рассматриваемой территории не запланировано.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Для примыкания Участка к улично-дорожной сети города Перми необходимо выполнить мероприятия, указанные в письме  </w:t>
            </w:r>
            <w:r>
              <w:rPr>
                <w:b w:val="false"/>
                <w:bCs w:val="false"/>
                <w:color w:val="000000"/>
                <w:sz w:val="24"/>
              </w:rPr>
              <w:t xml:space="preserve">департамента дорог и благоустройства администрации города Перми от </w:t>
            </w:r>
            <w:r>
              <w:rPr>
                <w:color w:val="000000"/>
                <w:sz w:val="24"/>
              </w:rPr>
              <w:t>02.05.2024 № 059-24-01-36/3-1482.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Также указывается необходимость соблюдать Правила благоустройства территории города Перми, утвержденные решением Пермской городской Думы от 15.12.2020 № 277, при строительстве объектов недвижимости на земельных участках, предоставленныхна торгах, указанные в данном письме.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Для сведения сообщается, что в соответствии с Федеральным законом от 08.11.2007 № 257-ФЗ  «Об автомобильных дорогах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и о дорожной деятельности в Российской Федерации и о внесении изменений в отдельные законодательные акты Российской Федерации» расходы на строительство, реконструкцию, капитальный ремонт, ремонт пересечений и примыканий, в том числе расходы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на выполнение дополнительных работ, связанных с обеспечением безопасности дорожного движения, водоотведения и исполнением других установленных техническими регламентами требований, несут лица, в интересах которых осуществляются строительство, реконструкция, капитальный ремонт, ремонт пересечений или примыканий.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 </w:t>
            </w:r>
            <w:r>
              <w:rPr>
                <w:b/>
                <w:color w:val="000000"/>
                <w:sz w:val="24"/>
              </w:rPr>
              <w:t xml:space="preserve">департамента дорог и благоустройства администрации города Перми от </w:t>
            </w:r>
            <w:r>
              <w:rPr>
                <w:color w:val="000000"/>
                <w:sz w:val="24"/>
              </w:rPr>
              <w:t>02.05.2024 № 059-24-01-36/3-1482).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Строительство пожарного водоема на указанной территории не запланировано. Ближайшее подразделение пожарной охраны расположено по адресу: ул. Беляева, 29 (ПСЧ-2 10-ПСО). На указанной территории источники противопожарного водоснабжения отсутствуют.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При размещении объектов на вышеуказанной территории необходимо соблюдать нормы и требования действующего законодательства: Федеральных законов от 21 декабря 1994 г. № 69-ФЗ «О пожарной безопасности» и от 22 июля 2008 г. № 123-ФЗ «Технический регламент о требованиях пожарной безопасности», Региональных нормативов градостроительного проектирования «Расчетные показатели обеспеченности населения Пермского края объектами пожарной охраны», утвержденных приказом Министерства по управлению имуществом и градостроительной деятельности Пермского края  от 25.02.2021 № 31-02-1-4-248, а также Свода правил 4.13130 «Системы противопожарной защиты. Ограничение распространения пожара на объектах защиты. Требования к объемно-планировочным и конструктивным решениям», утвержденных Приказом МЧС России от 24.04.2013 № 288 и иной документации, касающейся норм противопожарной безопасности.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Объекты общественной безопасности, отнесенные к объектам полиции (участковые пункты полиции)  в данном микрорайоне отсутствуют. Ближайший участковый пункт расположен по адресу: г. Пермь, ул. Экскаваторная, 57, (м-н Нагорный, Индустриальный район). В настоящее время в указанном микрорайоне, строительство (приобретение) участковых пунктов полиции не планируется.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По информации, предоставленной Министерством территориальной безопасности Пермского края, рассматриваемый земельный участок попадает в зону возможного химического заражения в особый период.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На Участках оконечные устройства системы оповещения населения города Перми отсутствуют. </w:t>
              <w:br/>
              <w:t> Для обеспечения покрытия запланированной территории системой оповещения населения необходимо предусматривать размещение сиренно-речевых узлов согласно пунктам 6.38, 6.39 СП 165.1325800.2014 «Свод правил. Инженерно-технические мероприятия по гражданской обороне. Актуализированная редакция СНиП 2.01.51-90».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</w:t>
            </w:r>
            <w:r>
              <w:rPr>
                <w:b/>
                <w:bCs/>
                <w:color w:val="000000"/>
                <w:sz w:val="24"/>
              </w:rPr>
              <w:t>де</w:t>
            </w:r>
            <w:r>
              <w:rPr>
                <w:b/>
                <w:color w:val="000000"/>
                <w:sz w:val="24"/>
              </w:rPr>
              <w:t>партамента общественной безопасности администрации города Перми</w:t>
            </w:r>
            <w:r>
              <w:rPr>
                <w:color w:val="000000"/>
                <w:sz w:val="24"/>
              </w:rPr>
              <w:t xml:space="preserve">  от 03.05.2024 № 059-10-01-27/3-627).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Согласно </w:t>
            </w:r>
            <w:r>
              <w:rPr>
                <w:b/>
                <w:color w:val="000000"/>
                <w:sz w:val="24"/>
              </w:rPr>
              <w:t xml:space="preserve">протоколу заседания координационного совещания по обеспечению правопорядка в Пермском крае от 16.03.2022 №74-гс </w:t>
            </w:r>
            <w:r>
              <w:rPr>
                <w:color w:val="000000"/>
                <w:sz w:val="24"/>
              </w:rPr>
              <w:t>для строительства объектов городской инфраструктуры (парков, скверов, торгово-развлекательных комплексов, иных зданий и сооружений) обязательным является условие  по установке камер видеонаблюдения.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</w:tc>
      </w:tr>
      <w:tr>
        <w:trPr>
          <w:trHeight w:val="1041" w:hRule="atLeast"/>
        </w:trPr>
        <w:tc>
          <w:tcPr>
            <w:tcW w:w="3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numPr>
                <w:ilvl w:val="0"/>
                <w:numId w:val="2"/>
              </w:numPr>
              <w:spacing w:before="0" w:after="0"/>
              <w:ind w:hanging="283" w:left="510" w:right="113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максимально и (или) минимально допустимые параметры разрешенного строительства </w:t>
              <w:br/>
              <w:t>объекта капитального строительства</w:t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firstLine="312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ind w:firstLine="312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</w:rPr>
              <w:t xml:space="preserve">В </w:t>
            </w:r>
            <w:r>
              <w:rPr>
                <w:sz w:val="24"/>
                <w:szCs w:val="24"/>
                <w:shd w:fill="FFFFFF" w:val="clear"/>
              </w:rPr>
              <w:t xml:space="preserve">документации по земельному участку, размещенной с извещением о проведении аукциона в ГИС Торги </w:t>
            </w:r>
            <w:r>
              <w:rPr>
                <w:sz w:val="24"/>
                <w:szCs w:val="24"/>
                <w:lang w:val="en-US"/>
              </w:rPr>
              <w:t>www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torgi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gov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ru</w:t>
            </w:r>
            <w:r>
              <w:rPr>
                <w:sz w:val="24"/>
                <w:szCs w:val="24"/>
                <w:shd w:fill="FFFFFF" w:val="clear"/>
              </w:rPr>
              <w:t xml:space="preserve">, на официальном сайте муниципального образования город Пермь в информационно-телекоммуникационной сети Интернет </w:t>
            </w:r>
            <w:hyperlink r:id="rId12">
              <w:r>
                <w:rPr>
                  <w:rStyle w:val="Hyperlink"/>
                  <w:sz w:val="24"/>
                  <w:szCs w:val="24"/>
                </w:rPr>
                <w:t>www.gorodperm.ru</w:t>
              </w:r>
            </w:hyperlink>
            <w:r>
              <w:rPr>
                <w:sz w:val="24"/>
                <w:szCs w:val="24"/>
              </w:rPr>
              <w:t>.</w:t>
            </w:r>
          </w:p>
          <w:p>
            <w:pPr>
              <w:pStyle w:val="Normal"/>
              <w:ind w:firstLine="312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BodyText"/>
              <w:ind w:firstLine="312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Согласно информации, содержащейся в градостроительном плане от 17.05.2024 № РФ-59-2-03-0-00-2024-0947-0 (далее – ГПЗУ) максимальный выступ за красную линию нависающих частей здания наземных уровней, выступающих из плоскости наружной стены фасада здания на высоте не менее 4,5 м над территорией общего пользования, составляет не более 1,2 м от красной линии. В случаях, когда линия регулирования застройки отличается  от красной линии, указанный выступ может быть произведен за линию регулирования застройки.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Максимальный класс опасности (в соответствии</w:t>
              <w:br/>
              <w:t> с санитарно-эпидемиологическими правилами) объектов капитального строительства, размещаемых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на земельных участках – III.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Минимальный отступ от границ земельного участка до места допустимого размещения зданий, строений – 0 м. Предельное количество этажей и (или) предельная высота зданий, строений – без ограничений. Максимальный процент застройки в границах земельного участка, определяемый как отношений суммарной площади земельного участка, которая может быть застроена, ко всей площади земельного участка – без ограничений.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В соответствии с таблицей Б.1 «Показатели плотности застройки участков территориальных зон» СП 42.13330.2016. Свод правил. Градостроительство. Планировка и застройка городских и сельских поселений. Актуализированная редакция СНиП 2.07.01-89* коэффициент плотности застройки земельного участка в промышленной зоне составляет 1,8.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Таким образом, предельные параметры разрешенного строительства на земельном участке составляют 72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012,6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кв. м (40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007 кв. м х 1,8).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Минимальные параметры при строительстве объекта управленческой деятельности, не связанной  с государственным или муниципальным управлением, не установлены.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В соответствии с приложением Г «Площадь и размеры земельных участков складов» СП 42.13330.2016. Свод правил. Градостроительство. Планировка и застройка городских и сельских поселений. Актуализированная редакция СНиП </w:t>
              <w:br/>
              <w:t> 2.07.01-89* минимальная площадь склада (складов) на Участке составляет 11 732 кв. м для одноэтажных объектов капитального строительства, 17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717 кв. м для многоэтажных объектов капитального строительства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(если на Участке не планируется строительство объектов согласно установленному виду разрешенного использования «деловое управление» (4.1)).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В соответствии с пунктом 2.1.34. Решения Пермской городской Думы от 15.12.2020 № 277 «Об утверждении Правил благоустройства территории города Перми»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при проектировании и строительстве объекта капитального строительства соблюдать требования  по разработке паспорта внешнего облика объекта капитального строительства (колерный паспорт).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Колерный паспорт - документ, разрабатываемый в случаях, предусмотренных действующим законодательством, Правилами, для фасада здания, строения, сооружения при планируемом строительстве, реконструкции, капитальном ремонте, реставрации, приспособлении объекта культурного наследия для современного использования, а также при изменении внешнего вида здания, строения, сооружения, который устанавливает внешний облик (вид) фасада здания, строения, сооружения, включая требования в отношении материалов, способов отделки и цветов фасадов, ограждающих конструкций (крыш (кровельного покрытия), ограждений балконов, лоджий), мест для размещения средств размещения информации (вывесок, указателей с наименованиями улиц </w:t>
              <w:br/>
              <w:t> и номерами домов (зданий)), рекламных конструкций,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br/>
              <w:t> а также мест для размещения, вида, цветового решения архитектурно-художественной подсветки.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Колерный паспорт подлежит согласованию </w:t>
              <w:br/>
              <w:t> с функциональным органом администрации города Перми, осуществляющим функции управления в сфере градостроительства.</w:t>
            </w:r>
          </w:p>
          <w:p>
            <w:pPr>
              <w:pStyle w:val="Normal"/>
              <w:ind w:firstLine="31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417" w:hRule="atLeast"/>
        </w:trPr>
        <w:tc>
          <w:tcPr>
            <w:tcW w:w="3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2"/>
              </w:numPr>
              <w:ind w:hanging="284" w:left="410" w:right="2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возможность подключения (технологического присоединения) объектов капитального строительства к сетям инженерно-технического обеспечения (за исключением сетей электроснабжения)</w:t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firstLine="252"/>
              <w:jc w:val="both"/>
              <w:rPr>
                <w:highlight w:val="none"/>
              </w:rPr>
            </w:pPr>
            <w:r>
              <w:rPr/>
            </w:r>
          </w:p>
          <w:p>
            <w:pPr>
              <w:pStyle w:val="Normal"/>
              <w:ind w:firstLine="252"/>
              <w:jc w:val="both"/>
              <w:rPr>
                <w:highlight w:val="none"/>
              </w:rPr>
            </w:pPr>
            <w:r>
              <w:rPr/>
            </w:r>
          </w:p>
          <w:p>
            <w:pPr>
              <w:pStyle w:val="Normal"/>
              <w:ind w:firstLine="252"/>
              <w:jc w:val="both"/>
              <w:rPr>
                <w:highlight w:val="none"/>
              </w:rPr>
            </w:pPr>
            <w:r>
              <w:rPr>
                <w:sz w:val="24"/>
                <w:szCs w:val="24"/>
              </w:rPr>
              <w:t xml:space="preserve">В </w:t>
            </w:r>
            <w:r>
              <w:rPr>
                <w:sz w:val="24"/>
                <w:szCs w:val="24"/>
                <w:shd w:fill="FFFFFF" w:val="clear"/>
              </w:rPr>
              <w:t xml:space="preserve">документации по земельному участку, размещенной с извещением о проведении аукциона в ГИС Торги </w:t>
            </w:r>
            <w:r>
              <w:rPr>
                <w:sz w:val="24"/>
                <w:szCs w:val="24"/>
                <w:lang w:val="en-US"/>
              </w:rPr>
              <w:t>www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torgi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gov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ru</w:t>
            </w:r>
            <w:r>
              <w:rPr>
                <w:sz w:val="24"/>
                <w:szCs w:val="24"/>
                <w:shd w:fill="FFFFFF" w:val="clear"/>
              </w:rPr>
              <w:t xml:space="preserve">, на официальном сайте муниципального образования город Пермь в информационно-телекоммуникационной сети Интернет </w:t>
            </w:r>
            <w:hyperlink r:id="rId13" w:tgtFrame="http://www.gorodperm.ru/">
              <w:r>
                <w:rPr>
                  <w:rStyle w:val="Hyperlink"/>
                  <w:sz w:val="24"/>
                  <w:szCs w:val="24"/>
                </w:rPr>
                <w:t>www.gorodperm.ru</w:t>
              </w:r>
            </w:hyperlink>
            <w:r>
              <w:rPr>
                <w:sz w:val="24"/>
                <w:szCs w:val="24"/>
              </w:rPr>
              <w:t>.</w:t>
            </w:r>
          </w:p>
          <w:p>
            <w:pPr>
              <w:pStyle w:val="Normal"/>
              <w:ind w:firstLine="25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  <w:szCs w:val="24"/>
              </w:rPr>
              <w:t>Техническая возможность подключения объекта капитального строительства с планируемым объемом потребления газа 142 куб.м/час к сетям газоснабжения имеется. Возможная точка подключения - газопровод высокого давления по ул. Гамовский тракт (собственник – АО «Газпром газораспределение Пермь»).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Ориентировочное расстояние от точки подключения до границ испрашиваемого земельного участка составляет 112 п.м.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В связи с необходимостью пересечения железнодорожного полотна, а также автодорог прокладку газопровода, необходимо выполнить с помощью ГНБ (горизонтально-направленного бурения).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rFonts w:eastAsia="Droid Sans Fallback" w:cs="Lohit Devanagari"/>
                <w:color w:val="000000"/>
                <w:kern w:val="0"/>
                <w:sz w:val="24"/>
                <w:szCs w:val="24"/>
                <w:lang w:val="ru-RU" w:eastAsia="zh-CN" w:bidi="ar-SA"/>
              </w:rPr>
              <w:t xml:space="preserve">(Аналогичная информация отражена в письме </w:t>
            </w:r>
            <w:r>
              <w:rPr/>
              <w:t xml:space="preserve"> </w:t>
            </w:r>
            <w:r>
              <w:rPr>
                <w:b/>
                <w:color w:val="000000"/>
                <w:sz w:val="24"/>
                <w:szCs w:val="24"/>
              </w:rPr>
              <w:t>АО «Газпром газораспределение Пермь»</w:t>
            </w:r>
            <w:r>
              <w:rPr>
                <w:color w:val="000000"/>
                <w:sz w:val="24"/>
                <w:szCs w:val="24"/>
              </w:rPr>
              <w:t> от 07.06.2024 № ПР-2357).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/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О возможности подключения планируемого к строительству объекта на Участке с планируемой величиной подключаемой нагрузки – 23,07 м3/сут, расходом воды на наружное пожаротушение 70 л/сек, сообщается, что в районе Участка отсутствуют централизованные сети водоснабжения и водоотведения, эксплуатируемые ООО «Новогор-Прикамье».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Ближайшие сети водоснабжения и водоотведения, эксплуатируемые ООО «НОВОГОР-Прикамье», располагаются ориентировочно в радиусе – 4,31 км от Участка.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ООО «НОВОГОР-Прикамье» не располагает сведениями о наличии сетей 3-х лиц в границах Участка.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Победителю аукциона для получения информации возможности подключения Участка рекомендуется обратиться к правообладателям близлежащих сетей водоснабжения и водоотведения.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rFonts w:eastAsia="Droid Sans Fallback" w:cs="Lohit Devanagari"/>
                <w:color w:val="000000"/>
                <w:kern w:val="0"/>
                <w:sz w:val="24"/>
                <w:szCs w:val="24"/>
                <w:lang w:val="ru-RU" w:eastAsia="zh-CN" w:bidi="ar-SA"/>
              </w:rPr>
              <w:t>(Аналогичная информация отражена в письме</w:t>
            </w:r>
            <w:r>
              <w:rPr/>
              <w:t xml:space="preserve">  </w:t>
            </w:r>
            <w:r>
              <w:rPr>
                <w:b/>
                <w:color w:val="000000"/>
                <w:sz w:val="24"/>
              </w:rPr>
              <w:t xml:space="preserve">ООО «Новогор-Прикамье» </w:t>
            </w:r>
            <w:r>
              <w:rPr>
                <w:color w:val="000000"/>
                <w:sz w:val="24"/>
              </w:rPr>
              <w:t>от 06.05.2024 № 110-6967).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/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Участок находится вне зоны теплоснабжения  ПАО «Т Плюс».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</w:t>
            </w:r>
            <w:r>
              <w:rPr>
                <w:b/>
                <w:color w:val="000000"/>
                <w:sz w:val="24"/>
              </w:rPr>
              <w:t>Пермские тепловые сети Филиал ПАО «Т Плюс»</w:t>
            </w:r>
            <w:r>
              <w:rPr>
                <w:color w:val="000000"/>
                <w:sz w:val="24"/>
              </w:rPr>
              <w:t xml:space="preserve"> от 06.05.2024 № 51000-32-01409).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О возможности технологического присоединения к электросетям филиала объекта капитального строительства, расположенного на Участке, с предполагаемой максимальной мощностью энергопринимающих устройств 8641 кВт сообщается следующее.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Порядок технологического присоединения</w:t>
              <w:br/>
              <w:t> к электрическим сетям регламентирован Правилами технологического присоединения энергопринимающих устройств потребителей электрической энергии,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объектов по производству электрической энергии, а также объектов электросетевого хозяйства, принадлежащих сетевым организациям и иным лицам,  к электрическим сетям, утвержденными Постановлением Правительства РФ от 27.12.2004 г. № 861 (далее – Правила ТП).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В силу п. 6 Правил ТП технологическое присоединение осуществляется на основании договора, заключаемого между сетевой организацией и юридическим или физическим лицом. Перечень мероприятий по технологическому присоединению определяется в технических условиях.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При этом Правилами ТП не предусмотрена подготовка и выдача сетевой организацией частным лицам либо органам государственной власти (местного самоуправления) каких-либо предварительных технических условий на подключение к электрическим сетям без подачи заявки на технологическое присоединение.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Технические условия для технологического присоединения предоставляются заявителю сетевой организацией вместе с договором о технологическом присоединении на основании пункта 15 Правил.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Таким образом, для получения технических условий</w:t>
              <w:br/>
              <w:t> и заключения договора на технологическое присоединение необходимо направить в адрес филиала «Пермэнерго» заявку</w:t>
            </w:r>
            <w:r>
              <w:rPr>
                <w:color w:val="000000"/>
              </w:rPr>
              <w:t xml:space="preserve">  </w:t>
            </w:r>
            <w:r>
              <w:rPr>
                <w:color w:val="000000"/>
                <w:sz w:val="24"/>
              </w:rPr>
              <w:t>на технологическое присоединение с указанием сведений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и приложением необходимых документов в соответствии Правилами ТП.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Заявку на технологическое присоединение можно подать через единый федеральный портал электросетевых услуг группы компаний «Россети»-ПОРТАЛ-ТП.РФ.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rFonts w:eastAsia="Droid Sans Fallback" w:cs="Lohit Devanagari"/>
                <w:color w:val="000000"/>
                <w:kern w:val="0"/>
                <w:sz w:val="24"/>
                <w:szCs w:val="24"/>
                <w:lang w:val="ru-RU" w:eastAsia="zh-CN" w:bidi="ar-SA"/>
              </w:rPr>
              <w:t>(Аналогичная информация отражена в письме</w:t>
            </w:r>
            <w:r>
              <w:rPr/>
              <w:t xml:space="preserve">  </w:t>
            </w:r>
            <w:r>
              <w:rPr>
                <w:b/>
                <w:color w:val="000000"/>
                <w:sz w:val="24"/>
              </w:rPr>
              <w:t xml:space="preserve">ПАО «Россети Урал» – филиал «Пермэнерго» </w:t>
            </w:r>
            <w:r>
              <w:rPr>
                <w:color w:val="000000"/>
                <w:sz w:val="24"/>
              </w:rPr>
              <w:t>от 06.05.2024 № ПЭ/22/433).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/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Технологическое присоединение к сетям связи ПАО «Ростелеком» планируемых к строительству объектов в границах Участка может быть произведено в точке подключения узел ВОЛС (г. Пермь, ул. 2-я Красавинская, д. 79), максимальную нагрузку в точке подключения (технологического присоединения) определить на стадии проектирования.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 </w:t>
            </w:r>
            <w:r>
              <w:rPr>
                <w:b/>
                <w:color w:val="000000"/>
                <w:sz w:val="24"/>
              </w:rPr>
              <w:t>ПАО «Ростелеком»</w:t>
            </w:r>
            <w:r>
              <w:rPr>
                <w:color w:val="000000"/>
                <w:sz w:val="24"/>
              </w:rPr>
              <w:t xml:space="preserve"> от 07.05.2024 № 01/05/64922/24).</w:t>
            </w:r>
          </w:p>
          <w:p>
            <w:pPr>
              <w:pStyle w:val="Normal"/>
              <w:ind w:firstLine="25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225" w:hRule="atLeast"/>
        </w:trPr>
        <w:tc>
          <w:tcPr>
            <w:tcW w:w="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Начальная цена предмета аукциона</w:t>
            </w:r>
          </w:p>
          <w:p>
            <w:pPr>
              <w:pStyle w:val="Normal"/>
              <w:ind w:right="0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(размер ежегодной арендной платы)</w:t>
            </w:r>
          </w:p>
          <w:p>
            <w:pPr>
              <w:pStyle w:val="Normal"/>
              <w:ind w:right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</w:r>
          </w:p>
          <w:p>
            <w:pPr>
              <w:pStyle w:val="Normal"/>
              <w:ind w:right="0"/>
              <w:rPr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 xml:space="preserve">Победитель аукциона, иное лицо, с которым договор заключается в соответствии с п.13, п.14 или п. 20 ст. 39.12 Земельного Кодекса Российской Федерации (далее – ЗК РФ), обязан в течение </w:t>
            </w:r>
            <w:r>
              <w:rPr>
                <w:b/>
                <w:bCs/>
                <w:sz w:val="24"/>
                <w:szCs w:val="24"/>
              </w:rPr>
              <w:t xml:space="preserve">15 дней </w:t>
            </w:r>
            <w:r>
              <w:rPr>
                <w:b w:val="false"/>
                <w:bCs w:val="false"/>
                <w:sz w:val="24"/>
                <w:szCs w:val="24"/>
              </w:rPr>
              <w:t>со дня размещения протокола о результатах аукциона, а в случаях, определенных п.13, п.14, ст. 39.12 ЗК РФ, протокола рассмотрения заявок, уплатить ежегодный размер арендной платы (за вычетом задатка, внесенного для участия в аукционе)</w:t>
            </w:r>
            <w:r>
              <w:rPr>
                <w:b w:val="false"/>
                <w:bCs w:val="false"/>
                <w:sz w:val="24"/>
                <w:szCs w:val="24"/>
                <w:shd w:fill="auto" w:val="clear"/>
              </w:rPr>
              <w:t xml:space="preserve"> </w:t>
            </w:r>
            <w:r>
              <w:rPr>
                <w:b/>
                <w:bCs w:val="false"/>
                <w:color w:val="000000"/>
                <w:sz w:val="24"/>
                <w:szCs w:val="24"/>
                <w:shd w:fill="auto" w:val="clear"/>
              </w:rPr>
              <w:t>однократно за первые 3 года</w:t>
            </w:r>
            <w:r>
              <w:rPr>
                <w:b/>
                <w:bCs/>
                <w:sz w:val="24"/>
                <w:szCs w:val="24"/>
                <w:shd w:fill="auto" w:val="clear"/>
              </w:rPr>
              <w:t xml:space="preserve"> </w:t>
            </w:r>
            <w:r>
              <w:rPr>
                <w:b w:val="false"/>
                <w:bCs w:val="false"/>
                <w:sz w:val="24"/>
                <w:szCs w:val="24"/>
              </w:rPr>
              <w:t xml:space="preserve">на счет департамента земельных отношений администрации города Перми, 614015, ул. Сибирская,15, </w:t>
            </w:r>
            <w:r>
              <w:rPr>
                <w:b w:val="false"/>
                <w:bCs w:val="false"/>
                <w:sz w:val="24"/>
                <w:szCs w:val="24"/>
              </w:rPr>
              <w:br w:type="textWrapping" w:clear="all"/>
            </w:r>
            <w:r>
              <w:rPr>
                <w:b w:val="false"/>
                <w:bCs w:val="false"/>
                <w:sz w:val="24"/>
                <w:szCs w:val="24"/>
              </w:rPr>
              <w:t>тел. 212-61-90 (отдел договоров)</w:t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6 516 300 руб.</w:t>
            </w:r>
          </w:p>
        </w:tc>
      </w:tr>
      <w:tr>
        <w:trPr>
          <w:trHeight w:val="225" w:hRule="atLeast"/>
        </w:trPr>
        <w:tc>
          <w:tcPr>
            <w:tcW w:w="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2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«Шаг аукциона» (3% от начальной цены)</w:t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195 489 руб.</w:t>
            </w:r>
          </w:p>
        </w:tc>
      </w:tr>
      <w:tr>
        <w:trPr>
          <w:trHeight w:val="498" w:hRule="atLeast"/>
        </w:trPr>
        <w:tc>
          <w:tcPr>
            <w:tcW w:w="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before="0" w:after="0"/>
              <w:ind w:hanging="0" w:left="113" w:right="113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Форма заявки на участие в аукционе</w:t>
            </w:r>
          </w:p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>
                <w:sz w:val="24"/>
                <w:szCs w:val="24"/>
              </w:rPr>
              <w:t xml:space="preserve">Форма заявки размещена на сайтах </w:t>
            </w:r>
            <w:hyperlink r:id="rId14" w:tgtFrame="http://www.torgi.gov.ru/">
              <w:r>
                <w:rPr>
                  <w:rStyle w:val="Hyperlink"/>
                  <w:sz w:val="24"/>
                  <w:szCs w:val="24"/>
                  <w:lang w:val="en-US"/>
                </w:rPr>
                <w:t>www</w:t>
              </w:r>
              <w:r>
                <w:rPr>
                  <w:rStyle w:val="Hyperlink"/>
                  <w:sz w:val="24"/>
                  <w:szCs w:val="24"/>
                </w:rPr>
                <w:t>.</w:t>
              </w:r>
              <w:r>
                <w:rPr>
                  <w:rStyle w:val="Hyperlink"/>
                  <w:sz w:val="24"/>
                  <w:szCs w:val="24"/>
                  <w:lang w:val="en-US"/>
                </w:rPr>
                <w:t>torgi</w:t>
              </w:r>
              <w:r>
                <w:rPr>
                  <w:rStyle w:val="Hyperlink"/>
                  <w:sz w:val="24"/>
                  <w:szCs w:val="24"/>
                </w:rPr>
                <w:t>.</w:t>
              </w:r>
              <w:r>
                <w:rPr>
                  <w:rStyle w:val="Hyperlink"/>
                  <w:sz w:val="24"/>
                  <w:szCs w:val="24"/>
                  <w:lang w:val="en-US"/>
                </w:rPr>
                <w:t>gov</w:t>
              </w:r>
              <w:r>
                <w:rPr>
                  <w:rStyle w:val="Hyperlink"/>
                  <w:sz w:val="24"/>
                  <w:szCs w:val="24"/>
                </w:rPr>
                <w:t>.</w:t>
              </w:r>
              <w:r>
                <w:rPr>
                  <w:rStyle w:val="Hyperlink"/>
                  <w:sz w:val="24"/>
                  <w:szCs w:val="24"/>
                  <w:lang w:val="en-US"/>
                </w:rPr>
                <w:t>ru</w:t>
              </w:r>
            </w:hyperlink>
            <w:r>
              <w:rPr>
                <w:sz w:val="24"/>
                <w:szCs w:val="24"/>
              </w:rPr>
              <w:t>, www.gorodperm.ru (раздел Деятельность/Муниципальная собственность/Торговая площадка/ Вид торгов Продажа и аренда земельных участков).</w:t>
            </w:r>
          </w:p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Заявка подается одновременно с полным пакетом документов, требуемых для участия в аукционе. На каждый лот представляется отдельный пакет документов.</w:t>
            </w:r>
          </w:p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jc w:val="both"/>
              <w:rPr>
                <w:b/>
              </w:rPr>
            </w:pPr>
            <w:r>
              <w:rPr>
                <w:b/>
                <w:sz w:val="24"/>
                <w:szCs w:val="24"/>
              </w:rPr>
              <w:t xml:space="preserve">Решение о проведении аукциона принято в соответствии со статьей 39.11 Земельного кодекса Российской Федерации, </w:t>
            </w:r>
            <w:r>
              <w:rPr>
                <w:b/>
                <w:color w:val="000000"/>
                <w:sz w:val="24"/>
                <w:szCs w:val="24"/>
              </w:rPr>
              <w:t>аукцион является открытым по составу участников.</w:t>
            </w:r>
          </w:p>
        </w:tc>
      </w:tr>
      <w:tr>
        <w:trPr>
          <w:trHeight w:val="557" w:hRule="atLeast"/>
        </w:trPr>
        <w:tc>
          <w:tcPr>
            <w:tcW w:w="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2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Размер задатка (50% от начальной цены)</w:t>
            </w:r>
          </w:p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3 258 150 руб.</w:t>
            </w:r>
          </w:p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318" w:hRule="atLeast"/>
        </w:trPr>
        <w:tc>
          <w:tcPr>
            <w:tcW w:w="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аренды земельного участка</w:t>
            </w:r>
          </w:p>
          <w:p>
            <w:pPr>
              <w:pStyle w:val="Normal"/>
              <w:ind w:righ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лет 8 месяцев</w:t>
            </w:r>
          </w:p>
        </w:tc>
      </w:tr>
      <w:tr>
        <w:trPr>
          <w:trHeight w:val="144" w:hRule="atLeast"/>
        </w:trPr>
        <w:tc>
          <w:tcPr>
            <w:tcW w:w="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Проект договора аренды земельного участка</w:t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Проект договора аренды земельного участка, приобретаемого на торгах в форме аукциона, для строительства, утвержден постановлением администрации города Перми от 29.05.2015 № 322, является Приложением 3 к настоящему извещению и размещен на сайтах </w:t>
            </w:r>
            <w:r>
              <w:rPr>
                <w:sz w:val="24"/>
                <w:szCs w:val="24"/>
                <w:lang w:val="en-US"/>
              </w:rPr>
              <w:t>www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torgi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gov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ru</w:t>
            </w:r>
            <w:r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  <w:lang w:val="en-US"/>
              </w:rPr>
              <w:t>www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gorodperm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ru</w:t>
            </w:r>
            <w:r>
              <w:rPr>
                <w:sz w:val="24"/>
                <w:szCs w:val="24"/>
              </w:rPr>
              <w:t xml:space="preserve"> (раздел Деятельность/ муниципальная собственность/ Торговая площадка/Вид торгов Продажа и аренда земельных участков).</w:t>
            </w:r>
          </w:p>
        </w:tc>
      </w:tr>
      <w:tr>
        <w:trPr>
          <w:trHeight w:val="144" w:hRule="atLeast"/>
        </w:trPr>
        <w:tc>
          <w:tcPr>
            <w:tcW w:w="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2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Порядок осмотра земельного участка </w:t>
              <w:br/>
              <w:t>на местности</w:t>
            </w:r>
          </w:p>
        </w:tc>
        <w:tc>
          <w:tcPr>
            <w:tcW w:w="6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Осмотр земельного участка производится заявителем самостоятельно в любое время с даты опубликования настоящего извещения.</w:t>
            </w:r>
          </w:p>
        </w:tc>
      </w:tr>
    </w:tbl>
    <w:p>
      <w:pPr>
        <w:pStyle w:val="Normal"/>
        <w:spacing w:lineRule="exact" w:line="240"/>
        <w:ind w:right="-263"/>
        <w:rPr>
          <w:b/>
          <w:bCs/>
        </w:rPr>
      </w:pPr>
      <w:r>
        <w:rPr>
          <w:b/>
          <w:bCs/>
        </w:rPr>
      </w:r>
    </w:p>
    <w:p>
      <w:pPr>
        <w:pStyle w:val="Normal"/>
        <w:tabs>
          <w:tab w:val="clear" w:pos="708"/>
          <w:tab w:val="left" w:pos="5103" w:leader="none"/>
        </w:tabs>
        <w:ind w:right="-263"/>
        <w:rPr>
          <w:sz w:val="20"/>
          <w:szCs w:val="20"/>
        </w:rPr>
      </w:pPr>
      <w:r>
        <w:rPr>
          <w:b/>
          <w:lang w:val="en-US"/>
        </w:rPr>
        <w:t>Лот № 3</w:t>
      </w:r>
    </w:p>
    <w:tbl>
      <w:tblPr>
        <w:tblW w:w="5000" w:type="pct"/>
        <w:jc w:val="left"/>
        <w:tblInd w:w="-606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327"/>
        <w:gridCol w:w="2756"/>
        <w:gridCol w:w="6838"/>
      </w:tblGrid>
      <w:tr>
        <w:trPr>
          <w:trHeight w:val="426" w:hRule="atLeast"/>
        </w:trPr>
        <w:tc>
          <w:tcPr>
            <w:tcW w:w="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органа местного самоуправления, принявшего решение о проведении аукциона,</w:t>
            </w:r>
          </w:p>
          <w:p>
            <w:pPr>
              <w:pStyle w:val="Normal"/>
              <w:ind w:righ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реквизиты указанного решения</w:t>
            </w:r>
          </w:p>
        </w:tc>
        <w:tc>
          <w:tcPr>
            <w:tcW w:w="6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города Перми, распоряжение начальника департамента земельных отношений администрации города Перми от 12 ноября 2024 г. № 21-01-03-9958 «О проведении аукциона на право заключения договора аренды земельного участка  в Индустриальном районе города Перми»</w:t>
            </w:r>
          </w:p>
        </w:tc>
      </w:tr>
      <w:tr>
        <w:trPr>
          <w:trHeight w:val="225" w:hRule="atLeast"/>
        </w:trPr>
        <w:tc>
          <w:tcPr>
            <w:tcW w:w="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Предмет аукциона на право заключения договора аренды земельного участка</w:t>
            </w:r>
          </w:p>
        </w:tc>
        <w:tc>
          <w:tcPr>
            <w:tcW w:w="6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381" w:hRule="atLeast"/>
        </w:trPr>
        <w:tc>
          <w:tcPr>
            <w:tcW w:w="3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2"/>
              </w:numPr>
              <w:ind w:hanging="277" w:left="419" w:right="-26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местоположение</w:t>
            </w:r>
          </w:p>
        </w:tc>
        <w:tc>
          <w:tcPr>
            <w:tcW w:w="6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Российская Федерация, край Пермский, г.о. Пермский,</w:t>
            </w:r>
          </w:p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 Пермь, ул. Промышленная, зу 98ж</w:t>
            </w:r>
          </w:p>
        </w:tc>
      </w:tr>
      <w:tr>
        <w:trPr>
          <w:trHeight w:val="321" w:hRule="atLeast"/>
        </w:trPr>
        <w:tc>
          <w:tcPr>
            <w:tcW w:w="32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2"/>
              </w:numPr>
              <w:ind w:hanging="277" w:left="419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площадь</w:t>
            </w:r>
          </w:p>
        </w:tc>
        <w:tc>
          <w:tcPr>
            <w:tcW w:w="6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495 кв. м</w:t>
            </w:r>
          </w:p>
        </w:tc>
      </w:tr>
      <w:tr>
        <w:trPr>
          <w:trHeight w:val="345" w:hRule="atLeast"/>
        </w:trPr>
        <w:tc>
          <w:tcPr>
            <w:tcW w:w="32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2"/>
              </w:numPr>
              <w:ind w:hanging="277" w:left="419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кадастровый номер</w:t>
            </w:r>
          </w:p>
        </w:tc>
        <w:tc>
          <w:tcPr>
            <w:tcW w:w="6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59:01:4716054:5</w:t>
            </w:r>
          </w:p>
        </w:tc>
      </w:tr>
      <w:tr>
        <w:trPr>
          <w:trHeight w:val="285" w:hRule="atLeast"/>
        </w:trPr>
        <w:tc>
          <w:tcPr>
            <w:tcW w:w="32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2"/>
              </w:numPr>
              <w:ind w:hanging="284" w:left="419" w:righ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права на земельный участок</w:t>
            </w:r>
          </w:p>
        </w:tc>
        <w:tc>
          <w:tcPr>
            <w:tcW w:w="6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государственная собственность не разграничена</w:t>
            </w:r>
          </w:p>
        </w:tc>
      </w:tr>
      <w:tr>
        <w:trPr>
          <w:trHeight w:val="232" w:hRule="atLeast"/>
        </w:trPr>
        <w:tc>
          <w:tcPr>
            <w:tcW w:w="32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2"/>
              </w:numPr>
              <w:ind w:hanging="277" w:left="419" w:right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разрешенное использование</w:t>
            </w:r>
          </w:p>
        </w:tc>
        <w:tc>
          <w:tcPr>
            <w:tcW w:w="6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складские площадки</w:t>
            </w:r>
          </w:p>
        </w:tc>
      </w:tr>
      <w:tr>
        <w:trPr>
          <w:trHeight w:val="670" w:hRule="atLeast"/>
        </w:trPr>
        <w:tc>
          <w:tcPr>
            <w:tcW w:w="32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2"/>
              </w:numPr>
              <w:ind w:hanging="284" w:left="419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принадлежность к определенной  </w:t>
              <w:br/>
              <w:t>категории земель</w:t>
            </w:r>
          </w:p>
        </w:tc>
        <w:tc>
          <w:tcPr>
            <w:tcW w:w="6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земли населенных пунктов</w:t>
            </w:r>
          </w:p>
        </w:tc>
      </w:tr>
      <w:tr>
        <w:trPr>
          <w:trHeight w:val="670" w:hRule="atLeast"/>
        </w:trPr>
        <w:tc>
          <w:tcPr>
            <w:tcW w:w="32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3"/>
              </w:numPr>
              <w:ind w:hanging="277" w:left="419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ограничение прав</w:t>
            </w:r>
          </w:p>
          <w:p>
            <w:pPr>
              <w:pStyle w:val="Normal"/>
              <w:ind w:left="419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6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firstLine="31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Ограничения прав подробно описаны:</w:t>
            </w:r>
          </w:p>
          <w:p>
            <w:pPr>
              <w:pStyle w:val="Normal"/>
              <w:ind w:firstLine="31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выписке из Единого государственного реестра недвижимости об объекте недвижимости  от 09.12.2024г.                 № КУВИ-001/2024-298649302;</w:t>
            </w:r>
          </w:p>
          <w:p>
            <w:pPr>
              <w:pStyle w:val="Normal"/>
              <w:ind w:firstLine="31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ind w:firstLine="31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Согласно сведениям, содержащимся в Едином государственном реестре недвижимости (далее – ЕГРН), Участок имеет связь с объектом капитального строительства с кадастровым номером 59:01:4716054:999 – сеть теплотрассы, находящейся в собственности ООО «Экохимпром».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Использование Участка необходимо вести в соответствии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с требованиями приказа Минстроя РФ от 17.08.1992 № 197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«О типовых правилах охраны коммунальных тепловых сетей».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Согласно копии планшета М 1:500, требующего корректуры, Участок частично огорожен железобетонным ограждением,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в границах Участка расположены нежилые строения. Покрытие Участка – щебень.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В ходе визуального осмотра территории установлено, что на территории Участка размещены движимые объекты (металлический гараж, производственные отходы, сборный железобетонный забор).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Самовольно установленные движимые объекты в рамках выявления и учета самовольно установленных и незаконно размещенных движимых объектов включены в реестр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для последующего демонтажа (УН 4680 от 25.12.2023 передвижное сооружение, УН 4679 от 25.12.2023 ограждение).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письмах   </w:t>
            </w:r>
            <w:r>
              <w:rPr>
                <w:b/>
                <w:bCs/>
                <w:color w:val="000000"/>
                <w:sz w:val="24"/>
              </w:rPr>
              <w:t>а</w:t>
            </w:r>
            <w:r>
              <w:rPr>
                <w:b/>
                <w:color w:val="000000"/>
                <w:sz w:val="24"/>
              </w:rPr>
              <w:t>дминистрации Индустриального района города Перми</w:t>
            </w:r>
            <w:r>
              <w:rPr>
                <w:color w:val="000000"/>
                <w:sz w:val="24"/>
              </w:rPr>
              <w:t xml:space="preserve"> от 30.08.2024 № 059-16-01-08/3-2480, от 11.10.2024 № 059-16-01-08/3-2848).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С учетом письма от 11.10.2024 </w:t>
            </w:r>
            <w:r>
              <w:rPr>
                <w:color w:val="000000"/>
              </w:rPr>
              <w:t xml:space="preserve">№ </w:t>
            </w:r>
            <w:r>
              <w:rPr>
                <w:color w:val="000000"/>
                <w:sz w:val="24"/>
              </w:rPr>
              <w:t xml:space="preserve">059-16-01-08/3-2848 специалистами администрации Индустриального района города Перми по результатам проверочных мероприятий установлено, что </w:t>
            </w:r>
            <w:r>
              <w:rPr>
                <w:b/>
                <w:color w:val="000000"/>
                <w:sz w:val="24"/>
              </w:rPr>
              <w:t>выявленная конструкция (металлический гараж) представляет собой сборную конструкцию из металлических компонентов,</w:t>
            </w:r>
            <w:r>
              <w:rPr>
                <w:color w:val="000000"/>
              </w:rPr>
              <w:t> </w:t>
            </w:r>
            <w:r>
              <w:rPr>
                <w:b/>
                <w:color w:val="000000"/>
                <w:sz w:val="24"/>
              </w:rPr>
              <w:t>т.е. является движимым имуществом</w:t>
            </w:r>
            <w:r>
              <w:rPr>
                <w:color w:val="000000"/>
                <w:sz w:val="24"/>
              </w:rPr>
              <w:t>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b/>
                <w:color w:val="000000"/>
                <w:sz w:val="24"/>
              </w:rPr>
              <w:t>Арендатор вправе осуществить демонтаж выявленных объектов за счет собственных средств и (или) с привлечением средств других лиц без отнесения соответствующих расходов на территориальный орган администрации города Перми, Департамент земельных отношений администрации города Перми или иной функциональный орган или подразделение администрации города Перми.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b/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По сведениям, содержащимся в ЕГРН, справке по градостроительным условиям земельного участка от 09.12.2024 №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615896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 xml:space="preserve">Участок расположен в границах зон 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с особыми условиями использования территории: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в границах зоны с особыми условиями использования территории Охранная зона транспорта «Зона с особыми условиями использования - Приаэродромная территория аэродрома аэропорта Большое Савино», 59:32-6.553 (Постановление Правительства Российской Федерации от 11.03.2010 № 138 «Об утверждении Федеральных правил использования воздушного пространства Российской Федерации»);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в границах зоны с особыми условиями использования территории Санитарно-защитная зона предприятий, сооружений и иных объектов «Санитарно-защитная зона для Филиала «ПМУ» АО «ОХК «УРАЛХИМ» в городе Перми», 59:00-6.1964, (Постановление Правительства Российской Федерации от 03.03.2018 № 222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«Об утверждении Правил установления санитарно-защитных зон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и использования земельных участков, расположенных в границах санитарно-защитных зон»; Решение Федеральной службы по надзору в сфере защиты прав потребителей и благополучия человека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от 26.11.2021 №° 305-РСЗЗ «Об установлении санитарно-защитной зоны для Филиала «ПМУ» АО «ОХК «УРАЛХИМ» в городе Перми»);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в границах зоны с особыми условиями использования территории Санитарно-защитная зона предприятий, сооружений и иных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объектов «Санитарно-защитная зона для АО «Сибур-Химпром» с учетом проектной документации объекта «Строительство нового производства диоктилтерефталата мощностью 100 тыс. тонн в год на площадке АО «Сибур-Химпром», 59:00-6.1686, (Решение Федеральной службы по надзору в сфере защиты прав потребителей и благополучия человека от 25.12.2019 № 279-РСЗЗ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«Об установлении санитарно-защитной зоны</w:t>
              <w:br/>
              <w:t> АО «Сибур-Химпром» с учетом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проектной документации объекта «Строительство нового производства диоктилтерефталата мощностью 100 тыс. тонн в года площадке АО «Сибур-Химпром», расположенного по адресу: г.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 xml:space="preserve">Пермь, </w:t>
              <w:br/>
              <w:t> ул.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Промышленная,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98; Постановление Правительства Российской Федерации от 03.03.2018 № 222 «Об утверждении Правил установления санитарно-защитных зон и использования земельных участков, расположенных в границах санитарно-защитных зон»);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в границах зоны с особыми условиями использования территории Санитарно-защитная зона предприятий, сооружений и иных объектов «Санитарно-защитная зона для ООО «ЛУКОЙЛ- Пермнефтеоргсинтез» с учетом строительства блока гликолевой осушки и строительства эстакады тактового налива светлых нефтепродуктов»,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59:00-6.1604 (Решение Федеральной службы по надзору в сфере зашиты прав потребителей и благополучия человека от 06.07.2020 № 126-PC33 «Об установлении санитарно- защитной зоны для промышленной площадки ООО «ЛУКОЙЛ-Пермнефтеоргсинтез» с учетом строительства блока гликолевой осушки и строительства эстакады тактового налива светлых нефтепродуктов, расположенного по адресу: Пермский край, г. Пермь, ул. Промышленная, д. 84»);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в границах зоны с особыми условиями использования территории Санитарно-защитная зона предприятий, сооружений и иных объектов «Санитарно-защитная зона для пункта подготовки вагонов филиала ООО «УРАЛХИМ-ТРАНС» в г. Перми», 59:00-6,1538 (Решение Управления Федеральной службы по надзору в сфере зашиты прав потребителей и благополучия человека по Пермскому краю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от 01.12.2020 № 142  «Об установлении санитарно-защитной зона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для пункта подготовки вагонов филиала ООО «УРАЛХИМ-ТРАНС» в г. Перми»);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в границах зоны с особыми условиями использования территории Санитарно-защитная зона предприятий, сооружений и иных объектов «Единая санитарно-защитная зона промузла «Осенцы»,  59:00-6.30 (Постановление администрации города Перми от 20.06.2007 № 227 «Об утверждении проекта границ общей санитарно-защитной зоны промышленного узла «Осенцы» в Индустриальном районе»).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Ограничение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в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использовании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объектов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недвижимости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в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границах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Единой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санитарно-защитной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зоны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промузла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«Осенцы» в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соответствии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с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СанПиН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2.2.1-2.1.1.1200-03 (утверждены Главным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государственным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санитарным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врачом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Российской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Федерации Г.Г. Онищенко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 xml:space="preserve">15.06.2003), согласно которому </w:t>
            </w:r>
            <w:r>
              <w:rPr>
                <w:b/>
                <w:color w:val="000000"/>
                <w:sz w:val="24"/>
              </w:rPr>
              <w:t>не допускается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в санитарно-защитной зонеи на территории объектов других отраслей промышленности размещать объекты по производству лекарственных веществ, лекарственных средств и (или) лекарственных форм, склады сырья и полупродуктов для фармацевтических предприятий; объекты пищевых отраслей промышленности, оптовые склады продовольственного сырья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и пищевых продуктов, комплексы водопроводных сооружений  для подготовки и хранения питьевой воды, которые могут повлиять на качество продукции.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в границах зоны с особыми условиями использования территории Охранная зона инженерных коммуникаций «ОХРАННАЯ ЗОНА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ВЛ 110 кВ ХИМКОМПЛЕКС-УСТИНОВО», 59:01-6.1235, площадь земельного участка, покрываемая зоной  с особыми условиями использования территории, составляет 18 кв. м;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в границах зоны с особыми условиями использования территории Охранная зона инженерных коммуникаций «ОХРАННАЯ ЗОНА ВЛ 110 кВ ХИМКОМПЛЕКС-ЭТИЛЕН №1 С СОВМЕСТНЫМ ПОДВЕСОМ ВЛ 110 кВ ХИМКОМПЛЕКС-УСТИНОВО», 59:01-6.3217, площадь земельного участка, покрываемая зоной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с особыми условиями использования территории, составляет 10 кв. м.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в границах зоны с особыми условиями использования территории Охранная зона инженерных коммуникаций «ОХРАННАЯ ЗОНА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 xml:space="preserve">ВЛ ПО кВ ХИМКОМПЛЕКС-КАШИНО С СОВМЕСТНЫМ ПОДВЕСОМ ВЛ 110 кВ ХИМКОМПЛЕКС-ЭТИЛЕН </w:t>
            </w:r>
            <w:r>
              <w:rPr>
                <w:color w:val="000000"/>
              </w:rPr>
              <w:t xml:space="preserve">№ </w:t>
            </w:r>
            <w:r>
              <w:rPr>
                <w:color w:val="000000"/>
                <w:sz w:val="24"/>
              </w:rPr>
              <w:t>2»,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59:00-6.103, площадь земельного участка, покрываемая зоной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с особыми условиями использования территории, составляет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294 кв. м (Постановление Правительства Российской Федерации от 24.02.2009 № 160 «О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зон»).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В отношении части Участка установлены зоны публичного сервитута: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площадью 10 кв. м для эксплуатации объекта электросетевого хозяйства ВЛ 110 кВ Химкомплекс-Устиново; реестровый номер границы: 59:01-6.10606; (Приказ Министерства по управлению имуществом  и градостроительной деятельности Пермского края</w:t>
              <w:br/>
              <w:t> об установлении публичного сервитута в целях эксплуатации объекта электросетевого хозяйства регионального значения от 29.12.2023 № 31-02-1-4-2568);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площадью 18 кв. м для эксплуатации объекта электросетевого хозяйства ВЛ 110 кВ Химкомплекс-Этилен №1 с совместным подвесом ВЛ 110 кВ Химкомплекс-Устиново; реестровый номер границы: 59:01-6.10583; (Приказ Министерства по управлению имуществом и градостроительной деятельности Пермского края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об установлении публичного сервитута в целях эксплуатации объекта электросетевого хозяйства регионального значения от 29.12.2023 № 31-02-1-4-2567);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площадью 294 кв. м для эксплуатации объекта электросетевого хозяйства ВЛ 110 кВ Химкомплекс-Кашино с совместным подвесом ВЛ 110 кВ Химкомплекс-Этилен № 2; реестровый номер границы: 59:00-6.2127; (Приказ Министерства по управлению имуществом и градостроительной деятельности Пермского края об установлении публичного сервитута в целях эксплуатации объекта электросетевого хозяйства регионального значения от 18.01.2024 </w:t>
            </w:r>
            <w:r>
              <w:rPr>
                <w:color w:val="000000"/>
              </w:rPr>
              <w:t xml:space="preserve">№ </w:t>
            </w:r>
            <w:r>
              <w:rPr>
                <w:color w:val="000000"/>
                <w:sz w:val="24"/>
              </w:rPr>
              <w:t>31-02-1-4-199).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В соответствии с бюджетом города Перми на 2024 год и плановый период 2025-2026 годов мероприятия по строительству, реконструкции, капитальному ремонту улично-дорожной сети на рассматриваемой территории не предусмотрены.</w:t>
            </w:r>
          </w:p>
          <w:p>
            <w:pPr>
              <w:pStyle w:val="BodyText"/>
              <w:spacing w:before="0" w:after="0"/>
              <w:ind w:firstLine="283" w:left="0" w:right="0"/>
              <w:jc w:val="both"/>
              <w:rPr/>
            </w:pPr>
            <w:r>
              <w:rPr>
                <w:color w:val="000000"/>
                <w:sz w:val="24"/>
              </w:rPr>
              <w:t>Участок имеет возможность присоединения</w:t>
              <w:br/>
              <w:t> к автомобильной дороге по ул. Промышленная, которая является собственностью муниципального образования город Пермь, закреплена на праве оперативного управления за МКУ «Пермблагоустройство».</w:t>
            </w:r>
          </w:p>
          <w:p>
            <w:pPr>
              <w:pStyle w:val="BodyText"/>
              <w:spacing w:before="0" w:after="0"/>
              <w:ind w:firstLine="283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Департамент дорог и благоустройства администрации города Перми считает возможным присоединение Участка к улично-дорожной сети города Перми при следующих условиях:</w:t>
            </w:r>
          </w:p>
          <w:p>
            <w:pPr>
              <w:pStyle w:val="BodyText"/>
              <w:spacing w:before="0" w:after="0"/>
              <w:ind w:firstLine="283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разработать и согласовать на рабочей группе по организации и безопасности дорожного движения проект организации дорожного движения;</w:t>
            </w:r>
          </w:p>
          <w:p>
            <w:pPr>
              <w:pStyle w:val="BodyText"/>
              <w:spacing w:before="0" w:after="0"/>
              <w:ind w:firstLine="283" w:left="0" w:right="0"/>
              <w:jc w:val="both"/>
              <w:rPr/>
            </w:pPr>
            <w:r>
              <w:rPr>
                <w:color w:val="000000"/>
                <w:sz w:val="24"/>
              </w:rPr>
              <w:t>получить согласие владельца автомобильной дороги (порядок выдачи согласия владельца автомобильной дороги общего пользования местного значения в целях строительства, реконструкции, капитального ремонта, ремонта являющихся сооружениями пересечения автомобильной дороги общего пользования местного значения с другими автомобильными дорогами, примыкания автомобильной дороги общего пользования местного значения к другой автомобильной дороге, а также перечень документов, необходимых для выдачи Согласия, утверждены Постановлением администрации города Перми от 31.01.2022 № 45).</w:t>
            </w:r>
          </w:p>
          <w:p>
            <w:pPr>
              <w:pStyle w:val="BodyText"/>
              <w:spacing w:before="0" w:after="0"/>
              <w:ind w:firstLine="283" w:left="0" w:right="0"/>
              <w:jc w:val="both"/>
              <w:rPr/>
            </w:pPr>
            <w:r>
              <w:rPr>
                <w:color w:val="000000"/>
                <w:sz w:val="24"/>
              </w:rPr>
              <w:t>Дополнительно направляется информация о необходимости соблюдения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 xml:space="preserve">Правил благоустройства территории города Перми, утвержденных решением Пермской городской Думы от 15.12.2020 </w:t>
            </w:r>
            <w:r>
              <w:rPr>
                <w:color w:val="000000"/>
              </w:rPr>
              <w:t xml:space="preserve">№ </w:t>
            </w:r>
            <w:r>
              <w:rPr>
                <w:color w:val="000000"/>
                <w:sz w:val="24"/>
              </w:rPr>
              <w:t>277.</w:t>
            </w:r>
          </w:p>
          <w:p>
            <w:pPr>
              <w:pStyle w:val="BodyText"/>
              <w:spacing w:before="0" w:after="0"/>
              <w:ind w:firstLine="283" w:left="0" w:right="0"/>
              <w:jc w:val="both"/>
              <w:rPr/>
            </w:pPr>
            <w:r>
              <w:rPr>
                <w:color w:val="000000"/>
                <w:sz w:val="24"/>
              </w:rPr>
              <w:t>В соответствии с Федеральным законом от 08.11.2007 № 257-ФЗ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расходы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на строительство, реконструкцию, капитальный ремонт, ремонт пересечений и примыканий, в том числе расходы на выполнение дополнительных работ, связанных  с обеспечением безопасности дорожного движения, водоотведения и исполнением других установленных техническими регламентами требований, несут лица, в интересах которых осуществляются строительство, реконструкция, капитальный ремонт, ремонт пересечений или примыканий.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</w:t>
            </w:r>
            <w:r>
              <w:rPr>
                <w:b/>
                <w:bCs/>
                <w:color w:val="000000"/>
                <w:sz w:val="24"/>
              </w:rPr>
              <w:t>д</w:t>
            </w:r>
            <w:r>
              <w:rPr>
                <w:b/>
                <w:color w:val="000000"/>
                <w:sz w:val="24"/>
              </w:rPr>
              <w:t>епартамента дорог и благоустройства администрации города Перми</w:t>
            </w:r>
            <w:r>
              <w:rPr>
                <w:color w:val="000000"/>
                <w:sz w:val="24"/>
              </w:rPr>
              <w:t xml:space="preserve">  от 26.12.2023 № 059-24-01-36/3-4719).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594" w:left="0" w:right="0"/>
              <w:jc w:val="both"/>
              <w:rPr/>
            </w:pPr>
            <w:r>
              <w:rPr>
                <w:color w:val="000000"/>
                <w:sz w:val="24"/>
              </w:rPr>
              <w:t>Ближайшее подразделение пожарной охраны расположено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по адресу: ул. Беляева, д. 29 (ПСЧ-2 10-ПСО). Кроме того, пожарные части расположены по адресу:</w:t>
              <w:br/>
              <w:t> ул. Промышленная, 94 (ОП-25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ПСЧ 5- ОФПС (д)),</w:t>
              <w:br/>
              <w:t> ул. Промышленная, 98 (ОПО-2 ПЧ-231),  ул. Промышленная, 98 (ОПО-2 ПЧ-238).</w:t>
            </w:r>
          </w:p>
          <w:p>
            <w:pPr>
              <w:pStyle w:val="BodyText"/>
              <w:spacing w:before="0" w:after="0"/>
              <w:ind w:firstLine="594" w:left="0" w:right="0"/>
              <w:jc w:val="both"/>
              <w:rPr/>
            </w:pPr>
            <w:r>
              <w:rPr>
                <w:color w:val="000000"/>
                <w:sz w:val="24"/>
              </w:rPr>
              <w:t>Объекты общественной безопасности, отнесенные к объектам полиции (участковые пункты полиции), в данном микрорайоне отсутствуют. Ближайший участковый пункт расположен по адресу:  г. Пермь, ул. Экскаваторная, д. 57 (Индустриальный район).</w:t>
            </w:r>
          </w:p>
          <w:p>
            <w:pPr>
              <w:pStyle w:val="BodyText"/>
              <w:spacing w:before="0" w:after="0"/>
              <w:ind w:firstLine="594" w:left="0" w:right="0"/>
              <w:jc w:val="both"/>
              <w:rPr/>
            </w:pPr>
            <w:r>
              <w:rPr>
                <w:color w:val="000000"/>
                <w:sz w:val="24"/>
              </w:rPr>
              <w:t>В настоящее время отсутствует потребность в обеспечении служебными помещениями участковых уполномоченных полиции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в указанном микрорайоне, строительство (приобретение) в настоящее время не планируется.</w:t>
            </w:r>
          </w:p>
          <w:p>
            <w:pPr>
              <w:pStyle w:val="BodyText"/>
              <w:spacing w:before="0" w:after="0"/>
              <w:ind w:firstLine="594" w:left="0" w:right="0"/>
              <w:jc w:val="both"/>
              <w:rPr/>
            </w:pPr>
            <w:r>
              <w:rPr>
                <w:color w:val="000000"/>
                <w:sz w:val="24"/>
              </w:rPr>
              <w:t>Помещения для аварийно-спасательных формирований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на указанной территории отсутствуют. В настоящее время потребность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в обеспечении служебными помещениями для аварийно-спасательных формирований в указанном районе отсутствует.</w:t>
            </w:r>
          </w:p>
          <w:p>
            <w:pPr>
              <w:pStyle w:val="BodyText"/>
              <w:spacing w:before="0" w:after="0"/>
              <w:ind w:firstLine="594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На указанной территории источники противопожарного водоснабжения: отсутствуют.</w:t>
            </w:r>
          </w:p>
          <w:p>
            <w:pPr>
              <w:pStyle w:val="BodyText"/>
              <w:spacing w:before="0" w:after="0"/>
              <w:ind w:firstLine="283" w:left="0" w:right="0"/>
              <w:jc w:val="both"/>
              <w:rPr/>
            </w:pPr>
            <w:r>
              <w:rPr>
                <w:color w:val="000000"/>
                <w:sz w:val="24"/>
              </w:rPr>
              <w:t>При размещении объектов на вышеуказанной территории необходимо соблюдать нормы и требования действующего законодательства: Федеральных законов от 21 декабря 1994 г. № 69-ФЗ «О пожарной безопасности» и от 22 июля 2008 г. № 123-ФЗ «Технический регламентто требованиях пожарной безопасности», Региональных нормативов градостроительного проектирования «Расчетные показатели обеспеченности населения Пермского края объектами пожарной охраны», утвержденных приказом Министерства по управлению имуществом и градостроительной деятельности Пермского края от 25.02.2021 № 31-02-1-4-248, а также Свода правил 4.13130 «Системы противопожарной защиты. Ограничение распространения пожара на объектах защиты. Требования к объемно-планировочным и конструктивным решениям», утвержденных Приказом МЧС России от 24.04.2013 № 288 и иной документации, касающейся норм противопожарной безопасности.</w:t>
            </w:r>
          </w:p>
          <w:p>
            <w:pPr>
              <w:pStyle w:val="BodyText"/>
              <w:spacing w:before="0" w:after="0"/>
              <w:ind w:firstLine="283" w:left="0" w:right="0"/>
              <w:jc w:val="both"/>
              <w:rPr/>
            </w:pPr>
            <w:r>
              <w:rPr>
                <w:color w:val="000000"/>
                <w:sz w:val="24"/>
              </w:rPr>
              <w:t>По информации, предоставленной Министерством территориальной безопасности Пермского края, рассматриваемая территория попадает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в зону возможного химического заражения в особый период.</w:t>
            </w:r>
          </w:p>
          <w:p>
            <w:pPr>
              <w:pStyle w:val="BodyText"/>
              <w:spacing w:before="0" w:after="0"/>
              <w:ind w:firstLine="283" w:left="0" w:right="0"/>
              <w:jc w:val="both"/>
              <w:rPr/>
            </w:pPr>
            <w:r>
              <w:rPr>
                <w:color w:val="000000"/>
                <w:sz w:val="24"/>
              </w:rPr>
              <w:t>На указанной территории оконечные устройства системы оповещения населения города Перми отсутствуют, необходимо предусматривать размещение сиренно - речевых узлов системы оповещения согласно пунктам 6.38, 6.39 СП 165.1325800.2014 «Свод правил. Инженерно-технические мероприятия по гражданской обороне. Актуализированная редакция СНиП 2.01.51-90», утвержденных Приказом Минстроя России от 12.11.2014 № 705/пр.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 </w:t>
            </w:r>
            <w:r>
              <w:rPr>
                <w:b/>
                <w:color w:val="000000"/>
                <w:sz w:val="24"/>
              </w:rPr>
              <w:t>департамента общественной безопасности администрации города Перми</w:t>
            </w:r>
            <w:r>
              <w:rPr>
                <w:color w:val="000000"/>
                <w:sz w:val="24"/>
              </w:rPr>
              <w:t xml:space="preserve"> от 26.12.2023 № 059-10-01-27/3-2108).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283" w:left="0" w:right="0"/>
              <w:jc w:val="both"/>
              <w:rPr/>
            </w:pPr>
            <w:r>
              <w:rPr>
                <w:color w:val="000000"/>
                <w:sz w:val="24"/>
                <w:shd w:fill="FFFFFF" w:val="clear"/>
              </w:rPr>
              <w:t>На Участке зеленые насаждения отсутствуют.</w:t>
            </w:r>
          </w:p>
          <w:p>
            <w:pPr>
              <w:pStyle w:val="BodyText"/>
              <w:spacing w:before="0" w:after="0"/>
              <w:ind w:firstLine="355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Победителю аукциона необходимо соблюдать указанные в настоящем письме условия.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(Аналогичная информация отражена в письме  </w:t>
            </w:r>
            <w:r>
              <w:rPr>
                <w:b/>
                <w:bCs/>
                <w:sz w:val="24"/>
                <w:szCs w:val="24"/>
              </w:rPr>
              <w:t>у</w:t>
            </w:r>
            <w:r>
              <w:rPr>
                <w:b/>
                <w:color w:val="000000"/>
                <w:sz w:val="24"/>
                <w:szCs w:val="24"/>
                <w:shd w:fill="FFFFFF" w:val="clear"/>
              </w:rPr>
              <w:t>правления по экологии  и природопользованию администрации города Перми</w:t>
            </w:r>
            <w:r>
              <w:rPr>
                <w:color w:val="000000"/>
                <w:sz w:val="24"/>
                <w:szCs w:val="24"/>
                <w:shd w:fill="FFFFFF" w:val="clear"/>
              </w:rPr>
              <w:t xml:space="preserve"> от 18.12.2023 № 059-33-01-10/3-</w:t>
            </w:r>
            <w:r>
              <w:rPr>
                <w:color w:val="000000"/>
                <w:sz w:val="24"/>
                <w:szCs w:val="24"/>
              </w:rPr>
              <w:t>975).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</w:tc>
      </w:tr>
      <w:tr>
        <w:trPr>
          <w:trHeight w:val="1041" w:hRule="atLeast"/>
        </w:trPr>
        <w:tc>
          <w:tcPr>
            <w:tcW w:w="32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numPr>
                <w:ilvl w:val="0"/>
                <w:numId w:val="2"/>
              </w:numPr>
              <w:spacing w:before="0" w:after="0"/>
              <w:ind w:hanging="283" w:left="510" w:right="113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максимально и (или) минимально допустимые параметры разрешенного строительства </w:t>
              <w:br/>
              <w:t>объекта капитального строительства</w:t>
            </w:r>
          </w:p>
        </w:tc>
        <w:tc>
          <w:tcPr>
            <w:tcW w:w="6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hanging="0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</w:rPr>
              <w:t>строительство не предусмотрено</w:t>
            </w:r>
          </w:p>
          <w:p>
            <w:pPr>
              <w:pStyle w:val="BodyText"/>
              <w:ind w:firstLine="31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BodyText"/>
              <w:spacing w:before="0" w:after="0"/>
              <w:ind w:hanging="0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</w:tc>
      </w:tr>
      <w:tr>
        <w:trPr>
          <w:trHeight w:val="417" w:hRule="atLeast"/>
        </w:trPr>
        <w:tc>
          <w:tcPr>
            <w:tcW w:w="32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2"/>
              </w:numPr>
              <w:ind w:hanging="284" w:left="410" w:right="2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возможность подключения (технологического присоединения) объектов капитального строительства к сетям инженерно-технического обеспечения (за исключением сетей электроснабжения)</w:t>
            </w:r>
          </w:p>
        </w:tc>
        <w:tc>
          <w:tcPr>
            <w:tcW w:w="6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hanging="0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</w:rPr>
              <w:t>строительство не предусмотрено</w:t>
            </w:r>
          </w:p>
          <w:p>
            <w:pPr>
              <w:pStyle w:val="Normal"/>
              <w:ind w:firstLine="252"/>
              <w:jc w:val="both"/>
              <w:rPr>
                <w:highlight w:val="none"/>
              </w:rPr>
            </w:pPr>
            <w:r>
              <w:rPr/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  <w:p>
            <w:pPr>
              <w:pStyle w:val="Normal"/>
              <w:ind w:firstLine="25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225" w:hRule="atLeast"/>
        </w:trPr>
        <w:tc>
          <w:tcPr>
            <w:tcW w:w="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Начальная цена предмета аукциона</w:t>
            </w:r>
          </w:p>
          <w:p>
            <w:pPr>
              <w:pStyle w:val="Normal"/>
              <w:ind w:right="0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(размер ежегодной арендной платы)</w:t>
            </w:r>
          </w:p>
          <w:p>
            <w:pPr>
              <w:pStyle w:val="Normal"/>
              <w:ind w:right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</w:r>
          </w:p>
          <w:p>
            <w:pPr>
              <w:pStyle w:val="Normal"/>
              <w:ind w:right="0"/>
              <w:rPr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 xml:space="preserve">Победитель аукциона, иное лицо, с которым договор заключается в соответствии с п.13, п.14 или п. 20 ст. 39.12 Земельного Кодекса Российской Федерации (далее – ЗК РФ), обязан в течение </w:t>
            </w:r>
            <w:r>
              <w:rPr>
                <w:b/>
                <w:bCs/>
                <w:sz w:val="24"/>
                <w:szCs w:val="24"/>
              </w:rPr>
              <w:t xml:space="preserve">15 дней </w:t>
            </w:r>
            <w:r>
              <w:rPr>
                <w:b w:val="false"/>
                <w:bCs w:val="false"/>
                <w:sz w:val="24"/>
                <w:szCs w:val="24"/>
              </w:rPr>
              <w:t xml:space="preserve">со дня размещения протокола о результатах аукциона, а в случаях, определенных п.13, п.14, ст. 39.12 ЗК РФ, протокола рассмотрения заявок, уплатить ежегодный размер арендной платы (за вычетом задатка, внесенного для участия в аукционе) </w:t>
            </w:r>
            <w:r>
              <w:rPr>
                <w:b/>
                <w:bCs w:val="false"/>
                <w:color w:val="000000"/>
                <w:sz w:val="24"/>
                <w:szCs w:val="24"/>
              </w:rPr>
              <w:t xml:space="preserve">однократно за первые 3 года </w:t>
            </w:r>
            <w:r>
              <w:rPr>
                <w:b w:val="false"/>
                <w:bCs w:val="false"/>
                <w:sz w:val="24"/>
                <w:szCs w:val="24"/>
              </w:rPr>
              <w:t xml:space="preserve">на счет департамента земельных отношений администрации города Перми, 614015, ул. Сибирская,15, </w:t>
            </w:r>
            <w:r>
              <w:rPr>
                <w:b w:val="false"/>
                <w:bCs w:val="false"/>
                <w:sz w:val="24"/>
                <w:szCs w:val="24"/>
              </w:rPr>
              <w:br w:type="textWrapping" w:clear="all"/>
            </w:r>
            <w:r>
              <w:rPr>
                <w:b w:val="false"/>
                <w:bCs w:val="false"/>
                <w:sz w:val="24"/>
                <w:szCs w:val="24"/>
              </w:rPr>
              <w:t>тел. 212-61-90 (отдел договоров)</w:t>
            </w:r>
          </w:p>
        </w:tc>
        <w:tc>
          <w:tcPr>
            <w:tcW w:w="6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27 767 руб.</w:t>
            </w:r>
          </w:p>
        </w:tc>
      </w:tr>
      <w:tr>
        <w:trPr>
          <w:trHeight w:val="225" w:hRule="atLeast"/>
        </w:trPr>
        <w:tc>
          <w:tcPr>
            <w:tcW w:w="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2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«Шаг аукциона» (3% от начальной цены)</w:t>
            </w:r>
          </w:p>
        </w:tc>
        <w:tc>
          <w:tcPr>
            <w:tcW w:w="6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833,01 руб.</w:t>
            </w:r>
          </w:p>
        </w:tc>
      </w:tr>
      <w:tr>
        <w:trPr>
          <w:trHeight w:val="498" w:hRule="atLeast"/>
        </w:trPr>
        <w:tc>
          <w:tcPr>
            <w:tcW w:w="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pacing w:before="0" w:after="0"/>
              <w:ind w:hanging="0" w:left="113" w:right="113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Форма заявки на участие в аукционе</w:t>
            </w:r>
          </w:p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6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>
                <w:sz w:val="24"/>
                <w:szCs w:val="24"/>
              </w:rPr>
              <w:t xml:space="preserve">Форма заявки размещена на сайтах </w:t>
            </w:r>
            <w:hyperlink r:id="rId15" w:tgtFrame="http://www.torgi.gov.ru/">
              <w:r>
                <w:rPr>
                  <w:rStyle w:val="Hyperlink"/>
                  <w:sz w:val="24"/>
                  <w:szCs w:val="24"/>
                  <w:lang w:val="en-US"/>
                </w:rPr>
                <w:t>www</w:t>
              </w:r>
              <w:r>
                <w:rPr>
                  <w:rStyle w:val="Hyperlink"/>
                  <w:sz w:val="24"/>
                  <w:szCs w:val="24"/>
                </w:rPr>
                <w:t>.</w:t>
              </w:r>
              <w:r>
                <w:rPr>
                  <w:rStyle w:val="Hyperlink"/>
                  <w:sz w:val="24"/>
                  <w:szCs w:val="24"/>
                  <w:lang w:val="en-US"/>
                </w:rPr>
                <w:t>torgi</w:t>
              </w:r>
              <w:r>
                <w:rPr>
                  <w:rStyle w:val="Hyperlink"/>
                  <w:sz w:val="24"/>
                  <w:szCs w:val="24"/>
                </w:rPr>
                <w:t>.</w:t>
              </w:r>
              <w:r>
                <w:rPr>
                  <w:rStyle w:val="Hyperlink"/>
                  <w:sz w:val="24"/>
                  <w:szCs w:val="24"/>
                  <w:lang w:val="en-US"/>
                </w:rPr>
                <w:t>gov</w:t>
              </w:r>
              <w:r>
                <w:rPr>
                  <w:rStyle w:val="Hyperlink"/>
                  <w:sz w:val="24"/>
                  <w:szCs w:val="24"/>
                </w:rPr>
                <w:t>.</w:t>
              </w:r>
              <w:r>
                <w:rPr>
                  <w:rStyle w:val="Hyperlink"/>
                  <w:sz w:val="24"/>
                  <w:szCs w:val="24"/>
                  <w:lang w:val="en-US"/>
                </w:rPr>
                <w:t>ru</w:t>
              </w:r>
            </w:hyperlink>
            <w:r>
              <w:rPr>
                <w:sz w:val="24"/>
                <w:szCs w:val="24"/>
              </w:rPr>
              <w:t>, www.gorodperm.ru (раздел Деятельность/Муниципальная собственность/Торговая площадка/ Вид торгов Продажа и аренда земельных участков).</w:t>
            </w:r>
          </w:p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Заявка подается одновременно с полным пакетом документов, требуемых для участия в аукционе. На каждый лот представляется отдельный пакет документов.</w:t>
            </w:r>
          </w:p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jc w:val="both"/>
              <w:rPr>
                <w:b/>
              </w:rPr>
            </w:pPr>
            <w:r>
              <w:rPr>
                <w:b/>
                <w:sz w:val="24"/>
                <w:szCs w:val="24"/>
              </w:rPr>
              <w:t xml:space="preserve">Решение о проведении аукциона принято в соответствии со статьей 39.11 Земельного кодекса Российской Федерации, </w:t>
            </w:r>
            <w:r>
              <w:rPr>
                <w:b/>
                <w:color w:val="000000"/>
                <w:sz w:val="24"/>
                <w:szCs w:val="24"/>
              </w:rPr>
              <w:t>аукцион является открытым по составу участников.</w:t>
            </w:r>
          </w:p>
        </w:tc>
      </w:tr>
      <w:tr>
        <w:trPr>
          <w:trHeight w:val="557" w:hRule="atLeast"/>
        </w:trPr>
        <w:tc>
          <w:tcPr>
            <w:tcW w:w="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2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Размер задатка (50% от начальной цены)</w:t>
            </w:r>
          </w:p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6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13 883,5 руб.</w:t>
            </w:r>
          </w:p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318" w:hRule="atLeast"/>
        </w:trPr>
        <w:tc>
          <w:tcPr>
            <w:tcW w:w="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аренды земельного участка</w:t>
            </w:r>
          </w:p>
          <w:p>
            <w:pPr>
              <w:pStyle w:val="Normal"/>
              <w:ind w:righ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6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лет</w:t>
            </w:r>
          </w:p>
        </w:tc>
      </w:tr>
      <w:tr>
        <w:trPr>
          <w:trHeight w:val="144" w:hRule="atLeast"/>
        </w:trPr>
        <w:tc>
          <w:tcPr>
            <w:tcW w:w="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Проект договора аренды земельного участка</w:t>
            </w:r>
          </w:p>
        </w:tc>
        <w:tc>
          <w:tcPr>
            <w:tcW w:w="6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Проект договора аренды земельного участка, приобретаемого на торгах в форме аукциона, утвержден постановлением администрации города Перми от 29.05.2015 № 322, является Приложением 4 к настоящему извещению и размещен на сайтах </w:t>
            </w:r>
            <w:r>
              <w:rPr>
                <w:sz w:val="24"/>
                <w:szCs w:val="24"/>
                <w:lang w:val="en-US"/>
              </w:rPr>
              <w:t>www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torgi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gov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ru</w:t>
            </w:r>
            <w:r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  <w:lang w:val="en-US"/>
              </w:rPr>
              <w:t>www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gorodperm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ru</w:t>
            </w:r>
            <w:r>
              <w:rPr>
                <w:sz w:val="24"/>
                <w:szCs w:val="24"/>
              </w:rPr>
              <w:t xml:space="preserve"> (раздел Деятельность/ муниципальная собственность/ Торговая площадка/Вид торгов Продажа и аренда земельных участков).</w:t>
            </w:r>
          </w:p>
        </w:tc>
      </w:tr>
      <w:tr>
        <w:trPr>
          <w:trHeight w:val="144" w:hRule="atLeast"/>
        </w:trPr>
        <w:tc>
          <w:tcPr>
            <w:tcW w:w="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Порядок осмотра земельного участка </w:t>
              <w:br/>
              <w:t>на местности</w:t>
            </w:r>
          </w:p>
        </w:tc>
        <w:tc>
          <w:tcPr>
            <w:tcW w:w="6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Осмотр земельного участка производится заявителем самостоятельно в любое время с даты опубликования настоящего извещения.</w:t>
            </w:r>
          </w:p>
        </w:tc>
      </w:tr>
    </w:tbl>
    <w:p>
      <w:pPr>
        <w:pStyle w:val="Normal"/>
        <w:spacing w:lineRule="exact" w:line="240"/>
        <w:ind w:right="-263"/>
        <w:rPr>
          <w:b/>
          <w:bCs/>
        </w:rPr>
      </w:pPr>
      <w:r>
        <w:rPr>
          <w:b/>
          <w:bCs/>
        </w:rPr>
      </w:r>
    </w:p>
    <w:p>
      <w:pPr>
        <w:pStyle w:val="Normal"/>
        <w:widowControl w:val="false"/>
        <w:spacing w:before="0" w:after="0"/>
        <w:ind w:left="567"/>
        <w:contextualSpacing/>
        <w:jc w:val="center"/>
        <w:rPr>
          <w:rFonts w:eastAsia="Courier New"/>
          <w:b/>
          <w:lang w:bidi="ru-RU"/>
        </w:rPr>
      </w:pPr>
      <w:r>
        <w:rPr>
          <w:rFonts w:eastAsia="Courier New"/>
          <w:b/>
          <w:lang w:bidi="ru-RU"/>
        </w:rPr>
        <w:t>Сроки, время подачи заявок, рассмотрения заявок, проведения аукциона</w:t>
      </w:r>
    </w:p>
    <w:p>
      <w:pPr>
        <w:pStyle w:val="Normal"/>
        <w:widowControl w:val="false"/>
        <w:spacing w:before="0" w:after="0"/>
        <w:ind w:left="567"/>
        <w:contextualSpacing/>
        <w:jc w:val="center"/>
        <w:rPr>
          <w:rFonts w:eastAsia="Courier New"/>
          <w:b/>
          <w:lang w:bidi="ru-RU"/>
        </w:rPr>
      </w:pPr>
      <w:r>
        <w:rPr>
          <w:rFonts w:eastAsia="Courier New"/>
          <w:b/>
          <w:lang w:bidi="ru-RU"/>
        </w:rPr>
      </w:r>
    </w:p>
    <w:p>
      <w:pPr>
        <w:pStyle w:val="Normal"/>
        <w:widowControl w:val="false"/>
        <w:ind w:firstLine="709" w:left="-567"/>
        <w:jc w:val="both"/>
        <w:rPr>
          <w:rFonts w:eastAsia="Courier New"/>
          <w:lang w:bidi="ru-RU"/>
        </w:rPr>
      </w:pPr>
      <w:r>
        <w:rPr>
          <w:rFonts w:eastAsia="Courier New"/>
          <w:b/>
          <w:lang w:bidi="ru-RU"/>
        </w:rPr>
        <w:t>Дата и время начала срока подачи заявок на участие в аукционе – 29.12.2024</w:t>
      </w:r>
      <w:r>
        <w:rPr>
          <w:rFonts w:eastAsia="Courier New"/>
          <w:lang w:bidi="ru-RU"/>
        </w:rPr>
        <w:t xml:space="preserve"> в 9:00 </w:t>
      </w:r>
      <w:r>
        <w:rPr>
          <w:rFonts w:eastAsia="Courier New"/>
          <w:lang w:bidi="ru-RU"/>
        </w:rPr>
        <w:br w:type="textWrapping" w:clear="all"/>
      </w:r>
      <w:r>
        <w:rPr>
          <w:rFonts w:eastAsia="Courier New"/>
          <w:lang w:bidi="ru-RU"/>
        </w:rPr>
        <w:t>по местному времени (7:00 МСК).</w:t>
      </w:r>
    </w:p>
    <w:p>
      <w:pPr>
        <w:pStyle w:val="Normal"/>
        <w:widowControl w:val="false"/>
        <w:ind w:firstLine="709" w:left="-567"/>
        <w:jc w:val="both"/>
        <w:rPr>
          <w:rFonts w:eastAsia="Courier New"/>
          <w:lang w:bidi="ru-RU"/>
        </w:rPr>
      </w:pPr>
      <w:r>
        <w:rPr>
          <w:rFonts w:eastAsia="Courier New"/>
          <w:lang w:bidi="ru-RU"/>
        </w:rPr>
      </w:r>
    </w:p>
    <w:p>
      <w:pPr>
        <w:pStyle w:val="Normal"/>
        <w:widowControl w:val="false"/>
        <w:ind w:firstLine="709" w:left="-567"/>
        <w:jc w:val="both"/>
        <w:rPr>
          <w:rFonts w:eastAsia="Courier New"/>
          <w:b/>
          <w:lang w:bidi="ru-RU"/>
        </w:rPr>
      </w:pPr>
      <w:r>
        <w:rPr>
          <w:rFonts w:eastAsia="Courier New"/>
          <w:b/>
          <w:lang w:bidi="ru-RU"/>
        </w:rPr>
        <w:t>Дата и время окончания срока подачи заявок на участие в аукционе – 04.02.2025</w:t>
      </w:r>
      <w:r>
        <w:rPr>
          <w:rFonts w:eastAsia="Courier New"/>
          <w:lang w:bidi="ru-RU"/>
        </w:rPr>
        <w:t xml:space="preserve"> </w:t>
      </w:r>
      <w:r>
        <w:rPr>
          <w:rFonts w:eastAsia="Courier New"/>
          <w:lang w:bidi="ru-RU"/>
        </w:rPr>
        <w:br w:type="textWrapping" w:clear="all"/>
      </w:r>
      <w:r>
        <w:rPr>
          <w:rFonts w:eastAsia="Courier New"/>
          <w:lang w:bidi="ru-RU"/>
        </w:rPr>
        <w:t xml:space="preserve">в 18:00 по местному времени (16:00 МСК). </w:t>
      </w:r>
    </w:p>
    <w:p>
      <w:pPr>
        <w:pStyle w:val="Normal"/>
        <w:widowControl w:val="false"/>
        <w:ind w:firstLine="709" w:left="-567"/>
        <w:jc w:val="both"/>
        <w:rPr>
          <w:rFonts w:eastAsia="Courier New"/>
          <w:b/>
          <w:lang w:bidi="ru-RU"/>
        </w:rPr>
      </w:pPr>
      <w:r>
        <w:rPr>
          <w:rFonts w:eastAsia="Courier New"/>
          <w:b/>
          <w:lang w:bidi="ru-RU"/>
        </w:rPr>
      </w:r>
    </w:p>
    <w:p>
      <w:pPr>
        <w:pStyle w:val="Normal"/>
        <w:widowControl w:val="false"/>
        <w:ind w:firstLine="709" w:left="-567"/>
        <w:jc w:val="both"/>
        <w:rPr>
          <w:rFonts w:eastAsia="Courier New"/>
          <w:lang w:bidi="ru-RU"/>
        </w:rPr>
      </w:pPr>
      <w:r>
        <w:rPr>
          <w:rFonts w:eastAsia="Courier New"/>
          <w:b/>
          <w:lang w:bidi="ru-RU"/>
        </w:rPr>
        <w:t>Дата окончания срока рассмотрения заявок на участие в аукционе (определение участников аукциона)</w:t>
      </w:r>
      <w:r>
        <w:rPr>
          <w:rFonts w:eastAsia="Courier New"/>
          <w:lang w:bidi="ru-RU"/>
        </w:rPr>
        <w:t xml:space="preserve"> – </w:t>
      </w:r>
      <w:r>
        <w:rPr>
          <w:rFonts w:eastAsia="Courier New"/>
          <w:b/>
          <w:bCs/>
          <w:lang w:bidi="ru-RU"/>
        </w:rPr>
        <w:t xml:space="preserve">05.02.2025. </w:t>
      </w:r>
    </w:p>
    <w:p>
      <w:pPr>
        <w:pStyle w:val="Normal"/>
        <w:widowControl w:val="false"/>
        <w:ind w:firstLine="709" w:left="-567"/>
        <w:jc w:val="both"/>
        <w:rPr>
          <w:rFonts w:eastAsia="Courier New"/>
          <w:b/>
          <w:bCs/>
          <w:lang w:bidi="ru-RU"/>
        </w:rPr>
      </w:pPr>
      <w:r>
        <w:rPr>
          <w:rFonts w:eastAsia="Courier New"/>
          <w:b/>
          <w:bCs/>
          <w:lang w:bidi="ru-RU"/>
        </w:rPr>
      </w:r>
    </w:p>
    <w:p>
      <w:pPr>
        <w:pStyle w:val="Normal"/>
        <w:widowControl w:val="false"/>
        <w:ind w:firstLine="709" w:left="-567"/>
        <w:jc w:val="both"/>
        <w:rPr>
          <w:rFonts w:eastAsia="Courier New"/>
          <w:b/>
          <w:lang w:bidi="ru-RU"/>
        </w:rPr>
      </w:pPr>
      <w:r>
        <w:rPr>
          <w:rFonts w:eastAsia="Courier New"/>
          <w:b/>
          <w:bCs/>
          <w:lang w:bidi="ru-RU"/>
        </w:rPr>
        <w:t xml:space="preserve">Дата проведения аукциона (дата и время начала приема предложений </w:t>
      </w:r>
      <w:r>
        <w:rPr>
          <w:rFonts w:eastAsia="Courier New"/>
          <w:b/>
          <w:bCs/>
          <w:lang w:bidi="ru-RU"/>
        </w:rPr>
        <w:br w:type="textWrapping" w:clear="all"/>
      </w:r>
      <w:r>
        <w:rPr>
          <w:rFonts w:eastAsia="Courier New"/>
          <w:b/>
          <w:bCs/>
          <w:lang w:bidi="ru-RU"/>
        </w:rPr>
        <w:t>от участников аукциона) – 06.02</w:t>
      </w:r>
      <w:r>
        <w:rPr>
          <w:rFonts w:eastAsia="Courier New"/>
          <w:b/>
          <w:lang w:bidi="ru-RU"/>
        </w:rPr>
        <w:t>.2025</w:t>
      </w:r>
      <w:r>
        <w:rPr>
          <w:rFonts w:eastAsia="Courier New"/>
          <w:lang w:bidi="ru-RU"/>
        </w:rPr>
        <w:t xml:space="preserve"> в 09:00 по местному времени (07:00 МСК). </w:t>
      </w:r>
    </w:p>
    <w:p>
      <w:pPr>
        <w:pStyle w:val="Normal"/>
        <w:widowControl w:val="false"/>
        <w:ind w:firstLine="709" w:left="-567"/>
        <w:jc w:val="both"/>
        <w:rPr>
          <w:rFonts w:eastAsia="Courier New"/>
          <w:b/>
          <w:lang w:bidi="ru-RU"/>
        </w:rPr>
      </w:pPr>
      <w:r>
        <w:rPr>
          <w:rFonts w:eastAsia="Courier New"/>
          <w:b/>
          <w:lang w:bidi="ru-RU"/>
        </w:rPr>
      </w:r>
    </w:p>
    <w:p>
      <w:pPr>
        <w:pStyle w:val="Normal"/>
        <w:widowControl w:val="false"/>
        <w:ind w:firstLine="709" w:left="-567"/>
        <w:jc w:val="both"/>
        <w:rPr/>
      </w:pPr>
      <w:r>
        <w:rPr>
          <w:b/>
        </w:rPr>
        <w:t>Место подачи (приема) заявок и место проведения аукциона:</w:t>
      </w:r>
      <w:r>
        <w:rPr/>
        <w:t xml:space="preserve"> электронная площадка – универсальная торговая платформа АО «Сбербанк-АСТ», размещенная на сайте http://utp.sberbank-ast.ru в сети Интернет (торговая секция «Приватизация, аренда и продажа прав»).</w:t>
      </w:r>
    </w:p>
    <w:p>
      <w:pPr>
        <w:pStyle w:val="Normal"/>
        <w:widowControl w:val="false"/>
        <w:jc w:val="both"/>
        <w:rPr/>
      </w:pPr>
      <w:r>
        <w:rPr/>
      </w:r>
    </w:p>
    <w:p>
      <w:pPr>
        <w:pStyle w:val="Normal"/>
        <w:widowControl w:val="false"/>
        <w:ind w:firstLine="709" w:left="-567"/>
        <w:jc w:val="center"/>
        <w:rPr>
          <w:b/>
        </w:rPr>
      </w:pPr>
      <w:r>
        <w:rPr>
          <w:b/>
        </w:rPr>
        <w:t>Плата оператору электронной площадки за участие в электронном аукционе</w:t>
      </w:r>
    </w:p>
    <w:p>
      <w:pPr>
        <w:pStyle w:val="Normal"/>
        <w:widowControl w:val="false"/>
        <w:ind w:firstLine="709" w:left="-567"/>
        <w:jc w:val="center"/>
        <w:rPr>
          <w:b/>
        </w:rPr>
      </w:pPr>
      <w:r>
        <w:rPr>
          <w:b/>
        </w:rPr>
      </w:r>
    </w:p>
    <w:p>
      <w:pPr>
        <w:pStyle w:val="Normal"/>
        <w:widowControl w:val="false"/>
        <w:ind w:firstLine="709" w:left="-567"/>
        <w:jc w:val="both"/>
        <w:rPr/>
      </w:pPr>
      <w:r>
        <w:rPr/>
        <w:t xml:space="preserve">В соответствии с постановлением Правительства Российской Федерации от 10 мая 2018 г. </w:t>
      </w:r>
      <w:r>
        <w:rPr/>
        <w:br w:type="textWrapping" w:clear="all"/>
      </w:r>
      <w:r>
        <w:rPr/>
        <w:t>№ 564 «О взимании операторами электронных площадок, операторами специализированных электронных площадок платы при проведении электронной процедуры, закрытой электронной процедуры и установления ее предельных размеров» оператор электронной площадки вправе взимать плату с победителя аукциона или иного лица, с которыми в соответствии с пунктами 13, 14, 20 и 25 статьи 39.12 Земельного кодекса Российской Федерации заключается договор купли-продажи земельного участка, находящегося в государственной или муниципальной собственности, либо договор аренды такого участка, в размере 1% начальной цены предмета аукциона, но не более 5 тыс. рублей без учета налога на добавленную стоимость.</w:t>
      </w:r>
    </w:p>
    <w:p>
      <w:pPr>
        <w:pStyle w:val="Normal"/>
        <w:widowControl w:val="false"/>
        <w:ind w:firstLine="709" w:left="-567"/>
        <w:jc w:val="both"/>
        <w:rPr/>
      </w:pPr>
      <w:r>
        <w:rPr/>
        <w:t>По информации оператора электронной площадки АО «Сбербанк-АСТ» в настоящее время взимание платы не установлено.</w:t>
      </w:r>
    </w:p>
    <w:p>
      <w:pPr>
        <w:pStyle w:val="Normal"/>
        <w:widowControl w:val="false"/>
        <w:ind w:firstLine="709" w:left="-567"/>
        <w:jc w:val="both"/>
        <w:rPr/>
      </w:pPr>
      <w:r>
        <w:rPr/>
      </w:r>
    </w:p>
    <w:p>
      <w:pPr>
        <w:pStyle w:val="Normal"/>
        <w:widowControl w:val="false"/>
        <w:spacing w:before="0" w:after="0"/>
        <w:ind w:left="502"/>
        <w:contextualSpacing/>
        <w:jc w:val="center"/>
        <w:rPr>
          <w:b/>
          <w:bCs/>
          <w:lang w:bidi="ru-RU"/>
        </w:rPr>
      </w:pPr>
      <w:r>
        <w:rPr>
          <w:b/>
          <w:bCs/>
          <w:lang w:bidi="ru-RU"/>
        </w:rPr>
        <w:t>Размер задатка для участия в аукционе, порядок его внесения и возврата, реквизиты счета для перечисления задатка</w:t>
      </w:r>
    </w:p>
    <w:p>
      <w:pPr>
        <w:pStyle w:val="Normal"/>
        <w:widowControl w:val="false"/>
        <w:spacing w:before="0" w:after="0"/>
        <w:ind w:left="502"/>
        <w:contextualSpacing/>
        <w:jc w:val="center"/>
        <w:rPr>
          <w:b/>
          <w:bCs/>
          <w:lang w:bidi="ru-RU"/>
        </w:rPr>
      </w:pPr>
      <w:r>
        <w:rPr>
          <w:b/>
          <w:bCs/>
          <w:lang w:bidi="ru-RU"/>
        </w:rPr>
      </w:r>
    </w:p>
    <w:p>
      <w:pPr>
        <w:pStyle w:val="Normal"/>
        <w:widowControl w:val="false"/>
        <w:spacing w:before="0" w:after="0"/>
        <w:ind w:firstLine="567" w:left="-567"/>
        <w:contextualSpacing/>
        <w:jc w:val="both"/>
        <w:rPr>
          <w:bCs/>
          <w:lang w:bidi="ru-RU"/>
        </w:rPr>
      </w:pPr>
      <w:r>
        <w:rPr>
          <w:bCs/>
          <w:lang w:bidi="ru-RU"/>
        </w:rPr>
        <w:t xml:space="preserve">Заявители, зарегистрированные на электронной площадке в установленном порядке, </w:t>
        <w:br/>
        <w:t xml:space="preserve">до подачи заявки на участие в аукционе (далее – заявка), осуществляют перечисление суммы задатка на участие в аукционе на банковские реквизиты Оператора, размещенные в открытой части торговой секции. </w:t>
      </w:r>
    </w:p>
    <w:p>
      <w:pPr>
        <w:pStyle w:val="Normal"/>
        <w:widowControl w:val="false"/>
        <w:spacing w:before="0" w:after="0"/>
        <w:ind w:firstLine="567" w:left="-567"/>
        <w:contextualSpacing/>
        <w:jc w:val="both"/>
        <w:rPr>
          <w:bCs/>
          <w:lang w:bidi="ru-RU"/>
        </w:rPr>
      </w:pPr>
      <w:r>
        <w:rPr>
          <w:bCs/>
          <w:lang w:bidi="ru-RU"/>
        </w:rPr>
        <w:t xml:space="preserve">В момент подачи заявки Оператор проверяет наличие денежной суммы в размере задатка </w:t>
      </w:r>
      <w:r>
        <w:rPr>
          <w:bCs/>
          <w:lang w:bidi="ru-RU"/>
        </w:rPr>
        <w:br w:type="textWrapping" w:clear="all"/>
      </w:r>
      <w:r>
        <w:rPr>
          <w:bCs/>
          <w:lang w:bidi="ru-RU"/>
        </w:rPr>
        <w:t>на лицевом счете заявителя и осуществляет блокирование необходимой денежной суммы.</w:t>
      </w:r>
    </w:p>
    <w:p>
      <w:pPr>
        <w:pStyle w:val="Normal"/>
        <w:widowControl w:val="false"/>
        <w:spacing w:before="0" w:after="0"/>
        <w:ind w:firstLine="567" w:left="-567"/>
        <w:contextualSpacing/>
        <w:jc w:val="both"/>
        <w:rPr>
          <w:bCs/>
          <w:lang w:bidi="ru-RU"/>
        </w:rPr>
      </w:pPr>
      <w:r>
        <w:rPr>
          <w:bCs/>
          <w:lang w:bidi="ru-RU"/>
        </w:rPr>
        <w:t>Представление документов, подтверждающих внесение задатка, признается заключением соглашения о задатке (п.2 ст. 39.12 Земельного кодекса Российской Федерации).</w:t>
      </w:r>
    </w:p>
    <w:p>
      <w:pPr>
        <w:pStyle w:val="Normal"/>
        <w:widowControl w:val="false"/>
        <w:spacing w:before="0" w:after="0"/>
        <w:ind w:firstLine="567" w:left="-567"/>
        <w:contextualSpacing/>
        <w:jc w:val="both"/>
        <w:rPr>
          <w:bCs/>
          <w:lang w:bidi="ru-RU"/>
        </w:rPr>
      </w:pPr>
      <w:r>
        <w:rPr>
          <w:bCs/>
          <w:lang w:bidi="ru-RU"/>
        </w:rPr>
        <w:t>Сумма задатка для участия в аукционе определяется в размере 50 процентов начальной цены предмета аукциона. Размер задатка в извещении о проведении аукциона указан по каждому лоту.</w:t>
      </w:r>
    </w:p>
    <w:p>
      <w:pPr>
        <w:pStyle w:val="Normal"/>
        <w:widowControl w:val="false"/>
        <w:spacing w:before="0" w:after="0"/>
        <w:ind w:firstLine="567" w:left="-567"/>
        <w:contextualSpacing/>
        <w:jc w:val="both"/>
        <w:rPr>
          <w:b/>
          <w:bCs/>
          <w:lang w:bidi="ru-RU"/>
        </w:rPr>
      </w:pPr>
      <w:r>
        <w:rPr>
          <w:bCs/>
          <w:lang w:bidi="ru-RU"/>
        </w:rPr>
        <w:t xml:space="preserve">Перечисление задатка для участия в аукционе и возврат задатка осуществляются с учетом особенностей, установленных регламентом электронной площадки. </w:t>
      </w:r>
    </w:p>
    <w:p>
      <w:pPr>
        <w:pStyle w:val="Normal"/>
        <w:widowControl w:val="false"/>
        <w:ind w:firstLine="567" w:left="-567"/>
        <w:jc w:val="both"/>
        <w:rPr>
          <w:rFonts w:eastAsia="Calibri"/>
          <w:bCs/>
          <w:lang w:eastAsia="en-US"/>
        </w:rPr>
      </w:pPr>
      <w:r>
        <w:rPr>
          <w:b/>
          <w:bCs/>
          <w:lang w:bidi="ru-RU"/>
        </w:rPr>
        <w:t>Задаток перечисляется на реквизиты Оператора электронной площадки (</w:t>
      </w:r>
      <w:hyperlink r:id="rId16" w:tgtFrame="http://utp.sberbank-ast.ru/AP/Notice/653/Requisites">
        <w:r>
          <w:rPr>
            <w:rStyle w:val="Hyperlink"/>
            <w:b/>
            <w:bCs/>
            <w:lang w:bidi="ru-RU"/>
          </w:rPr>
          <w:t>http://utp.sberbank-ast.ru/AP/Notice/653/Requisites</w:t>
        </w:r>
      </w:hyperlink>
      <w:r>
        <w:rPr>
          <w:b/>
          <w:bCs/>
          <w:lang w:bidi="ru-RU"/>
        </w:rPr>
        <w:t>).</w:t>
      </w:r>
    </w:p>
    <w:p>
      <w:pPr>
        <w:pStyle w:val="Normal"/>
        <w:spacing w:lineRule="exact" w:line="240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Получатель: АО «Сбербанк-АСТ»</w:t>
      </w:r>
    </w:p>
    <w:p>
      <w:pPr>
        <w:pStyle w:val="Normal"/>
        <w:spacing w:lineRule="exact" w:line="240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 xml:space="preserve">ИНН: 7707308480, КПП: 770401001, </w:t>
      </w:r>
    </w:p>
    <w:p>
      <w:pPr>
        <w:pStyle w:val="Normal"/>
        <w:spacing w:lineRule="exact" w:line="240"/>
        <w:rPr/>
      </w:pPr>
      <w:r>
        <w:rPr>
          <w:rFonts w:eastAsia="Calibri"/>
          <w:bCs/>
          <w:lang w:eastAsia="en-US"/>
        </w:rPr>
        <w:t>Банк получателя: ПАО «СБЕРБАНК РОССИИ» Г. МОСКВА</w:t>
      </w:r>
    </w:p>
    <w:p>
      <w:pPr>
        <w:pStyle w:val="Normal"/>
        <w:spacing w:lineRule="exact" w:line="240"/>
        <w:rPr>
          <w:rFonts w:eastAsia="Calibri"/>
          <w:bCs/>
          <w:lang w:eastAsia="en-US"/>
        </w:rPr>
      </w:pPr>
      <w:r>
        <w:rPr/>
        <w:t xml:space="preserve">Расчетный счет: </w:t>
      </w:r>
      <w:r>
        <w:rPr>
          <w:rFonts w:eastAsia="Calibri"/>
          <w:bCs/>
          <w:lang w:eastAsia="en-US"/>
        </w:rPr>
        <w:t>40702810300020038047</w:t>
      </w:r>
    </w:p>
    <w:p>
      <w:pPr>
        <w:pStyle w:val="Normal"/>
        <w:spacing w:lineRule="exact" w:line="240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БИК: 044525225</w:t>
      </w:r>
    </w:p>
    <w:p>
      <w:pPr>
        <w:pStyle w:val="Normal"/>
        <w:spacing w:lineRule="exact" w:line="240"/>
        <w:rPr>
          <w:bCs/>
          <w:lang w:bidi="ru-RU"/>
        </w:rPr>
      </w:pPr>
      <w:r>
        <w:rPr>
          <w:rFonts w:eastAsia="Calibri"/>
          <w:bCs/>
          <w:lang w:eastAsia="en-US"/>
        </w:rPr>
        <w:t>Корреспондентский счет: 30101810400000000225</w:t>
      </w:r>
    </w:p>
    <w:p>
      <w:pPr>
        <w:pStyle w:val="Normal"/>
        <w:widowControl w:val="false"/>
        <w:ind w:firstLine="567" w:left="-567"/>
        <w:jc w:val="both"/>
        <w:rPr>
          <w:b/>
        </w:rPr>
      </w:pPr>
      <w:r>
        <w:rPr>
          <w:bCs/>
          <w:lang w:bidi="ru-RU"/>
        </w:rPr>
        <w:t>В платёжном поручении в части «Назначение платежа» необходимо указать: Задаток по лоту  № ___, ИНН плательщика. НДС не облагается.</w:t>
      </w:r>
    </w:p>
    <w:p>
      <w:pPr>
        <w:pStyle w:val="Normal"/>
        <w:widowControl w:val="false"/>
        <w:ind w:firstLine="567" w:left="-567"/>
        <w:jc w:val="both"/>
        <w:rPr>
          <w:bCs/>
          <w:lang w:bidi="ru-RU"/>
        </w:rPr>
      </w:pPr>
      <w:r>
        <w:rPr>
          <w:b/>
        </w:rPr>
        <w:t xml:space="preserve">Срок внесения задатка, т.е. поступления суммы задатка на счет </w:t>
      </w:r>
      <w:r>
        <w:rPr>
          <w:rFonts w:eastAsia="Calibri"/>
          <w:b/>
        </w:rPr>
        <w:t>Оператора</w:t>
      </w:r>
      <w:r>
        <w:rPr>
          <w:b/>
        </w:rPr>
        <w:t xml:space="preserve">: </w:t>
      </w:r>
      <w:r>
        <w:rPr>
          <w:b/>
        </w:rPr>
        <w:br w:type="textWrapping" w:clear="all"/>
      </w:r>
      <w:r>
        <w:rPr>
          <w:bCs/>
          <w:lang w:bidi="ru-RU"/>
        </w:rPr>
        <w:t>c 29.12.2024 по 04.02.2025.</w:t>
      </w:r>
    </w:p>
    <w:p>
      <w:pPr>
        <w:pStyle w:val="Normal"/>
        <w:widowControl w:val="false"/>
        <w:ind w:firstLine="709" w:left="-567"/>
        <w:jc w:val="both"/>
        <w:rPr>
          <w:bCs/>
          <w:lang w:bidi="ru-RU"/>
        </w:rPr>
      </w:pPr>
      <w:r>
        <w:rPr>
          <w:bCs/>
          <w:lang w:bidi="ru-RU"/>
        </w:rPr>
      </w:r>
    </w:p>
    <w:p>
      <w:pPr>
        <w:pStyle w:val="Normal"/>
        <w:widowControl w:val="false"/>
        <w:ind w:firstLine="709" w:left="-567"/>
        <w:jc w:val="center"/>
        <w:rPr>
          <w:b/>
          <w:lang w:bidi="ru-RU"/>
        </w:rPr>
      </w:pPr>
      <w:r>
        <w:rPr>
          <w:b/>
          <w:lang w:bidi="ru-RU"/>
        </w:rPr>
        <w:t>Порядок возврата задатка:</w:t>
      </w:r>
    </w:p>
    <w:p>
      <w:pPr>
        <w:pStyle w:val="Normal"/>
        <w:widowControl w:val="false"/>
        <w:ind w:firstLine="709" w:left="-567"/>
        <w:jc w:val="both"/>
        <w:rPr>
          <w:b/>
          <w:lang w:bidi="ru-RU"/>
        </w:rPr>
      </w:pPr>
      <w:r>
        <w:rPr>
          <w:b/>
          <w:lang w:bidi="ru-RU"/>
        </w:rPr>
      </w:r>
    </w:p>
    <w:p>
      <w:pPr>
        <w:pStyle w:val="Normal"/>
        <w:widowControl w:val="false"/>
        <w:spacing w:before="0" w:after="0"/>
        <w:ind w:firstLine="567" w:left="-567"/>
        <w:contextualSpacing/>
        <w:jc w:val="both"/>
        <w:rPr>
          <w:lang w:bidi="ru-RU"/>
        </w:rPr>
      </w:pPr>
      <w:r>
        <w:rPr>
          <w:bCs/>
          <w:lang w:bidi="ru-RU"/>
        </w:rPr>
        <w:t>Задаток возвращается лицам, участвовавшим в аукционе, но не победившим в нем, в течение трех рабочих дней со дня подписания протокола о результатах аукциона.</w:t>
      </w:r>
    </w:p>
    <w:p>
      <w:pPr>
        <w:pStyle w:val="Normal"/>
        <w:widowControl w:val="false"/>
        <w:spacing w:before="0" w:after="0"/>
        <w:ind w:firstLine="567" w:left="-567"/>
        <w:contextualSpacing/>
        <w:jc w:val="both"/>
        <w:rPr>
          <w:lang w:bidi="ru-RU"/>
        </w:rPr>
      </w:pPr>
      <w:r>
        <w:rPr>
          <w:lang w:bidi="ru-RU"/>
        </w:rPr>
        <w:t xml:space="preserve">Заявителю, не допущенному к участию в аукционе, внесенный им задаток возвращается </w:t>
      </w:r>
      <w:r>
        <w:rPr>
          <w:lang w:bidi="ru-RU"/>
        </w:rPr>
        <w:br w:type="textWrapping" w:clear="all"/>
      </w:r>
      <w:r>
        <w:rPr>
          <w:lang w:bidi="ru-RU"/>
        </w:rPr>
        <w:t xml:space="preserve">в течение трех рабочих дней со дня оформления протокола приема заявок на участие в аукционе. </w:t>
      </w:r>
    </w:p>
    <w:p>
      <w:pPr>
        <w:pStyle w:val="Normal"/>
        <w:widowControl w:val="false"/>
        <w:ind w:firstLine="567" w:left="-567"/>
        <w:jc w:val="both"/>
        <w:rPr>
          <w:lang w:bidi="ru-RU"/>
        </w:rPr>
      </w:pPr>
      <w:r>
        <w:rPr>
          <w:lang w:bidi="ru-RU"/>
        </w:rPr>
        <w:t xml:space="preserve">Оператор прекращает блокирование в отношении денежных средств участников аукциона, заблокированных в размере задатков на их лицевых счетах на электронной площадке после публикации протокола о результатах аукциона, за исключением единственного заявителя, признанного участником аукциона, победителя аукциона или единственного принявшего участие </w:t>
        <w:br/>
        <w:t>в аукционе участника.</w:t>
      </w:r>
    </w:p>
    <w:p>
      <w:pPr>
        <w:pStyle w:val="Normal"/>
        <w:widowControl w:val="false"/>
        <w:ind w:firstLine="567" w:left="-567"/>
        <w:jc w:val="both"/>
        <w:rPr>
          <w:lang w:bidi="ru-RU"/>
        </w:rPr>
      </w:pPr>
      <w:r>
        <w:rPr>
          <w:lang w:bidi="ru-RU"/>
        </w:rPr>
        <w:t xml:space="preserve">Организатор аукциона посредством штатного интерфейса торговой секции </w:t>
      </w:r>
      <w:r>
        <w:rPr>
          <w:lang w:bidi="ru-RU"/>
        </w:rPr>
        <w:br w:type="textWrapping" w:clear="all"/>
      </w:r>
      <w:r>
        <w:rPr>
          <w:lang w:bidi="ru-RU"/>
        </w:rPr>
        <w:t>в установленные сроки формирует поручение Оператору:</w:t>
      </w:r>
    </w:p>
    <w:p>
      <w:pPr>
        <w:pStyle w:val="Normal"/>
        <w:widowControl w:val="false"/>
        <w:ind w:firstLine="567" w:left="-567"/>
        <w:jc w:val="both"/>
        <w:rPr>
          <w:bCs/>
          <w:lang w:bidi="ru-RU"/>
        </w:rPr>
      </w:pPr>
      <w:r>
        <w:rPr>
          <w:lang w:bidi="ru-RU"/>
        </w:rPr>
        <w:t>- о перечислении задатка единственного заявителя, признанного участником аукциона, победителя аукциона или единственного принявшего участие в аукционе участника после формирования протокола о результатах аукциона на указанные в поручении банковские реквизиты;</w:t>
      </w:r>
    </w:p>
    <w:p>
      <w:pPr>
        <w:pStyle w:val="Normal"/>
        <w:widowControl w:val="false"/>
        <w:ind w:firstLine="567" w:left="-567"/>
        <w:jc w:val="both"/>
        <w:rPr>
          <w:bCs/>
          <w:lang w:bidi="ru-RU"/>
        </w:rPr>
      </w:pPr>
      <w:r>
        <w:rPr>
          <w:bCs/>
          <w:lang w:bidi="ru-RU"/>
        </w:rPr>
        <w:t xml:space="preserve">Задаток, внесенный лицом, признанным победителем аукциона, задаток, внесенный иным лицом, с которым договор купли-продажи или договор аренды земельного участка заключается </w:t>
        <w:br/>
        <w:t xml:space="preserve">в соответствии с пунктами 13, 14, 20, 25 ст. 39.12 Земельного Кодекса Российской Федерации, засчитываются в оплату приобретаемого земельного участка или в счет арендной платы за него. Задатки, внесенные этими лицами, не заключившими в установленном настоящей статьей порядке договора купли-продажи или договора аренды земельного участка вследствие уклонения </w:t>
        <w:br/>
        <w:t xml:space="preserve">от заключения указанных договоров, не возвращаются. </w:t>
      </w:r>
    </w:p>
    <w:p>
      <w:pPr>
        <w:pStyle w:val="Normal"/>
        <w:widowControl w:val="false"/>
        <w:spacing w:lineRule="auto" w:line="276"/>
        <w:jc w:val="both"/>
        <w:rPr>
          <w:bCs/>
          <w:lang w:bidi="ru-RU"/>
        </w:rPr>
      </w:pPr>
      <w:r>
        <w:rPr>
          <w:bCs/>
          <w:lang w:bidi="ru-RU"/>
        </w:rPr>
      </w:r>
    </w:p>
    <w:p>
      <w:pPr>
        <w:pStyle w:val="Normal"/>
        <w:widowControl w:val="false"/>
        <w:jc w:val="center"/>
        <w:rPr>
          <w:rFonts w:eastAsia="Courier New"/>
          <w:lang w:bidi="ru-RU"/>
        </w:rPr>
      </w:pPr>
      <w:r>
        <w:rPr>
          <w:b/>
        </w:rPr>
        <w:t>Организатор аукциона вправе:</w:t>
      </w:r>
    </w:p>
    <w:p>
      <w:pPr>
        <w:pStyle w:val="Normal"/>
        <w:widowControl w:val="false"/>
        <w:ind w:firstLine="709" w:left="-567"/>
        <w:jc w:val="both"/>
        <w:rPr>
          <w:rFonts w:eastAsia="Courier New"/>
          <w:lang w:bidi="ru-RU"/>
        </w:rPr>
      </w:pPr>
      <w:r>
        <w:rPr>
          <w:rFonts w:eastAsia="Courier New"/>
          <w:lang w:bidi="ru-RU"/>
        </w:rPr>
      </w:r>
    </w:p>
    <w:p>
      <w:pPr>
        <w:pStyle w:val="Normal"/>
        <w:widowControl w:val="false"/>
        <w:ind w:firstLine="567" w:left="-567"/>
        <w:jc w:val="both"/>
        <w:rPr/>
      </w:pPr>
      <w:r>
        <w:rPr/>
        <w:t xml:space="preserve">В соответствии с п. 4 ст. 448 Гражданского кодекса Российской Федерации отказаться </w:t>
      </w:r>
      <w:r>
        <w:rPr/>
        <w:br w:type="textWrapping" w:clear="all"/>
      </w:r>
      <w:r>
        <w:rPr/>
        <w:t xml:space="preserve">от проведения аукциона в любое время, но не позднее чем за три дня до наступления даты </w:t>
      </w:r>
      <w:r>
        <w:rPr/>
        <w:br w:type="textWrapping" w:clear="all"/>
      </w:r>
      <w:r>
        <w:rPr/>
        <w:t xml:space="preserve">его проведения, указанной в извещении о проведении аукциона. </w:t>
      </w:r>
    </w:p>
    <w:p>
      <w:pPr>
        <w:pStyle w:val="Normal"/>
        <w:widowControl w:val="false"/>
        <w:ind w:firstLine="567" w:left="-567"/>
        <w:jc w:val="both"/>
        <w:rPr/>
      </w:pPr>
      <w:r>
        <w:rPr/>
        <w:t xml:space="preserve">Принять решение об отказе в проведении аукциона в случае выявления обстоятельств, предусмотренных п. 8 ст. 39.11 Земельного Кодекса Российской Федерации. Извещение об отказе </w:t>
        <w:br/>
        <w:t xml:space="preserve">в проведении аукциона размещается на официальном сайте организатором аукциона </w:t>
        <w:br/>
        <w:t>и на электронной площадке в течение трех дней со дня принятия данного решения.</w:t>
      </w:r>
    </w:p>
    <w:p>
      <w:pPr>
        <w:pStyle w:val="Normal"/>
        <w:widowControl w:val="false"/>
        <w:ind w:firstLine="567" w:left="-567"/>
        <w:jc w:val="both"/>
        <w:rPr/>
      </w:pPr>
      <w:r>
        <w:rPr/>
        <w:t>В течение трех дней со дня принятия решения об отказе в проведении аукциона участники аукциона извещаются об отказе в проведении аукциона, внесенные задатки возвращаются его участникам.</w:t>
      </w:r>
    </w:p>
    <w:p>
      <w:pPr>
        <w:pStyle w:val="Normal"/>
        <w:widowControl w:val="false"/>
        <w:ind w:firstLine="567" w:left="-567"/>
        <w:jc w:val="both"/>
        <w:rPr/>
      </w:pPr>
      <w:r>
        <w:rPr/>
        <w:t xml:space="preserve">В случае отмены аукциона организатором аукциона (в т. ч. одного или нескольких лотов) </w:t>
      </w:r>
      <w:r>
        <w:rPr/>
        <w:br w:type="textWrapping" w:clear="all"/>
      </w:r>
      <w:r>
        <w:rPr/>
        <w:t>Оператор в течение одного часа прекращает блокирование денежных средств участников аукциона в размере задатка на их лицевых счетах на электронной площадке.</w:t>
      </w:r>
    </w:p>
    <w:p>
      <w:pPr>
        <w:pStyle w:val="Normal"/>
        <w:widowControl w:val="false"/>
        <w:jc w:val="both"/>
        <w:rPr/>
      </w:pPr>
      <w:r>
        <w:rPr/>
      </w:r>
    </w:p>
    <w:p>
      <w:pPr>
        <w:pStyle w:val="Normal"/>
        <w:widowControl w:val="false"/>
        <w:ind w:left="502"/>
        <w:jc w:val="center"/>
        <w:rPr>
          <w:rFonts w:eastAsia="Courier New"/>
          <w:b/>
          <w:bCs/>
          <w:lang w:bidi="ru-RU"/>
        </w:rPr>
      </w:pPr>
      <w:r>
        <w:rPr>
          <w:rFonts w:eastAsia="Courier New"/>
          <w:b/>
          <w:lang w:bidi="ru-RU"/>
        </w:rPr>
        <w:t>Порядок регистрации на электронной площадке</w:t>
      </w:r>
    </w:p>
    <w:p>
      <w:pPr>
        <w:pStyle w:val="Normal"/>
        <w:widowControl w:val="false"/>
        <w:ind w:firstLine="709" w:left="-567"/>
        <w:jc w:val="both"/>
        <w:rPr>
          <w:rFonts w:eastAsia="Courier New"/>
          <w:b/>
          <w:bCs/>
          <w:lang w:bidi="ru-RU"/>
        </w:rPr>
      </w:pPr>
      <w:r>
        <w:rPr>
          <w:rFonts w:eastAsia="Courier New"/>
          <w:b/>
          <w:bCs/>
          <w:lang w:bidi="ru-RU"/>
        </w:rPr>
      </w:r>
    </w:p>
    <w:p>
      <w:pPr>
        <w:pStyle w:val="Normal"/>
        <w:widowControl w:val="false"/>
        <w:ind w:firstLine="567" w:left="-567"/>
        <w:jc w:val="both"/>
        <w:rPr>
          <w:bCs/>
          <w:lang w:bidi="ru-RU"/>
        </w:rPr>
      </w:pPr>
      <w:r>
        <w:rPr>
          <w:bCs/>
          <w:lang w:bidi="ru-RU"/>
        </w:rPr>
        <w:t>Для обеспечения доступа к участию в аукционе заявителю необходимо пройти процедуру регистрации на электронной площадке. Регистрации на электронной площадке подлежат лица, ранее не зарегистрированные на электронной площадке.</w:t>
      </w:r>
    </w:p>
    <w:p>
      <w:pPr>
        <w:pStyle w:val="Normal"/>
        <w:widowControl w:val="false"/>
        <w:ind w:firstLine="567" w:left="-567"/>
        <w:jc w:val="both"/>
        <w:rPr>
          <w:bCs/>
          <w:lang w:bidi="ru-RU"/>
        </w:rPr>
      </w:pPr>
      <w:r>
        <w:rPr>
          <w:bCs/>
          <w:lang w:bidi="ru-RU"/>
        </w:rPr>
        <w:t>Регистрация на электронной площадке проводится в соответствии с регламентом электронной площадки.</w:t>
      </w:r>
    </w:p>
    <w:p>
      <w:pPr>
        <w:pStyle w:val="Normal"/>
        <w:widowControl w:val="false"/>
        <w:ind w:firstLine="567" w:left="-567"/>
        <w:jc w:val="both"/>
        <w:rPr>
          <w:b/>
          <w:color w:val="000000"/>
        </w:rPr>
      </w:pPr>
      <w:r>
        <w:rPr>
          <w:bCs/>
          <w:lang w:bidi="ru-RU"/>
        </w:rPr>
        <w:t xml:space="preserve">Дата и время регистрации участников аукциона на участие в аукционе на электронной площадке на сайте в сети Интернет: c 29.12.2024 по 04.02.2025 с 9.00 до 18.00 по местному времени (7:00 – 16:00 МСК). </w:t>
      </w:r>
    </w:p>
    <w:p>
      <w:pPr>
        <w:pStyle w:val="NormalWeb"/>
        <w:jc w:val="center"/>
        <w:rPr>
          <w:bCs/>
          <w:lang w:bidi="ru-RU"/>
        </w:rPr>
      </w:pPr>
      <w:r>
        <w:rPr>
          <w:b/>
          <w:color w:val="000000"/>
        </w:rPr>
        <w:t>Разъяснение положений извещения о проведении аукциона</w:t>
      </w:r>
    </w:p>
    <w:p>
      <w:pPr>
        <w:pStyle w:val="ListParagraph"/>
        <w:widowControl w:val="false"/>
        <w:ind w:firstLine="567" w:left="-567"/>
        <w:jc w:val="both"/>
        <w:rPr>
          <w:bCs/>
          <w:lang w:bidi="ru-RU"/>
        </w:rPr>
      </w:pPr>
      <w:r>
        <w:rPr>
          <w:bCs/>
          <w:lang w:bidi="ru-RU"/>
        </w:rPr>
        <w:t xml:space="preserve">На этапе приема заявок любое заинтересованное лицо вправе не позднее 10 календарных дней до окончания срока подачи заявок направить Организатору аукциона запрос о разъяснениях положений извещения о проведении аукциона посредством функционала электронной площадки. Запросы о разъяснении положений извещения, полученные после вышеуказанного срока, </w:t>
        <w:br/>
        <w:t>не рассматриваются.</w:t>
      </w:r>
    </w:p>
    <w:p>
      <w:pPr>
        <w:pStyle w:val="ListParagraph"/>
        <w:widowControl w:val="false"/>
        <w:ind w:firstLine="567" w:left="-567"/>
        <w:jc w:val="both"/>
        <w:rPr>
          <w:bCs/>
          <w:lang w:bidi="ru-RU"/>
        </w:rPr>
      </w:pPr>
      <w:r>
        <w:rPr>
          <w:bCs/>
          <w:lang w:bidi="ru-RU"/>
        </w:rPr>
        <w:t xml:space="preserve">Ответ на запрос о разъяснении положений извещения должен быть подготовлен в течение трех рабочих дней со дня поступления указанного запроса.  </w:t>
      </w:r>
    </w:p>
    <w:p>
      <w:pPr>
        <w:pStyle w:val="Normal"/>
        <w:widowControl w:val="false"/>
        <w:spacing w:lineRule="auto" w:line="276"/>
        <w:ind w:firstLine="709" w:left="-567"/>
        <w:jc w:val="both"/>
        <w:rPr>
          <w:bCs/>
          <w:lang w:bidi="ru-RU"/>
        </w:rPr>
      </w:pPr>
      <w:r>
        <w:rPr>
          <w:bCs/>
          <w:lang w:bidi="ru-RU"/>
        </w:rPr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5076" w:leader="none"/>
        </w:tabs>
        <w:ind w:hanging="0" w:left="0"/>
        <w:jc w:val="center"/>
        <w:outlineLvl w:val="0"/>
        <w:rPr>
          <w:b/>
          <w:bCs/>
        </w:rPr>
      </w:pPr>
      <w:r>
        <w:rPr>
          <w:b/>
          <w:bCs/>
        </w:rPr>
        <w:t xml:space="preserve">Требования к содержанию и составу заявки на участие в аукционе, инструкция </w:t>
      </w:r>
      <w:r>
        <w:rPr>
          <w:b/>
          <w:bCs/>
        </w:rPr>
        <w:br w:type="textWrapping" w:clear="all"/>
      </w:r>
      <w:r>
        <w:rPr>
          <w:b/>
          <w:bCs/>
        </w:rPr>
        <w:t>по её заполнению</w:t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5076" w:leader="none"/>
        </w:tabs>
        <w:ind w:hanging="0" w:left="0"/>
        <w:jc w:val="center"/>
        <w:outlineLvl w:val="0"/>
        <w:rPr>
          <w:b/>
          <w:bCs/>
        </w:rPr>
      </w:pPr>
      <w:r>
        <w:rPr>
          <w:b/>
          <w:bCs/>
        </w:rPr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5076" w:leader="none"/>
        </w:tabs>
        <w:ind w:firstLine="567" w:left="-567"/>
        <w:jc w:val="both"/>
        <w:outlineLvl w:val="0"/>
        <w:rPr>
          <w:rFonts w:eastAsia="Courier New"/>
          <w:lang w:bidi="ru-RU"/>
        </w:rPr>
      </w:pPr>
      <w:r>
        <w:rPr/>
        <w:t xml:space="preserve">Заявка (Приложение 1 к настоящему извещению) и прилагаемые документы подаются заявителем в отношении каждого заявляемого лота по форме и в сроки, установленные извещением </w:t>
      </w:r>
      <w:r>
        <w:rPr/>
        <w:br w:type="textWrapping" w:clear="all"/>
      </w:r>
      <w:r>
        <w:rPr/>
        <w:t>о проведении аукциона.</w:t>
      </w:r>
    </w:p>
    <w:p>
      <w:pPr>
        <w:pStyle w:val="Normal"/>
        <w:widowControl w:val="false"/>
        <w:ind w:firstLine="567" w:left="-567"/>
        <w:jc w:val="both"/>
        <w:rPr>
          <w:rFonts w:eastAsia="Calibri"/>
        </w:rPr>
      </w:pPr>
      <w:r>
        <w:rPr>
          <w:rFonts w:eastAsia="Courier New"/>
          <w:lang w:bidi="ru-RU"/>
        </w:rPr>
        <w:t xml:space="preserve">Для участия в аукционе заявители представляют в установленный в извещении </w:t>
      </w:r>
      <w:r>
        <w:rPr>
          <w:rFonts w:eastAsia="Courier New"/>
          <w:lang w:bidi="ru-RU"/>
        </w:rPr>
        <w:br w:type="textWrapping" w:clear="all"/>
      </w:r>
      <w:r>
        <w:rPr>
          <w:rFonts w:eastAsia="Courier New"/>
          <w:lang w:bidi="ru-RU"/>
        </w:rPr>
        <w:t>о проведении аукциона срок следующие документы: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>1) заявка на участие в аукционе по установленной в извещении о проведении аукциона форме с указанием банковских реквизитов счета для возврата задатка;</w:t>
      </w:r>
    </w:p>
    <w:p>
      <w:pPr>
        <w:pStyle w:val="Normal"/>
        <w:jc w:val="both"/>
        <w:rPr>
          <w:rFonts w:eastAsia="Calibri"/>
        </w:rPr>
      </w:pPr>
      <w:r>
        <w:rPr>
          <w:rFonts w:eastAsia="Calibri"/>
        </w:rPr>
        <w:t>2) копии документов, удостоверяющих личность заявителя (для граждан), всех страниц;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 xml:space="preserve">3) надлежащим образом заверенный перевод на русский язык документов </w:t>
      </w:r>
      <w:r>
        <w:rPr>
          <w:rFonts w:eastAsia="Calibri"/>
        </w:rPr>
        <w:br w:type="textWrapping" w:clear="all"/>
      </w:r>
      <w:r>
        <w:rPr>
          <w:rFonts w:eastAsia="Calibri"/>
        </w:rPr>
        <w:t>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>
      <w:pPr>
        <w:pStyle w:val="Normal"/>
        <w:jc w:val="both"/>
        <w:rPr>
          <w:rFonts w:eastAsia="Calibri"/>
        </w:rPr>
      </w:pPr>
      <w:r>
        <w:rPr>
          <w:rFonts w:eastAsia="Calibri"/>
        </w:rPr>
        <w:t>4) документы, подтверждающие внесение задатка.</w:t>
      </w:r>
    </w:p>
    <w:p>
      <w:pPr>
        <w:pStyle w:val="Normal"/>
        <w:jc w:val="both"/>
        <w:rPr>
          <w:rFonts w:eastAsia="Calibri"/>
        </w:rPr>
      </w:pPr>
      <w:r>
        <w:rPr>
          <w:rFonts w:eastAsia="Calibri"/>
        </w:rPr>
      </w:r>
    </w:p>
    <w:p>
      <w:pPr>
        <w:pStyle w:val="Normal"/>
        <w:ind w:firstLine="708"/>
        <w:jc w:val="center"/>
        <w:rPr>
          <w:b/>
        </w:rPr>
      </w:pPr>
      <w:r>
        <w:rPr>
          <w:b/>
        </w:rPr>
        <w:t>Инструкция по заполнению и подаче заявки, порядок приема заявки</w:t>
      </w:r>
    </w:p>
    <w:p>
      <w:pPr>
        <w:pStyle w:val="Normal"/>
        <w:ind w:firstLine="708"/>
        <w:jc w:val="center"/>
        <w:rPr>
          <w:b/>
        </w:rPr>
      </w:pPr>
      <w:r>
        <w:rPr>
          <w:b/>
        </w:rPr>
      </w:r>
    </w:p>
    <w:p>
      <w:pPr>
        <w:pStyle w:val="Normal"/>
        <w:ind w:firstLine="567" w:left="-567"/>
        <w:jc w:val="both"/>
        <w:rPr/>
      </w:pPr>
      <w:r>
        <w:rPr/>
        <w:t>Заявка на участие в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документов, указанных в подпунктах 2 - 4 пункта 1, пункте 1.1 статьи 39.12 Земельного Кодекса Российской Федерации. Заявка на участие в аукционе, а также прилагаемые к ней документы подписываются усиленной квалифицированной электронной подписью заявителя.</w:t>
      </w:r>
    </w:p>
    <w:p>
      <w:pPr>
        <w:pStyle w:val="Normal"/>
        <w:ind w:firstLine="567" w:left="-567"/>
        <w:jc w:val="both"/>
        <w:rPr/>
      </w:pPr>
      <w:r>
        <w:rPr/>
        <w:t>Заполнение заявки осуществляется в соответствии с порядком, определенным регламентом электронной площадки АО «Сбербанк-АСТ».</w:t>
      </w:r>
    </w:p>
    <w:p>
      <w:pPr>
        <w:pStyle w:val="Normal"/>
        <w:ind w:firstLine="567" w:left="-567"/>
        <w:jc w:val="both"/>
        <w:rPr/>
      </w:pPr>
      <w:r>
        <w:rPr/>
        <w:t xml:space="preserve">Подача заявки осуществляется заявителем, зарегистрированным в торговой секции, </w:t>
      </w:r>
      <w:r>
        <w:rPr/>
        <w:br w:type="textWrapping" w:clear="all"/>
      </w:r>
      <w:r>
        <w:rPr/>
        <w:t>из личного кабинета посредством штатного интерфейса торговой секции отдельно по каждому лоту в сроки, установленные в извещении о проведении аукциона.</w:t>
      </w:r>
    </w:p>
    <w:p>
      <w:pPr>
        <w:pStyle w:val="Normal"/>
        <w:ind w:firstLine="567" w:left="-567"/>
        <w:jc w:val="both"/>
        <w:rPr/>
      </w:pPr>
      <w:r>
        <w:rPr/>
        <w:t xml:space="preserve">Заявитель вправе подать заявку в любое время с момента размещения извещения </w:t>
      </w:r>
      <w:r>
        <w:rPr/>
        <w:br w:type="textWrapping" w:clear="all"/>
      </w:r>
      <w:r>
        <w:rPr/>
        <w:t>о проведении аукциона до предусмотренных указанным извещением даты и времени окончания срока подачи заявок.</w:t>
      </w:r>
    </w:p>
    <w:p>
      <w:pPr>
        <w:pStyle w:val="Normal"/>
        <w:ind w:firstLine="567" w:left="-567"/>
        <w:jc w:val="both"/>
        <w:rPr/>
      </w:pPr>
      <w:r>
        <w:rPr/>
        <w:t>Один заявитель вправе подать только одну заявку на участие в аукционе в отношении каждого лота.</w:t>
      </w:r>
    </w:p>
    <w:p>
      <w:pPr>
        <w:pStyle w:val="Normal"/>
        <w:ind w:firstLine="567" w:left="-567"/>
        <w:jc w:val="both"/>
        <w:rPr/>
      </w:pPr>
      <w:r>
        <w:rPr/>
        <w:t>Заявка на участие в аукционе, поступившая по истечении срока приема заявок, возвращается заявителю в день ее поступления.</w:t>
      </w:r>
    </w:p>
    <w:p>
      <w:pPr>
        <w:pStyle w:val="Normal"/>
        <w:ind w:firstLine="567" w:left="-567"/>
        <w:jc w:val="both"/>
        <w:rPr/>
      </w:pPr>
      <w:r>
        <w:rPr/>
        <w:t xml:space="preserve">Участие в аукционе возможно при наличии на лицевом счете заявителя денежных средств </w:t>
      </w:r>
      <w:r>
        <w:rPr/>
        <w:br w:type="textWrapping" w:clear="all"/>
      </w:r>
      <w:r>
        <w:rPr/>
        <w:t xml:space="preserve">в размере не менее чем размер задатка на участие в аукционе, предусмотренный извещением </w:t>
      </w:r>
      <w:r>
        <w:rPr/>
        <w:br w:type="textWrapping" w:clear="all"/>
      </w:r>
      <w:r>
        <w:rPr/>
        <w:t>о проведении аукциона.</w:t>
      </w:r>
    </w:p>
    <w:p>
      <w:pPr>
        <w:pStyle w:val="Normal"/>
        <w:ind w:firstLine="567" w:left="-567"/>
        <w:jc w:val="both"/>
        <w:rPr/>
      </w:pPr>
      <w:r>
        <w:rPr/>
        <w:t>Все документы, входящие в состав заявки, должны иметь четко читаемый текст.</w:t>
      </w:r>
    </w:p>
    <w:p>
      <w:pPr>
        <w:pStyle w:val="Normal"/>
        <w:ind w:firstLine="567" w:left="-567"/>
        <w:jc w:val="both"/>
        <w:rPr>
          <w:bCs/>
        </w:rPr>
      </w:pPr>
      <w:r>
        <w:rPr/>
        <w:t>Заявка предоставляется организатору аукциона через Оператора.</w:t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5076" w:leader="none"/>
        </w:tabs>
        <w:ind w:hanging="0" w:left="0"/>
        <w:jc w:val="both"/>
        <w:outlineLvl w:val="0"/>
        <w:rPr>
          <w:bCs/>
        </w:rPr>
      </w:pPr>
      <w:r>
        <w:rPr>
          <w:bCs/>
        </w:rPr>
        <w:t>Заявка не может быть принята Оператором в случае:</w:t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5076" w:leader="none"/>
        </w:tabs>
        <w:ind w:firstLine="567" w:left="-567"/>
        <w:jc w:val="both"/>
        <w:outlineLvl w:val="0"/>
        <w:rPr>
          <w:bCs/>
        </w:rPr>
      </w:pPr>
      <w:r>
        <w:rPr>
          <w:bCs/>
        </w:rPr>
        <w:t xml:space="preserve">а) отсутствия на лицевом счете заявителя достаточной суммы денежных средств </w:t>
      </w:r>
      <w:r>
        <w:rPr>
          <w:bCs/>
        </w:rPr>
        <w:br w:type="textWrapping" w:clear="all"/>
      </w:r>
      <w:r>
        <w:rPr>
          <w:bCs/>
        </w:rPr>
        <w:t>в размере задатка;</w:t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5076" w:leader="none"/>
        </w:tabs>
        <w:ind w:firstLine="567" w:left="-567"/>
        <w:jc w:val="both"/>
        <w:outlineLvl w:val="0"/>
        <w:rPr>
          <w:bCs/>
        </w:rPr>
      </w:pPr>
      <w:r>
        <w:rPr>
          <w:bCs/>
        </w:rPr>
        <w:t>б) подачи заявителем второй заявки на участие в отношении одного и того же лота при условии, что поданная ранее заявка таким заявителем не отозвана;</w:t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5076" w:leader="none"/>
        </w:tabs>
        <w:ind w:hanging="0" w:left="0"/>
        <w:jc w:val="both"/>
        <w:outlineLvl w:val="0"/>
        <w:rPr>
          <w:bCs/>
        </w:rPr>
      </w:pPr>
      <w:r>
        <w:rPr>
          <w:bCs/>
        </w:rPr>
        <w:t>в) подачи заявки по истечении установленного срока подачи заявок;</w:t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5076" w:leader="none"/>
        </w:tabs>
        <w:ind w:firstLine="567" w:left="-567"/>
        <w:jc w:val="both"/>
        <w:outlineLvl w:val="0"/>
        <w:rPr>
          <w:bCs/>
        </w:rPr>
      </w:pPr>
      <w:r>
        <w:rPr>
          <w:bCs/>
        </w:rPr>
        <w:t>г) некорректного заполнения формы заявки, в том числе незаполнения полей, являющихся обязательными для заполнения.</w:t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284" w:leader="none"/>
        </w:tabs>
        <w:ind w:firstLine="567" w:left="-567"/>
        <w:jc w:val="both"/>
        <w:outlineLvl w:val="0"/>
        <w:rPr>
          <w:bCs/>
        </w:rPr>
      </w:pPr>
      <w:r>
        <w:rPr>
          <w:bCs/>
        </w:rPr>
        <w:t xml:space="preserve">Протокол рассмотрения заявок на участие в аукционе подписывается не позднее чем </w:t>
      </w:r>
      <w:r>
        <w:rPr>
          <w:bCs/>
        </w:rPr>
        <w:br w:type="textWrapping" w:clear="all"/>
      </w:r>
      <w:r>
        <w:rPr>
          <w:bCs/>
        </w:rPr>
        <w:t>в течение одного дня со дня их рассмотрения усиленной квалифицированной электронной подписью лица, уполномоченного действовать от имени организатора аукциона, и размещается на электронной площадке не позднее чем на следующий рабочий день после дня подписания протокола.</w:t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284" w:leader="none"/>
        </w:tabs>
        <w:ind w:firstLine="567" w:left="-567"/>
        <w:jc w:val="both"/>
        <w:outlineLvl w:val="0"/>
        <w:rPr>
          <w:bCs/>
        </w:rPr>
      </w:pPr>
      <w:r>
        <w:rPr>
          <w:bCs/>
        </w:rPr>
        <w:t xml:space="preserve">Заявителям, признанным участниками аукциона, и заявителям, не допущенным к участию </w:t>
        <w:br/>
        <w:t xml:space="preserve">в аукционе, оператор электронной площадки направляет в электронной форме уведомления </w:t>
        <w:br/>
        <w:t xml:space="preserve">о принятых в отношении их решениях не позднее дня, следующего после дня подписания протокола рассмотрения заявок на участие в аукционе. </w:t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284" w:leader="none"/>
        </w:tabs>
        <w:spacing w:lineRule="auto" w:line="276"/>
        <w:ind w:firstLine="567" w:left="-567"/>
        <w:jc w:val="both"/>
        <w:outlineLvl w:val="0"/>
        <w:rPr>
          <w:bCs/>
        </w:rPr>
      </w:pPr>
      <w:r>
        <w:rPr>
          <w:bCs/>
        </w:rPr>
      </w:r>
    </w:p>
    <w:p>
      <w:pPr>
        <w:pStyle w:val="Normal"/>
        <w:widowControl w:val="false"/>
        <w:ind w:left="502"/>
        <w:jc w:val="center"/>
        <w:rPr>
          <w:b/>
          <w:bCs/>
          <w:lang w:bidi="ru-RU"/>
        </w:rPr>
      </w:pPr>
      <w:r>
        <w:rPr>
          <w:b/>
          <w:bCs/>
          <w:lang w:bidi="ru-RU"/>
        </w:rPr>
        <w:t>Порядок и срок изменения, отзыва заявки на участие в аукционе</w:t>
      </w:r>
    </w:p>
    <w:p>
      <w:pPr>
        <w:pStyle w:val="Normal"/>
        <w:widowControl w:val="false"/>
        <w:ind w:left="502"/>
        <w:rPr>
          <w:b/>
          <w:bCs/>
          <w:lang w:bidi="ru-RU"/>
        </w:rPr>
      </w:pPr>
      <w:r>
        <w:rPr>
          <w:b/>
          <w:bCs/>
          <w:lang w:bidi="ru-RU"/>
        </w:rPr>
      </w:r>
    </w:p>
    <w:p>
      <w:pPr>
        <w:pStyle w:val="Normal"/>
        <w:widowControl w:val="false"/>
        <w:ind w:firstLine="567" w:left="-567"/>
        <w:jc w:val="both"/>
        <w:rPr>
          <w:rFonts w:eastAsia="Courier New"/>
          <w:lang w:bidi="ru-RU"/>
        </w:rPr>
      </w:pPr>
      <w:r>
        <w:rPr/>
        <w:t xml:space="preserve">Заявитель имеет право отозвать принятую организатором аукциона заявку на участие </w:t>
      </w:r>
      <w:r>
        <w:rPr/>
        <w:br w:type="textWrapping" w:clear="all"/>
      </w:r>
      <w:r>
        <w:rPr/>
        <w:t xml:space="preserve">в аукционе до дня окончания срока приема заявок, путем направления уведомления об отзыве заявки на электронную площадку. В случае отзыва заявки в установленном порядке, уведомление об отзыве заявки поступает в «личный кабинет» организатора аукциона, о чем заявителю направляется соответствующее уведомление. Заявителю внесенный им задаток возвращается в течение трех рабочих дней со дня поступления уведомления об отзыве заявки. В случае отзыва заявки заявителем позднее дня окончания срока приема заявок задаток возвращается в порядке, установленном для участников аукциона. </w:t>
      </w:r>
    </w:p>
    <w:p>
      <w:pPr>
        <w:pStyle w:val="Normal"/>
        <w:widowControl w:val="false"/>
        <w:jc w:val="both"/>
        <w:rPr>
          <w:rFonts w:eastAsia="Courier New"/>
          <w:lang w:bidi="ru-RU"/>
        </w:rPr>
      </w:pPr>
      <w:r>
        <w:rPr>
          <w:rFonts w:eastAsia="Courier New"/>
          <w:lang w:bidi="ru-RU"/>
        </w:rPr>
      </w:r>
    </w:p>
    <w:p>
      <w:pPr>
        <w:pStyle w:val="Normal"/>
        <w:jc w:val="center"/>
        <w:rPr>
          <w:b/>
          <w:bCs/>
        </w:rPr>
      </w:pPr>
      <w:r>
        <w:rPr>
          <w:b/>
          <w:bCs/>
        </w:rPr>
        <w:t>Определение участников аукциона</w:t>
      </w:r>
    </w:p>
    <w:p>
      <w:pPr>
        <w:pStyle w:val="Normal"/>
        <w:jc w:val="center"/>
        <w:rPr>
          <w:b/>
          <w:bCs/>
        </w:rPr>
      </w:pPr>
      <w:r>
        <w:rPr>
          <w:b/>
          <w:bCs/>
        </w:rPr>
      </w:r>
    </w:p>
    <w:p>
      <w:pPr>
        <w:pStyle w:val="Normal"/>
        <w:ind w:firstLine="567" w:left="-567"/>
        <w:jc w:val="both"/>
        <w:rPr/>
      </w:pPr>
      <w:r>
        <w:rPr>
          <w:bCs/>
        </w:rPr>
        <w:t xml:space="preserve">По результатам рассмотрения заявок комиссия принимает решение о допуске заявителей </w:t>
      </w:r>
      <w:r>
        <w:rPr>
          <w:bCs/>
        </w:rPr>
        <w:br w:type="textWrapping" w:clear="all"/>
      </w:r>
      <w:r>
        <w:rPr>
          <w:bCs/>
        </w:rPr>
        <w:t>к участию в аукционе или об отказе в допуске к участию в аукционе.</w:t>
      </w:r>
    </w:p>
    <w:p>
      <w:pPr>
        <w:pStyle w:val="Normal"/>
        <w:jc w:val="both"/>
        <w:rPr>
          <w:sz w:val="20"/>
        </w:rPr>
      </w:pPr>
      <w:r>
        <w:rPr/>
        <w:t>Заявитель не допускается к участию в аукционе в следующих случаях:</w:t>
      </w:r>
    </w:p>
    <w:p>
      <w:pPr>
        <w:pStyle w:val="Normal"/>
        <w:widowControl w:val="false"/>
        <w:ind w:firstLine="567" w:left="-567"/>
        <w:jc w:val="both"/>
        <w:rPr/>
      </w:pPr>
      <w:r>
        <w:rPr>
          <w:sz w:val="20"/>
        </w:rPr>
        <w:t xml:space="preserve">1) </w:t>
      </w:r>
      <w:r>
        <w:rPr/>
        <w:t>непредставление необходимых для участия в аукционе документов или представление недостоверных сведений;</w:t>
      </w:r>
    </w:p>
    <w:p>
      <w:pPr>
        <w:pStyle w:val="Normal"/>
        <w:widowControl w:val="false"/>
        <w:jc w:val="both"/>
        <w:rPr/>
      </w:pPr>
      <w:r>
        <w:rPr/>
        <w:t>2) непоступление задатка на дату рассмотрения заявок на участие в аукционе;</w:t>
      </w:r>
    </w:p>
    <w:p>
      <w:pPr>
        <w:pStyle w:val="Normal"/>
        <w:widowControl w:val="false"/>
        <w:ind w:firstLine="567" w:left="-567"/>
        <w:jc w:val="both"/>
        <w:rPr/>
      </w:pPr>
      <w:r>
        <w:rPr/>
        <w:t xml:space="preserve">3) подача заявки на участие в аукционе лицом, которое в соответствии с Земельным Кодексом Российской Федерации и другими федеральными законами не имеет права быть участником конкретного аукциона, покупателем земельного участка или приобрести земельный участок </w:t>
        <w:br/>
        <w:t>в аренду;</w:t>
      </w:r>
    </w:p>
    <w:p>
      <w:pPr>
        <w:pStyle w:val="Normal"/>
        <w:widowControl w:val="false"/>
        <w:ind w:firstLine="567" w:left="-567"/>
        <w:jc w:val="both"/>
        <w:rPr/>
      </w:pPr>
      <w:r>
        <w:rPr/>
        <w:t>4) наличие сведений о заявителе, об учредителях (участниках), о членах коллегиальных исполнительных органов заявителя, лицах, исполняющих функции единоличного исполнительного органа заявителя, являющегося юридическим лицом, в реестре недобросовестных участников аукциона.</w:t>
      </w:r>
    </w:p>
    <w:p>
      <w:pPr>
        <w:pStyle w:val="Normal"/>
        <w:widowControl w:val="false"/>
        <w:ind w:firstLine="567" w:left="-567"/>
        <w:jc w:val="both"/>
        <w:rPr/>
      </w:pPr>
      <w:r>
        <w:rPr/>
        <w:t xml:space="preserve">В день признания заявителей участниками аукциона, указанный в извещении </w:t>
        <w:br/>
        <w:t>о проведении аукциона, оператор через «личный кабинет» организатора торгов обеспечивает доступ организатора торгов к поданным  заявителями заявкам и документам, а также к журналу приема заявок.</w:t>
      </w:r>
    </w:p>
    <w:p>
      <w:pPr>
        <w:pStyle w:val="Normal"/>
        <w:widowControl w:val="false"/>
        <w:ind w:firstLine="567" w:left="-567"/>
        <w:jc w:val="both"/>
        <w:rPr/>
      </w:pPr>
      <w:r>
        <w:rPr/>
        <w:t xml:space="preserve">По результатам рассмотрения заявок и документов к ним комиссия принимает решение </w:t>
        <w:br/>
        <w:t xml:space="preserve">о признании заявителя участником аукциона или об отказе в допуске к участию в аукционе, которое оформляется протоколом рассмотрения заявок с указанием причины отказа в допуске </w:t>
        <w:br/>
        <w:t xml:space="preserve">к участию в аукционе. Протокол рассмотрения заявок на участие в аукционе подписывается организатором аукциона не позднее чем в течение одного дня со дня их рассмотрения </w:t>
        <w:br/>
        <w:t>и размещается на официальных сайтах и на электронной площадке не позднее чем на следующий день после дня подписания протокола.</w:t>
      </w:r>
    </w:p>
    <w:p>
      <w:pPr>
        <w:pStyle w:val="Normal"/>
        <w:widowControl w:val="false"/>
        <w:ind w:firstLine="567" w:left="-567"/>
        <w:jc w:val="both"/>
        <w:rPr/>
      </w:pPr>
      <w:r>
        <w:rPr/>
        <w:t xml:space="preserve">Заявитель приобретает статус участника аукциона с момента подписания протокола </w:t>
      </w:r>
      <w:r>
        <w:rPr/>
        <w:br w:type="textWrapping" w:clear="all"/>
      </w:r>
      <w:r>
        <w:rPr/>
        <w:t>о признании претендентов участниками аукциона.</w:t>
      </w:r>
    </w:p>
    <w:p>
      <w:pPr>
        <w:pStyle w:val="Normal"/>
        <w:widowControl w:val="false"/>
        <w:ind w:firstLine="567" w:left="-567"/>
        <w:jc w:val="both"/>
        <w:rPr/>
      </w:pPr>
      <w:r>
        <w:rPr/>
        <w:t xml:space="preserve">Не позднее следующего рабочего дня после дня подписания протокола о признании претендентов участниками всем претендентам, подавшим заявки, оператором электронной площадки направляется в личные кабинеты претендентов уведомления о признании их участниками аукциона или об отказе в признании участниками аукциона с указанием оснований отказа. </w:t>
      </w:r>
    </w:p>
    <w:p>
      <w:pPr>
        <w:pStyle w:val="Normal"/>
        <w:widowControl w:val="false"/>
        <w:spacing w:lineRule="auto" w:line="276"/>
        <w:ind w:firstLine="567" w:left="-567"/>
        <w:jc w:val="both"/>
        <w:rPr/>
      </w:pPr>
      <w:r>
        <w:rPr/>
      </w:r>
    </w:p>
    <w:p>
      <w:pPr>
        <w:pStyle w:val="Normal"/>
        <w:jc w:val="center"/>
        <w:rPr>
          <w:rFonts w:eastAsia="Courier New"/>
          <w:b/>
          <w:bCs/>
          <w:lang w:bidi="ru-RU"/>
        </w:rPr>
      </w:pPr>
      <w:r>
        <w:rPr>
          <w:b/>
          <w:bCs/>
        </w:rPr>
        <w:t>Порядок проведения аукциона</w:t>
      </w:r>
    </w:p>
    <w:p>
      <w:pPr>
        <w:pStyle w:val="Normal"/>
        <w:widowControl w:val="false"/>
        <w:ind w:left="502"/>
        <w:jc w:val="center"/>
        <w:rPr>
          <w:rFonts w:eastAsia="Courier New"/>
          <w:b/>
          <w:bCs/>
          <w:lang w:bidi="ru-RU"/>
        </w:rPr>
      </w:pPr>
      <w:r>
        <w:rPr>
          <w:rFonts w:eastAsia="Courier New"/>
          <w:b/>
          <w:bCs/>
          <w:lang w:bidi="ru-RU"/>
        </w:rPr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>Торговая сессия проводится путем последовательного повышения участниками аукциона начальной цены аукциона на величину, равную величине «шага аукциона».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>«Шаг аукциона» устанавливается Организатором аукциона в фиксированной сумме, составляющей 3% начальной цены аукциона, и не изменяется в течение всего времени подачи предложений о цене.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>В ходе проведения аукциона участники аукциона подают предложения о цене предмета аукциона в соответствии со следующими требованиями: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 xml:space="preserve">1) предложение о цене предмета аукциона увеличивает текущее максимальное предложение </w:t>
      </w:r>
      <w:r>
        <w:rPr>
          <w:rFonts w:eastAsia="Calibri"/>
        </w:rPr>
        <w:br w:type="textWrapping" w:clear="all"/>
      </w:r>
      <w:r>
        <w:rPr>
          <w:rFonts w:eastAsia="Calibri"/>
        </w:rPr>
        <w:t>о цене предмета аукциона на величину «шага аукциона»;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>2) участник аукциона не вправе подать предложение о цене предмета аукциона в случае, если текущее максимальное предложение о цене предмета аукциона подано таким участником аукциона.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>Время для подачи предложений о цене аукциона определяется в следующем порядке: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 xml:space="preserve">Время ожидания предложения участника аукциона о цене предмета аукциона составляет </w:t>
      </w:r>
      <w:r>
        <w:rPr>
          <w:rFonts w:eastAsia="Calibri"/>
        </w:rPr>
        <w:br w:type="textWrapping" w:clear="all"/>
      </w:r>
      <w:r>
        <w:rPr>
          <w:rFonts w:eastAsia="Calibri"/>
        </w:rPr>
        <w:t xml:space="preserve">10 (десять) минут. При поступлении предложения участника аукциона </w:t>
        <w:br/>
        <w:t>о повышении цены предмета аукциона время, оставшееся до истечения указанного срока, обновляется до десяти минут. Если в течение указанного времени ни одного предложения о более высокой цене предмета аукциона не поступило, аукцион завершается.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 xml:space="preserve">Срок для подачи предложений о цене обновляется автоматически после улучшения текущего предложения о цене. Время срока подачи предложений отсчитывается с момента подачи последнего (лучшего) предложения (или с начала подачи предложений о цене), отображается в закрытой части электронной площадки как расчетное время окончания торгов, </w:t>
        <w:br/>
        <w:t>а так же как время, оставшееся до окончания торгов в минутах.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 xml:space="preserve">В ходе проведения подачи предложений о цене аукциона Оператор программными средствами электронной площадки обеспечивает отклонение предложения о цене аукциона </w:t>
      </w:r>
      <w:r>
        <w:rPr>
          <w:rFonts w:eastAsia="Calibri"/>
        </w:rPr>
        <w:br w:type="textWrapping" w:clear="all"/>
      </w:r>
      <w:r>
        <w:rPr>
          <w:rFonts w:eastAsia="Calibri"/>
        </w:rPr>
        <w:t>в момент его поступления и соответствующее уведомление участника аукциона, в случаях, если: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>- предложение о цене аукциона предоставлено до начала или по истечении установленного времени для подачи предложений о цене аукциона;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>- представленное предложение о цене аукциона ниже начальной цены;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>- представленное предложение о цене аукциона равно нулю;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>- представленное предложение о цене аукциона не соответствует увеличению текущей цены на величину «шага аукциона»;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>- предыдущее представленное данным участником аукциона предложение о цене аукциона является лучшим текущим предложением о цене;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>- представленное участником аукциона предложение о цене аукциона меньше ранее представленных предложений.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>В случае если при проведении процедуры подачи ценовых предложений были поданы равные ценовые предложения несколькими участниками аукциона, то лучшим признается ценовое предложение, поступившее ранее других ценовых предложений.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 xml:space="preserve">Победителем аукциона признается участник аукциона, предложивший наибольшую цену </w:t>
      </w:r>
      <w:r>
        <w:rPr>
          <w:rFonts w:eastAsia="Calibri"/>
        </w:rPr>
        <w:br w:type="textWrapping" w:clear="all"/>
      </w:r>
      <w:r>
        <w:rPr>
          <w:rFonts w:eastAsia="Calibri"/>
        </w:rPr>
        <w:t>за земельный участок или наибольший размер ежегодной арендной платы за земельный участок.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>Протокол проведения аукциона подписывается усиленной квалифицированной электронной подписью оператором электронной площадки и размещается им на электронной площадке в течение одного часа после окончания аукциона.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5076" w:leader="none"/>
        </w:tabs>
        <w:ind w:hanging="0" w:left="0"/>
        <w:jc w:val="center"/>
        <w:outlineLvl w:val="0"/>
        <w:rPr>
          <w:bCs/>
        </w:rPr>
      </w:pPr>
      <w:r>
        <w:rPr>
          <w:b/>
          <w:bCs/>
        </w:rPr>
        <w:t>Порядок и срок заключения договора</w:t>
      </w:r>
      <w:r>
        <w:rPr>
          <w:b/>
          <w:bCs/>
        </w:rPr>
        <w:br w:type="textWrapping" w:clear="all"/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5076" w:leader="none"/>
        </w:tabs>
        <w:ind w:firstLine="567" w:left="-567"/>
        <w:jc w:val="both"/>
        <w:outlineLvl w:val="0"/>
        <w:rPr>
          <w:bCs/>
        </w:rPr>
      </w:pPr>
      <w:r>
        <w:rPr>
          <w:bCs/>
        </w:rPr>
        <w:t>По результатам проведения аукциона не допускается заключение договора купли-продажи земельного участка, находящегося в государственной или муниципальной собственности, либо договора аренды такого участка ранее чем через десять дней со дня размещения протокола рассмотрения заявок на участие в аукционе в случае, если аукцион признан несостоявшимся, либо протокола о результатах аукциона на официальном сайте.</w:t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5076" w:leader="none"/>
        </w:tabs>
        <w:ind w:firstLine="567" w:left="-567"/>
        <w:jc w:val="both"/>
        <w:outlineLvl w:val="0"/>
        <w:rPr>
          <w:bCs/>
        </w:rPr>
      </w:pPr>
      <w:r>
        <w:rPr>
          <w:bCs/>
        </w:rPr>
        <w:t xml:space="preserve">Департамент земельных отношений администрации города Перми обязан в течение пяти дней со дня истечения срока, предусмотренного пунктом 11 статьи 39.13 Земельного Кодекса Российской Федерации, направить победителю аукциона или иным лицам, с которыми </w:t>
        <w:br/>
        <w:t xml:space="preserve">в соответствии с пунктами 13, 14, 20 и 25 статьи 39.12 Земельного Кодекса Российской Федерации заключается договор купли-продажи земельного участка, находящегося </w:t>
        <w:br/>
        <w:t xml:space="preserve">в государственной или муниципальной собственности, либо договор аренды такого участка, подписанный проект договора купли-продажи земельного участка, находящегося </w:t>
        <w:br/>
        <w:t>в государственной или муниципальной собственности, либо подписанный проект договора аренды такого участка.</w:t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5076" w:leader="none"/>
        </w:tabs>
        <w:ind w:firstLine="567" w:left="-567"/>
        <w:jc w:val="both"/>
        <w:outlineLvl w:val="0"/>
        <w:rPr>
          <w:bCs/>
        </w:rPr>
      </w:pPr>
      <w:r>
        <w:rPr>
          <w:bCs/>
        </w:rPr>
        <w:t>По результатам проведения аукциона договор купли-продажи земельного участка, находящегося в государственной или муниципальной собственности, либо договор аренды такого участка заключается в электронной форме и подписывается усиленной квалифицированной электронной подписью сторон такого договора.</w:t>
      </w:r>
    </w:p>
    <w:p>
      <w:pPr>
        <w:pStyle w:val="Normal"/>
        <w:ind w:firstLine="567" w:left="-567"/>
        <w:jc w:val="both"/>
        <w:rPr>
          <w:bCs/>
        </w:rPr>
      </w:pPr>
      <w:r>
        <w:rPr>
          <w:bCs/>
        </w:rPr>
        <w:t>Проекты договоров являются частью извещения и представлены в Приложениях 2-4  к настоящему извещению.</w:t>
        <w:tab/>
      </w:r>
    </w:p>
    <w:p>
      <w:pPr>
        <w:pStyle w:val="Normal"/>
        <w:ind w:firstLine="567" w:left="-567"/>
        <w:jc w:val="both"/>
        <w:rPr>
          <w:bCs/>
        </w:rPr>
      </w:pPr>
      <w:r>
        <w:rPr>
          <w:bCs/>
        </w:rPr>
        <w:t>Если договор купли-продажи или договор аренды земельного участка в течение тридцати дней со дня направления победителю аукциона проектов указанных договоров не были им подписаны и представлены в департамент земельных отношений администрации города Перми, организатор аукциона предлагает заключить указанные договоры иному участнику аукциона, который сделал предпоследнее предложение о цене предмета аукциона, по цене, предложенной победителем аукциона.</w:t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567" w:leader="none"/>
        </w:tabs>
        <w:ind w:firstLine="567" w:left="-567"/>
        <w:jc w:val="both"/>
        <w:outlineLvl w:val="0"/>
        <w:rPr>
          <w:rFonts w:eastAsia="Courier New"/>
          <w:lang w:bidi="ru-RU"/>
        </w:rPr>
      </w:pPr>
      <w:r>
        <w:rPr>
          <w:bCs/>
        </w:rPr>
        <w:tab/>
        <w:t>В случае, если в течение тридцати дней со дня направления участнику аукциона, который сделал предпоследнее предложение о цене предмета аукциона, проекта договора купли-продажи или проекта договора аренды земельного участка этот участник не представил в департамент земельных отношений администрации города Перми подписанные им договоры,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Федерации.</w:t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567" w:leader="none"/>
        </w:tabs>
        <w:ind w:firstLine="567" w:left="-567"/>
        <w:jc w:val="both"/>
        <w:outlineLvl w:val="0"/>
        <w:rPr>
          <w:rFonts w:eastAsia="Courier New"/>
          <w:lang w:bidi="ru-RU"/>
        </w:rPr>
      </w:pPr>
      <w:r>
        <w:rPr>
          <w:rFonts w:eastAsia="Courier New"/>
          <w:lang w:bidi="ru-RU"/>
        </w:rPr>
        <w:t xml:space="preserve">Сведения о победителях аукционов, уклонившихся от заключения договора купли-продажи или договора аренды земельного участка, являющегося предметом аукциона, и об иных лицах, </w:t>
        <w:br/>
        <w:t xml:space="preserve">с которыми указанные договоры заключаются в соответствии с пунктом 13, 14 или 20 </w:t>
        <w:br/>
        <w:t>ст. 39.12 Земельного Кодекса Российской Федерации и которые уклонились от их заключения, включаются в реестр недобросовестных участников аукциона.</w:t>
      </w:r>
    </w:p>
    <w:sectPr>
      <w:headerReference w:type="default" r:id="rId17"/>
      <w:headerReference w:type="first" r:id="rId18"/>
      <w:footerReference w:type="default" r:id="rId19"/>
      <w:type w:val="nextPage"/>
      <w:pgSz w:w="11906" w:h="16838"/>
      <w:pgMar w:left="1418" w:right="567" w:gutter="0" w:header="363" w:top="420" w:footer="0" w:bottom="1134"/>
      <w:pgNumType w:start="1"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empora LGC Uni"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Symbol">
    <w:charset w:val="01"/>
    <w:family w:val="roman"/>
    <w:pitch w:val="variable"/>
  </w:font>
  <w:font w:name="Courier New">
    <w:charset w:val="01"/>
    <w:family w:val="roman"/>
    <w:pitch w:val="variable"/>
  </w:font>
  <w:font w:name="Calibri Light">
    <w:charset w:val="01"/>
    <w:family w:val="roman"/>
    <w:pitch w:val="variable"/>
  </w:font>
  <w:font w:name="Open Sans">
    <w:charset w:val="01"/>
    <w:family w:val="roman"/>
    <w:pitch w:val="variable"/>
  </w:font>
  <w:font w:name="Consultant">
    <w:charset w:val="01"/>
    <w:family w:val="roman"/>
    <w:pitch w:val="variable"/>
  </w:font>
  <w:font w:name="Tahoma">
    <w:charset w:val="01"/>
    <w:family w:val="roman"/>
    <w:pitch w:val="variable"/>
  </w:font>
  <w:font w:name="Verdana">
    <w:charset w:val="01"/>
    <w:family w:val="roman"/>
    <w:pitch w:val="variable"/>
  </w:font>
  <w:font w:name="Calibri">
    <w:charset w:val="01"/>
    <w:family w:val="roman"/>
    <w:pitch w:val="variable"/>
  </w:font>
  <w:font w:name="Symbol">
    <w:charset w:val="02"/>
    <w:family w:val="auto"/>
    <w:pitch w:val="default"/>
  </w:font>
  <w:font w:name="Courier New">
    <w:charset w:val="01"/>
    <w:family w:val="modern"/>
    <w:pitch w:val="fixed"/>
  </w:font>
  <w:font w:name="Wingdings">
    <w:charset w:val="02"/>
    <w:family w:val="auto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>
        <w:sz w:val="20"/>
        <w:szCs w:val="28"/>
      </w:rPr>
    </w:pPr>
    <w:r>
      <w:rPr>
        <w:sz w:val="20"/>
        <w:szCs w:val="28"/>
      </w:rPr>
      <w:fldChar w:fldCharType="begin"/>
    </w:r>
    <w:r>
      <w:rPr>
        <w:sz w:val="20"/>
        <w:szCs w:val="28"/>
      </w:rPr>
      <w:instrText xml:space="preserve"> PAGE </w:instrText>
    </w:r>
    <w:r>
      <w:rPr>
        <w:sz w:val="20"/>
        <w:szCs w:val="28"/>
      </w:rPr>
      <w:fldChar w:fldCharType="separate"/>
    </w:r>
    <w:r>
      <w:rPr>
        <w:sz w:val="20"/>
        <w:szCs w:val="28"/>
      </w:rPr>
      <w:t>34</w:t>
    </w:r>
    <w:r>
      <w:rPr>
        <w:sz w:val="20"/>
        <w:szCs w:val="28"/>
      </w:rPr>
      <w:fldChar w:fldCharType="end"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Heading1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pStyle w:val="Heading6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Droid Sans Fallback" w:cs="Lohit Devanagari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Droid Sans Fallback" w:cs="Lohit Devanagari"/>
      <w:color w:val="auto"/>
      <w:kern w:val="0"/>
      <w:sz w:val="24"/>
      <w:szCs w:val="24"/>
      <w:lang w:val="ru-RU" w:eastAsia="zh-CN" w:bidi="ar-SA"/>
    </w:rPr>
  </w:style>
  <w:style w:type="paragraph" w:styleId="Heading1">
    <w:name w:val="Heading 1"/>
    <w:basedOn w:val="Normal"/>
    <w:qFormat/>
    <w:pPr>
      <w:keepNext w:val="true"/>
      <w:numPr>
        <w:ilvl w:val="0"/>
        <w:numId w:val="1"/>
      </w:numPr>
      <w:jc w:val="center"/>
      <w:outlineLvl w:val="0"/>
    </w:pPr>
    <w:rPr>
      <w:b/>
      <w:sz w:val="28"/>
      <w:szCs w:val="20"/>
    </w:rPr>
  </w:style>
  <w:style w:type="paragraph" w:styleId="Heading2">
    <w:name w:val="Heading 2"/>
    <w:basedOn w:val="Normal"/>
    <w:uiPriority w:val="9"/>
    <w:unhideWhenUsed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Heading3">
    <w:name w:val="Heading 3"/>
    <w:basedOn w:val="Normal"/>
    <w:uiPriority w:val="9"/>
    <w:unhideWhenUsed/>
    <w:qFormat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Heading4">
    <w:name w:val="Heading 4"/>
    <w:basedOn w:val="Normal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Heading5">
    <w:name w:val="Heading 5"/>
    <w:basedOn w:val="Normal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</w:rPr>
  </w:style>
  <w:style w:type="paragraph" w:styleId="Heading6">
    <w:name w:val="Heading 6"/>
    <w:basedOn w:val="Normal"/>
    <w:qFormat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Heading8">
    <w:name w:val="Heading 8"/>
    <w:basedOn w:val="Normal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Heading9">
    <w:name w:val="Heading 9"/>
    <w:basedOn w:val="Normal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 w:customStyle="1">
    <w:name w:val="Heading 1 Char"/>
    <w:basedOn w:val="DefaultParagraphFont"/>
    <w:uiPriority w:val="9"/>
    <w:qFormat/>
    <w:rPr>
      <w:rFonts w:ascii="Arial" w:hAnsi="Arial" w:eastAsia="Arial" w:cs="Arial"/>
      <w:sz w:val="40"/>
      <w:szCs w:val="40"/>
    </w:rPr>
  </w:style>
  <w:style w:type="character" w:styleId="Heading2Char" w:customStyle="1">
    <w:name w:val="Heading 2 Char"/>
    <w:basedOn w:val="DefaultParagraphFont"/>
    <w:uiPriority w:val="9"/>
    <w:qFormat/>
    <w:rPr>
      <w:rFonts w:ascii="Arial" w:hAnsi="Arial" w:eastAsia="Arial" w:cs="Arial"/>
      <w:sz w:val="34"/>
    </w:rPr>
  </w:style>
  <w:style w:type="character" w:styleId="Heading3Char" w:customStyle="1">
    <w:name w:val="Heading 3 Char"/>
    <w:basedOn w:val="DefaultParagraphFont"/>
    <w:uiPriority w:val="9"/>
    <w:qFormat/>
    <w:rPr>
      <w:rFonts w:ascii="Arial" w:hAnsi="Arial" w:eastAsia="Arial" w:cs="Arial"/>
      <w:sz w:val="30"/>
      <w:szCs w:val="30"/>
    </w:rPr>
  </w:style>
  <w:style w:type="character" w:styleId="Heading4Char" w:customStyle="1">
    <w:name w:val="Heading 4 Char"/>
    <w:basedOn w:val="DefaultParagraphFont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 w:customStyle="1">
    <w:name w:val="Heading 5 Char"/>
    <w:basedOn w:val="DefaultParagraphFont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 w:customStyle="1">
    <w:name w:val="Heading 6 Char"/>
    <w:basedOn w:val="DefaultParagraphFont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 w:customStyle="1">
    <w:name w:val="Heading 7 Char"/>
    <w:basedOn w:val="DefaultParagraphFont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 w:customStyle="1">
    <w:name w:val="Heading 8 Char"/>
    <w:basedOn w:val="DefaultParagraphFont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 w:customStyle="1">
    <w:name w:val="Heading 9 Char"/>
    <w:basedOn w:val="DefaultParagraphFont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 w:customStyle="1">
    <w:name w:val="Title Char"/>
    <w:basedOn w:val="DefaultParagraphFont"/>
    <w:uiPriority w:val="10"/>
    <w:qFormat/>
    <w:rPr>
      <w:sz w:val="48"/>
      <w:szCs w:val="48"/>
    </w:rPr>
  </w:style>
  <w:style w:type="character" w:styleId="SubtitleChar" w:customStyle="1">
    <w:name w:val="Subtitle Char"/>
    <w:basedOn w:val="DefaultParagraphFont"/>
    <w:uiPriority w:val="11"/>
    <w:qFormat/>
    <w:rPr>
      <w:sz w:val="24"/>
      <w:szCs w:val="24"/>
    </w:rPr>
  </w:style>
  <w:style w:type="character" w:styleId="QuoteChar" w:customStyle="1">
    <w:name w:val="Quote Char"/>
    <w:uiPriority w:val="29"/>
    <w:qFormat/>
    <w:rPr>
      <w:i/>
    </w:rPr>
  </w:style>
  <w:style w:type="character" w:styleId="IntenseQuoteChar" w:customStyle="1">
    <w:name w:val="Intense Quote Char"/>
    <w:uiPriority w:val="30"/>
    <w:qFormat/>
    <w:rPr>
      <w:i/>
    </w:rPr>
  </w:style>
  <w:style w:type="character" w:styleId="HeaderChar" w:customStyle="1">
    <w:name w:val="Header Char"/>
    <w:basedOn w:val="DefaultParagraphFont"/>
    <w:uiPriority w:val="99"/>
    <w:qFormat/>
    <w:rPr/>
  </w:style>
  <w:style w:type="character" w:styleId="CaptionChar" w:customStyle="1">
    <w:name w:val="Caption Char"/>
    <w:uiPriority w:val="99"/>
    <w:qFormat/>
    <w:rPr/>
  </w:style>
  <w:style w:type="character" w:styleId="FootnoteTextChar" w:customStyle="1">
    <w:name w:val="Footnote Text Char"/>
    <w:uiPriority w:val="99"/>
    <w:qFormat/>
    <w:rPr>
      <w:sz w:val="18"/>
    </w:rPr>
  </w:style>
  <w:style w:type="character" w:styleId="EndnoteTextChar" w:customStyle="1">
    <w:name w:val="Endnote Text Char"/>
    <w:uiPriority w:val="99"/>
    <w:qFormat/>
    <w:rPr>
      <w:sz w:val="20"/>
    </w:rPr>
  </w:style>
  <w:style w:type="character" w:styleId="1" w:customStyle="1">
    <w:name w:val="Заголовок 1 Знак"/>
    <w:uiPriority w:val="9"/>
    <w:qFormat/>
    <w:rPr>
      <w:rFonts w:ascii="Arial" w:hAnsi="Arial" w:eastAsia="Arial" w:cs="Arial"/>
      <w:sz w:val="40"/>
      <w:szCs w:val="40"/>
    </w:rPr>
  </w:style>
  <w:style w:type="character" w:styleId="2" w:customStyle="1">
    <w:name w:val="Заголовок 2 Знак"/>
    <w:uiPriority w:val="9"/>
    <w:qFormat/>
    <w:rPr>
      <w:rFonts w:ascii="Arial" w:hAnsi="Arial" w:eastAsia="Arial" w:cs="Arial"/>
      <w:sz w:val="34"/>
    </w:rPr>
  </w:style>
  <w:style w:type="character" w:styleId="3" w:customStyle="1">
    <w:name w:val="Заголовок 3 Знак"/>
    <w:uiPriority w:val="9"/>
    <w:qFormat/>
    <w:rPr>
      <w:rFonts w:ascii="Arial" w:hAnsi="Arial" w:eastAsia="Arial" w:cs="Arial"/>
      <w:sz w:val="30"/>
      <w:szCs w:val="30"/>
    </w:rPr>
  </w:style>
  <w:style w:type="character" w:styleId="4" w:customStyle="1">
    <w:name w:val="Заголовок 4 Знак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5" w:customStyle="1">
    <w:name w:val="Заголовок 5 Знак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61" w:customStyle="1">
    <w:name w:val="Заголовок 6 Знак1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7" w:customStyle="1">
    <w:name w:val="Заголовок 7 Знак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8" w:customStyle="1">
    <w:name w:val="Заголовок 8 Знак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9" w:customStyle="1">
    <w:name w:val="Заголовок 9 Знак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11" w:customStyle="1">
    <w:name w:val="Заголовок Знак1"/>
    <w:uiPriority w:val="10"/>
    <w:qFormat/>
    <w:rPr>
      <w:sz w:val="48"/>
      <w:szCs w:val="48"/>
    </w:rPr>
  </w:style>
  <w:style w:type="character" w:styleId="Style5" w:customStyle="1">
    <w:name w:val="Подзаголовок Знак"/>
    <w:uiPriority w:val="11"/>
    <w:qFormat/>
    <w:rPr>
      <w:sz w:val="24"/>
      <w:szCs w:val="24"/>
    </w:rPr>
  </w:style>
  <w:style w:type="character" w:styleId="21" w:customStyle="1">
    <w:name w:val="Цитата 2 Знак"/>
    <w:uiPriority w:val="29"/>
    <w:qFormat/>
    <w:rPr>
      <w:i/>
    </w:rPr>
  </w:style>
  <w:style w:type="character" w:styleId="Style6" w:customStyle="1">
    <w:name w:val="Выделенная цитата Знак"/>
    <w:uiPriority w:val="30"/>
    <w:qFormat/>
    <w:rPr>
      <w:i/>
    </w:rPr>
  </w:style>
  <w:style w:type="character" w:styleId="12" w:customStyle="1">
    <w:name w:val="Верхний колонтитул Знак1"/>
    <w:uiPriority w:val="99"/>
    <w:qFormat/>
    <w:rPr/>
  </w:style>
  <w:style w:type="character" w:styleId="FooterChar" w:customStyle="1">
    <w:name w:val="Footer Char"/>
    <w:uiPriority w:val="99"/>
    <w:qFormat/>
    <w:rPr/>
  </w:style>
  <w:style w:type="character" w:styleId="13" w:customStyle="1">
    <w:name w:val="Нижний колонтитул Знак1"/>
    <w:uiPriority w:val="99"/>
    <w:qFormat/>
    <w:rPr/>
  </w:style>
  <w:style w:type="character" w:styleId="Style7" w:customStyle="1">
    <w:name w:val="Текст сноски Знак"/>
    <w:uiPriority w:val="99"/>
    <w:qFormat/>
    <w:rPr>
      <w:sz w:val="18"/>
    </w:rPr>
  </w:style>
  <w:style w:type="character" w:styleId="Style8" w:customStyle="1">
    <w:name w:val="Символ сноски"/>
    <w:uiPriority w:val="99"/>
    <w:unhideWhenUsed/>
    <w:qFormat/>
    <w:rPr>
      <w:vertAlign w:val="superscript"/>
    </w:rPr>
  </w:style>
  <w:style w:type="character" w:styleId="FootnoteReference">
    <w:name w:val="Footnote Reference"/>
    <w:rPr>
      <w:vertAlign w:val="superscript"/>
    </w:rPr>
  </w:style>
  <w:style w:type="character" w:styleId="Style9" w:customStyle="1">
    <w:name w:val="Текст концевой сноски Знак"/>
    <w:uiPriority w:val="99"/>
    <w:qFormat/>
    <w:rPr>
      <w:sz w:val="20"/>
    </w:rPr>
  </w:style>
  <w:style w:type="character" w:styleId="Style10" w:customStyle="1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WW8Num2z0" w:customStyle="1">
    <w:name w:val="WW8Num2z0"/>
    <w:qFormat/>
    <w:rPr>
      <w:rFonts w:ascii="Symbol" w:hAnsi="Symbol" w:cs="Symbol"/>
    </w:rPr>
  </w:style>
  <w:style w:type="character" w:styleId="WW8Num3z0" w:customStyle="1">
    <w:name w:val="WW8Num3z0"/>
    <w:qFormat/>
    <w:rPr/>
  </w:style>
  <w:style w:type="character" w:styleId="WW8Num4z0" w:customStyle="1">
    <w:name w:val="WW8Num4z0"/>
    <w:qFormat/>
    <w:rPr/>
  </w:style>
  <w:style w:type="character" w:styleId="WW8Num5z0" w:customStyle="1">
    <w:name w:val="WW8Num5z0"/>
    <w:qFormat/>
    <w:rPr>
      <w:sz w:val="16"/>
      <w:szCs w:val="16"/>
    </w:rPr>
  </w:style>
  <w:style w:type="character" w:styleId="WW8Num6z0" w:customStyle="1">
    <w:name w:val="WW8Num6z0"/>
    <w:qFormat/>
    <w:rPr/>
  </w:style>
  <w:style w:type="character" w:styleId="WW8Num7z0" w:customStyle="1">
    <w:name w:val="WW8Num7z0"/>
    <w:qFormat/>
    <w:rPr/>
  </w:style>
  <w:style w:type="character" w:styleId="WW8Num8z0" w:customStyle="1">
    <w:name w:val="WW8Num8z0"/>
    <w:qFormat/>
    <w:rPr/>
  </w:style>
  <w:style w:type="character" w:styleId="WW8Num9z0" w:customStyle="1">
    <w:name w:val="WW8Num9z0"/>
    <w:qFormat/>
    <w:rPr/>
  </w:style>
  <w:style w:type="character" w:styleId="WW8Num10z0" w:customStyle="1">
    <w:name w:val="WW8Num10z0"/>
    <w:qFormat/>
    <w:rPr/>
  </w:style>
  <w:style w:type="character" w:styleId="WW8Num11z0" w:customStyle="1">
    <w:name w:val="WW8Num11z0"/>
    <w:qFormat/>
    <w:rPr/>
  </w:style>
  <w:style w:type="character" w:styleId="WW8Num12z0" w:customStyle="1">
    <w:name w:val="WW8Num12z0"/>
    <w:qFormat/>
    <w:rPr/>
  </w:style>
  <w:style w:type="character" w:styleId="WW8Num13z0" w:customStyle="1">
    <w:name w:val="WW8Num13z0"/>
    <w:qFormat/>
    <w:rPr/>
  </w:style>
  <w:style w:type="character" w:styleId="WW8Num14z0" w:customStyle="1">
    <w:name w:val="WW8Num14z0"/>
    <w:qFormat/>
    <w:rPr/>
  </w:style>
  <w:style w:type="character" w:styleId="WW8Num15z0" w:customStyle="1">
    <w:name w:val="WW8Num15z0"/>
    <w:qFormat/>
    <w:rPr/>
  </w:style>
  <w:style w:type="character" w:styleId="WW8Num18z0" w:customStyle="1">
    <w:name w:val="WW8Num18z0"/>
    <w:qFormat/>
    <w:rPr/>
  </w:style>
  <w:style w:type="character" w:styleId="WW8Num19z0" w:customStyle="1">
    <w:name w:val="WW8Num19z0"/>
    <w:qFormat/>
    <w:rPr/>
  </w:style>
  <w:style w:type="character" w:styleId="WW8Num20z0" w:customStyle="1">
    <w:name w:val="WW8Num20z0"/>
    <w:qFormat/>
    <w:rPr/>
  </w:style>
  <w:style w:type="character" w:styleId="WW8Num21z0" w:customStyle="1">
    <w:name w:val="WW8Num21z0"/>
    <w:qFormat/>
    <w:rPr/>
  </w:style>
  <w:style w:type="character" w:styleId="WW8Num22z0" w:customStyle="1">
    <w:name w:val="WW8Num22z0"/>
    <w:qFormat/>
    <w:rPr/>
  </w:style>
  <w:style w:type="character" w:styleId="WW8Num23z0" w:customStyle="1">
    <w:name w:val="WW8Num23z0"/>
    <w:qFormat/>
    <w:rPr/>
  </w:style>
  <w:style w:type="character" w:styleId="WW8Num25z0" w:customStyle="1">
    <w:name w:val="WW8Num25z0"/>
    <w:qFormat/>
    <w:rPr/>
  </w:style>
  <w:style w:type="character" w:styleId="WW8Num26z0" w:customStyle="1">
    <w:name w:val="WW8Num26z0"/>
    <w:qFormat/>
    <w:rPr/>
  </w:style>
  <w:style w:type="character" w:styleId="WW8Num27z0" w:customStyle="1">
    <w:name w:val="WW8Num27z0"/>
    <w:qFormat/>
    <w:rPr/>
  </w:style>
  <w:style w:type="character" w:styleId="WW8Num29z0" w:customStyle="1">
    <w:name w:val="WW8Num29z0"/>
    <w:qFormat/>
    <w:rPr>
      <w:rFonts w:ascii="Symbol" w:hAnsi="Symbol" w:cs="Symbol"/>
    </w:rPr>
  </w:style>
  <w:style w:type="character" w:styleId="WW8Num30z0" w:customStyle="1">
    <w:name w:val="WW8Num30z0"/>
    <w:qFormat/>
    <w:rPr/>
  </w:style>
  <w:style w:type="character" w:styleId="WW8Num31z0" w:customStyle="1">
    <w:name w:val="WW8Num31z0"/>
    <w:qFormat/>
    <w:rPr/>
  </w:style>
  <w:style w:type="character" w:styleId="WW8Num32z0" w:customStyle="1">
    <w:name w:val="WW8Num32z0"/>
    <w:qFormat/>
    <w:rPr/>
  </w:style>
  <w:style w:type="character" w:styleId="WW8Num33z0" w:customStyle="1">
    <w:name w:val="WW8Num33z0"/>
    <w:qFormat/>
    <w:rPr/>
  </w:style>
  <w:style w:type="character" w:styleId="WW8Num34z0" w:customStyle="1">
    <w:name w:val="WW8Num34z0"/>
    <w:qFormat/>
    <w:rPr/>
  </w:style>
  <w:style w:type="character" w:styleId="Pagenumber">
    <w:name w:val="page number"/>
    <w:basedOn w:val="DefaultParagraphFont"/>
    <w:qFormat/>
    <w:rPr/>
  </w:style>
  <w:style w:type="character" w:styleId="Style11" w:customStyle="1">
    <w:name w:val="Текст Знак"/>
    <w:qFormat/>
    <w:rPr>
      <w:rFonts w:ascii="Courier New" w:hAnsi="Courier New" w:cs="Courier New"/>
    </w:rPr>
  </w:style>
  <w:style w:type="character" w:styleId="Style12" w:customStyle="1">
    <w:name w:val="Верхний колонтитул Знак"/>
    <w:qFormat/>
    <w:rPr>
      <w:sz w:val="16"/>
      <w:lang w:val="ru-RU" w:bidi="ar-SA"/>
    </w:rPr>
  </w:style>
  <w:style w:type="character" w:styleId="31" w:customStyle="1">
    <w:name w:val="Основной текст с отступом 3 Знак"/>
    <w:qFormat/>
    <w:rPr>
      <w:sz w:val="16"/>
      <w:szCs w:val="16"/>
    </w:rPr>
  </w:style>
  <w:style w:type="character" w:styleId="Hyperlink">
    <w:name w:val="Hyperlink"/>
    <w:rPr>
      <w:color w:val="0563C1"/>
      <w:u w:val="single"/>
    </w:rPr>
  </w:style>
  <w:style w:type="character" w:styleId="Style13" w:customStyle="1">
    <w:name w:val="Абзац списка Знак"/>
    <w:qFormat/>
    <w:rPr>
      <w:sz w:val="24"/>
      <w:szCs w:val="24"/>
    </w:rPr>
  </w:style>
  <w:style w:type="character" w:styleId="6" w:customStyle="1">
    <w:name w:val="Заголовок 6 Знак"/>
    <w:qFormat/>
    <w:rPr>
      <w:b/>
      <w:bCs/>
      <w:sz w:val="22"/>
      <w:szCs w:val="22"/>
    </w:rPr>
  </w:style>
  <w:style w:type="character" w:styleId="Style14" w:customStyle="1">
    <w:name w:val="Название Знак"/>
    <w:qFormat/>
    <w:rPr>
      <w:sz w:val="28"/>
      <w:lang w:val="ru-RU" w:bidi="ar-SA"/>
    </w:rPr>
  </w:style>
  <w:style w:type="character" w:styleId="Style15" w:customStyle="1">
    <w:name w:val="Заголовок Знак"/>
    <w:qFormat/>
    <w:rPr>
      <w:rFonts w:ascii="Calibri Light" w:hAnsi="Calibri Light" w:eastAsia="Times New Roman" w:cs="Times New Roman"/>
      <w:b/>
      <w:bCs/>
      <w:sz w:val="32"/>
      <w:szCs w:val="32"/>
    </w:rPr>
  </w:style>
  <w:style w:type="character" w:styleId="Style16" w:customStyle="1">
    <w:name w:val="Нижний колонтитул Знак"/>
    <w:qFormat/>
    <w:rPr/>
  </w:style>
  <w:style w:type="character" w:styleId="FollowedHyperlink">
    <w:name w:val="FollowedHyperlink"/>
    <w:rPr>
      <w:color w:val="954F72"/>
      <w:u w:val="single"/>
    </w:rPr>
  </w:style>
  <w:style w:type="character" w:styleId="14" w:customStyle="1">
    <w:name w:val="Гиперссылка1"/>
    <w:qFormat/>
    <w:rPr>
      <w:color w:val="0000FF"/>
      <w:u w:val="single"/>
    </w:rPr>
  </w:style>
  <w:style w:type="character" w:styleId="Style17">
    <w:name w:val="Символ нумерации"/>
    <w:qFormat/>
    <w:rPr/>
  </w:style>
  <w:style w:type="paragraph" w:styleId="Style18" w:customStyle="1">
    <w:name w:val="Заголовок"/>
    <w:basedOn w:val="Normal"/>
    <w:next w:val="BodyText"/>
    <w:qFormat/>
    <w:pPr>
      <w:keepNext w:val="true"/>
      <w:spacing w:before="240" w:after="120"/>
    </w:pPr>
    <w:rPr>
      <w:rFonts w:ascii="Open Sans" w:hAnsi="Open Sans"/>
      <w:sz w:val="28"/>
      <w:szCs w:val="28"/>
    </w:rPr>
  </w:style>
  <w:style w:type="paragraph" w:styleId="BodyText">
    <w:name w:val="Body Text"/>
    <w:basedOn w:val="Normal"/>
    <w:pPr>
      <w:jc w:val="right"/>
    </w:pPr>
    <w:rPr>
      <w:sz w:val="28"/>
    </w:rPr>
  </w:style>
  <w:style w:type="paragraph" w:styleId="List">
    <w:name w:val="List"/>
    <w:basedOn w:val="BodyText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Lohit Devanagari"/>
    </w:rPr>
  </w:style>
  <w:style w:type="paragraph" w:styleId="Caption1">
    <w:name w:val="caption1"/>
    <w:basedOn w:val="Normal"/>
    <w:qFormat/>
    <w:pPr>
      <w:suppressLineNumbers/>
      <w:spacing w:before="120" w:after="120"/>
    </w:pPr>
    <w:rPr>
      <w:i/>
      <w:iCs/>
    </w:rPr>
  </w:style>
  <w:style w:type="paragraph" w:styleId="Indexheading1">
    <w:name w:val="index heading1"/>
    <w:basedOn w:val="Style18"/>
    <w:qFormat/>
    <w:pPr/>
    <w:rPr/>
  </w:style>
  <w:style w:type="paragraph" w:styleId="ListParagraph">
    <w:name w:val="List Paragraph"/>
    <w:basedOn w:val="Normal"/>
    <w:qFormat/>
    <w:pPr>
      <w:ind w:left="708"/>
    </w:pPr>
    <w:rPr/>
  </w:style>
  <w:style w:type="paragraph" w:styleId="NoSpacing">
    <w:name w:val="No Spacing"/>
    <w:uiPriority w:val="1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Droid Sans Fallback" w:cs="Lohit Devanagari"/>
      <w:color w:val="auto"/>
      <w:kern w:val="0"/>
      <w:sz w:val="20"/>
      <w:szCs w:val="20"/>
      <w:lang w:val="ru-RU" w:eastAsia="ru-RU" w:bidi="ar-SA"/>
    </w:rPr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Calibri Light" w:hAnsi="Calibri Light"/>
      <w:b/>
      <w:bCs/>
      <w:sz w:val="32"/>
      <w:szCs w:val="32"/>
    </w:rPr>
  </w:style>
  <w:style w:type="paragraph" w:styleId="Subtitle">
    <w:name w:val="Subtitle"/>
    <w:basedOn w:val="Normal"/>
    <w:uiPriority w:val="11"/>
    <w:qFormat/>
    <w:pPr>
      <w:spacing w:before="200" w:after="200"/>
    </w:pPr>
    <w:rPr/>
  </w:style>
  <w:style w:type="paragraph" w:styleId="Quote">
    <w:name w:val="Quote"/>
    <w:basedOn w:val="Normal"/>
    <w:uiPriority w:val="29"/>
    <w:qFormat/>
    <w:pPr>
      <w:ind w:left="720" w:right="720"/>
    </w:pPr>
    <w:rPr>
      <w:i/>
    </w:rPr>
  </w:style>
  <w:style w:type="paragraph" w:styleId="IntenseQuote">
    <w:name w:val="Intense Quote"/>
    <w:basedOn w:val="Normal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styleId="FootnoteText">
    <w:name w:val="Footnote Text"/>
    <w:basedOn w:val="Normal"/>
    <w:uiPriority w:val="99"/>
    <w:semiHidden/>
    <w:unhideWhenUsed/>
    <w:pPr>
      <w:spacing w:before="0" w:after="40"/>
    </w:pPr>
    <w:rPr>
      <w:sz w:val="18"/>
    </w:rPr>
  </w:style>
  <w:style w:type="paragraph" w:styleId="EndnoteText">
    <w:name w:val="Endnote Text"/>
    <w:basedOn w:val="Normal"/>
    <w:uiPriority w:val="99"/>
    <w:semiHidden/>
    <w:unhideWhenUsed/>
    <w:pPr/>
    <w:rPr>
      <w:sz w:val="20"/>
    </w:rPr>
  </w:style>
  <w:style w:type="paragraph" w:styleId="TOC1">
    <w:name w:val="TOC 1"/>
    <w:basedOn w:val="Normal"/>
    <w:uiPriority w:val="39"/>
    <w:unhideWhenUsed/>
    <w:pPr>
      <w:spacing w:before="0" w:after="57"/>
    </w:pPr>
    <w:rPr/>
  </w:style>
  <w:style w:type="paragraph" w:styleId="TOC2">
    <w:name w:val="TOC 2"/>
    <w:basedOn w:val="Normal"/>
    <w:uiPriority w:val="39"/>
    <w:unhideWhenUsed/>
    <w:pPr>
      <w:spacing w:before="0" w:after="57"/>
      <w:ind w:left="283"/>
    </w:pPr>
    <w:rPr/>
  </w:style>
  <w:style w:type="paragraph" w:styleId="TOC3">
    <w:name w:val="TOC 3"/>
    <w:basedOn w:val="Normal"/>
    <w:uiPriority w:val="39"/>
    <w:unhideWhenUsed/>
    <w:pPr>
      <w:spacing w:before="0" w:after="57"/>
      <w:ind w:left="567"/>
    </w:pPr>
    <w:rPr/>
  </w:style>
  <w:style w:type="paragraph" w:styleId="TOC4">
    <w:name w:val="TOC 4"/>
    <w:basedOn w:val="Normal"/>
    <w:uiPriority w:val="39"/>
    <w:unhideWhenUsed/>
    <w:pPr>
      <w:spacing w:before="0" w:after="57"/>
      <w:ind w:left="850"/>
    </w:pPr>
    <w:rPr/>
  </w:style>
  <w:style w:type="paragraph" w:styleId="TOC5">
    <w:name w:val="TOC 5"/>
    <w:basedOn w:val="Normal"/>
    <w:uiPriority w:val="39"/>
    <w:unhideWhenUsed/>
    <w:pPr>
      <w:spacing w:before="0" w:after="57"/>
      <w:ind w:left="1134"/>
    </w:pPr>
    <w:rPr/>
  </w:style>
  <w:style w:type="paragraph" w:styleId="TOC6">
    <w:name w:val="TOC 6"/>
    <w:basedOn w:val="Normal"/>
    <w:uiPriority w:val="39"/>
    <w:unhideWhenUsed/>
    <w:pPr>
      <w:spacing w:before="0" w:after="57"/>
      <w:ind w:left="1417"/>
    </w:pPr>
    <w:rPr/>
  </w:style>
  <w:style w:type="paragraph" w:styleId="TOC7">
    <w:name w:val="TOC 7"/>
    <w:basedOn w:val="Normal"/>
    <w:uiPriority w:val="39"/>
    <w:unhideWhenUsed/>
    <w:pPr>
      <w:spacing w:before="0" w:after="57"/>
      <w:ind w:left="1701"/>
    </w:pPr>
    <w:rPr/>
  </w:style>
  <w:style w:type="paragraph" w:styleId="TOC8">
    <w:name w:val="TOC 8"/>
    <w:basedOn w:val="Normal"/>
    <w:uiPriority w:val="39"/>
    <w:unhideWhenUsed/>
    <w:pPr>
      <w:spacing w:before="0" w:after="57"/>
      <w:ind w:left="1984"/>
    </w:pPr>
    <w:rPr/>
  </w:style>
  <w:style w:type="paragraph" w:styleId="TOC9">
    <w:name w:val="TOC 9"/>
    <w:basedOn w:val="Normal"/>
    <w:uiPriority w:val="39"/>
    <w:unhideWhenUsed/>
    <w:pPr>
      <w:spacing w:before="0" w:after="57"/>
      <w:ind w:left="2268"/>
    </w:pPr>
    <w:rPr/>
  </w:style>
  <w:style w:type="paragraph" w:styleId="IndexHeading">
    <w:name w:val="Index Heading"/>
    <w:basedOn w:val="Style18"/>
    <w:pPr/>
    <w:rPr/>
  </w:style>
  <w:style w:type="paragraph" w:styleId="TOCHeading">
    <w:name w:val="TOC Heading"/>
    <w:uiPriority w:val="39"/>
    <w:unhideWhenUsed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Droid Sans Fallback" w:cs="Lohit Devanagari"/>
      <w:color w:val="auto"/>
      <w:kern w:val="0"/>
      <w:sz w:val="20"/>
      <w:szCs w:val="20"/>
      <w:lang w:val="ru-RU" w:eastAsia="ru-RU" w:bidi="ar-SA"/>
    </w:rPr>
  </w:style>
  <w:style w:type="paragraph" w:styleId="TableofFigures">
    <w:name w:val="Table of Figures"/>
    <w:basedOn w:val="Normal"/>
    <w:uiPriority w:val="99"/>
    <w:unhideWhenUsed/>
    <w:pPr/>
    <w:rPr/>
  </w:style>
  <w:style w:type="paragraph" w:styleId="Indexheading11" w:customStyle="1">
    <w:name w:val="index heading11"/>
    <w:basedOn w:val="Normal"/>
    <w:qFormat/>
    <w:pPr>
      <w:suppressLineNumbers/>
    </w:pPr>
    <w:rPr/>
  </w:style>
  <w:style w:type="paragraph" w:styleId="Caption11" w:customStyle="1">
    <w:name w:val="Caption11"/>
    <w:basedOn w:val="Normal"/>
    <w:qFormat/>
    <w:pPr>
      <w:suppressLineNumbers/>
      <w:spacing w:before="120" w:after="120"/>
    </w:pPr>
    <w:rPr>
      <w:i/>
      <w:iCs/>
    </w:rPr>
  </w:style>
  <w:style w:type="paragraph" w:styleId="PlainText">
    <w:name w:val="Plain Text"/>
    <w:basedOn w:val="Normal"/>
    <w:qFormat/>
    <w:pPr/>
    <w:rPr>
      <w:rFonts w:ascii="Courier New" w:hAnsi="Courier New" w:cs="Courier New"/>
      <w:sz w:val="20"/>
      <w:szCs w:val="20"/>
      <w:lang w:val="en-US"/>
    </w:rPr>
  </w:style>
  <w:style w:type="paragraph" w:styleId="ConsNormal" w:customStyle="1">
    <w:name w:val="ConsNormal"/>
    <w:qFormat/>
    <w:pPr>
      <w:widowControl/>
      <w:suppressAutoHyphens w:val="true"/>
      <w:bidi w:val="0"/>
      <w:spacing w:before="0" w:after="0"/>
      <w:ind w:firstLine="720"/>
      <w:jc w:val="left"/>
    </w:pPr>
    <w:rPr>
      <w:rFonts w:ascii="Consultant" w:hAnsi="Consultant" w:eastAsia="Droid Sans Fallback" w:cs="Consultant"/>
      <w:color w:val="auto"/>
      <w:kern w:val="0"/>
      <w:sz w:val="20"/>
      <w:szCs w:val="20"/>
      <w:lang w:val="ru-RU" w:eastAsia="zh-CN" w:bidi="ar-SA"/>
    </w:rPr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tyle20" w:customStyle="1">
    <w:name w:val="Колонтитул"/>
    <w:basedOn w:val="Normal"/>
    <w:qFormat/>
    <w:pPr>
      <w:suppressLineNumbers/>
      <w:tabs>
        <w:tab w:val="clear" w:pos="708"/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lear" w:pos="708"/>
        <w:tab w:val="center" w:pos="4153" w:leader="none"/>
        <w:tab w:val="right" w:pos="8306" w:leader="none"/>
      </w:tabs>
    </w:pPr>
    <w:rPr>
      <w:sz w:val="20"/>
      <w:szCs w:val="20"/>
    </w:rPr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Style21" w:customStyle="1">
    <w:name w:val="Знак Знак Знак Знак Знак Знак Знак Знак Знак Знак Знак Знак"/>
    <w:basedOn w:val="Normal"/>
    <w:qFormat/>
    <w:pPr/>
    <w:rPr>
      <w:rFonts w:ascii="Verdana" w:hAnsi="Verdana" w:cs="Verdana"/>
      <w:sz w:val="20"/>
      <w:szCs w:val="20"/>
      <w:lang w:val="en-US"/>
    </w:rPr>
  </w:style>
  <w:style w:type="paragraph" w:styleId="ConsPlusNormal" w:customStyle="1">
    <w:name w:val="ConsPlus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Calibri" w:cs="Lohit Devanagari"/>
      <w:color w:val="auto"/>
      <w:kern w:val="0"/>
      <w:sz w:val="20"/>
      <w:szCs w:val="20"/>
      <w:lang w:val="ru-RU" w:eastAsia="zh-CN" w:bidi="ar-SA"/>
    </w:rPr>
  </w:style>
  <w:style w:type="paragraph" w:styleId="Header">
    <w:name w:val="Header"/>
    <w:pPr>
      <w:widowControl/>
      <w:tabs>
        <w:tab w:val="clear" w:pos="708"/>
        <w:tab w:val="center" w:pos="4153" w:leader="none"/>
        <w:tab w:val="right" w:pos="8306" w:leader="none"/>
      </w:tabs>
      <w:suppressAutoHyphens w:val="true"/>
      <w:bidi w:val="0"/>
      <w:spacing w:before="0" w:after="0"/>
      <w:jc w:val="center"/>
    </w:pPr>
    <w:rPr>
      <w:rFonts w:ascii="Times New Roman" w:hAnsi="Times New Roman" w:eastAsia="Droid Sans Fallback" w:cs="Lohit Devanagari"/>
      <w:color w:val="auto"/>
      <w:kern w:val="0"/>
      <w:sz w:val="16"/>
      <w:szCs w:val="20"/>
      <w:lang w:val="ru-RU" w:eastAsia="zh-CN" w:bidi="ar-SA"/>
    </w:rPr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  <w:lang w:val="en-US"/>
    </w:rPr>
  </w:style>
  <w:style w:type="paragraph" w:styleId="NormalWeb">
    <w:name w:val="Normal (Web)"/>
    <w:basedOn w:val="Normal"/>
    <w:qFormat/>
    <w:pPr>
      <w:spacing w:before="280" w:after="280"/>
    </w:pPr>
    <w:rPr/>
  </w:style>
  <w:style w:type="paragraph" w:styleId="Default" w:customStyle="1">
    <w:name w:val="Default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Droid Sans Fallback" w:cs="Lohit Devanagari"/>
      <w:color w:val="000000"/>
      <w:kern w:val="0"/>
      <w:sz w:val="24"/>
      <w:szCs w:val="24"/>
      <w:lang w:val="ru-RU" w:eastAsia="zh-CN" w:bidi="ar-SA"/>
    </w:rPr>
  </w:style>
  <w:style w:type="paragraph" w:styleId="Style22" w:customStyle="1">
    <w:name w:val="Содержимое таблицы"/>
    <w:basedOn w:val="Normal"/>
    <w:qFormat/>
    <w:pPr>
      <w:widowControl w:val="false"/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794">
    <w:name w:val="Normal Table"/>
    <w:uiPriority w:val="99"/>
    <w:semiHidden/>
    <w:unhideWhenUsed/>
    <w:tblPr>
      <w:tblCellMar>
        <w:left w:w="108" w:type="dxa"/>
        <w:top w:w="0" w:type="dxa"/>
        <w:right w:w="108" w:type="dxa"/>
        <w:bottom w:w="0" w:type="dxa"/>
      </w:tblCellMar>
    </w:tblPr>
  </w:style>
  <w:style w:type="table" w:styleId="795">
    <w:name w:val="Table Grid"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customStyle="1" w:styleId="796">
    <w:name w:val="Table Grid Light"/>
    <w:uiPriority w:val="59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customStyle="1" w:styleId="797">
    <w:name w:val="Plain Table 1"/>
    <w:uiPriority w:val="59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blPr/>
      <w:tcPr>
        <w:shd w:val="clear" w:color="F2F2F2" w:fill="F2F2F2" w:themeFill="text1" w:themeFillTint="0"/>
      </w:tcPr>
    </w:tblStylePr>
    <w:tblStylePr w:type="band1Vert">
      <w:tblPr/>
      <w:tcPr>
        <w:shd w:val="clear" w:color="F2F2F2" w:fill="F2F2F2" w:themeFill="text1" w:themeFillTint="0"/>
      </w:tcPr>
    </w:tblStylePr>
    <w:tblStylePr w:type="firstCol">
      <w:rPr>
        <w:b/>
        <w:sz w:val="22"/>
      </w:rPr>
      <w:tblPr/>
    </w:tblStylePr>
    <w:tblStylePr w:type="firstRow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lastRow">
      <w:rPr>
        <w:b/>
        <w:sz w:val="22"/>
      </w:rPr>
      <w:tblPr/>
    </w:tblStylePr>
  </w:style>
  <w:style w:type="table" w:customStyle="1" w:styleId="798">
    <w:name w:val="Plain Table 2"/>
    <w:uiPriority w:val="59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sz w:val="22"/>
      </w:rPr>
      <w:tblPr/>
    </w:tblStyle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b/>
        <w:sz w:val="22"/>
      </w:rPr>
      <w:tblPr/>
    </w:tblStylePr>
    <w:tblStylePr w:type="lastRow">
      <w:rPr>
        <w:b/>
        <w:sz w:val="22"/>
      </w:rPr>
      <w:tblPr/>
    </w:tblStylePr>
  </w:style>
  <w:style w:type="table" w:customStyle="1" w:styleId="799">
    <w:name w:val="Plain Table 3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F2F2F2" w:fill="F2F2F2" w:themeFill="text1" w:themeFillTint="0"/>
      </w:tcPr>
    </w:tblStylePr>
    <w:tblStylePr w:type="band1Vert">
      <w:rPr>
        <w:sz w:val="22"/>
      </w:rPr>
      <w:tblPr/>
      <w:tcPr>
        <w:shd w:val="clear" w:color="F2F2F2" w:fill="F2F2F2" w:themeFill="text1" w:themeFillTint="0"/>
      </w:tcPr>
    </w:tblStylePr>
    <w:tblStylePr w:type="firstCol">
      <w:rPr>
        <w:b/>
        <w:caps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</w:rPr>
      <w:tblPr/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</w:rPr>
      <w:tblPr/>
    </w:tblStylePr>
    <w:tblStylePr w:type="lastRow">
      <w:rPr>
        <w:b/>
        <w:caps/>
      </w:rPr>
      <w:tblPr/>
    </w:tblStylePr>
  </w:style>
  <w:style w:type="table" w:customStyle="1" w:styleId="800">
    <w:name w:val="Plain Table 4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F2F2F2" w:fill="F2F2F2" w:themeFill="text1" w:themeFillTint="0"/>
      </w:tcPr>
    </w:tblStylePr>
    <w:tblStylePr w:type="band1Vert">
      <w:rPr>
        <w:sz w:val="22"/>
      </w:rPr>
      <w:tblPr/>
      <w:tcPr>
        <w:shd w:val="clear" w:color="F2F2F2" w:fill="F2F2F2" w:themeFill="text1" w:themeFillTint="0"/>
      </w:tcPr>
    </w:tblStylePr>
    <w:tblStylePr w:type="firstCol">
      <w:rPr>
        <w:b/>
      </w:rPr>
      <w:tblPr/>
    </w:tblStylePr>
    <w:tblStylePr w:type="firstRow">
      <w:rPr>
        <w:b/>
      </w:rPr>
      <w:tblPr/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customStyle="1" w:styleId="801">
    <w:name w:val="Plain Table 5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F2F2F2" w:fill="F2F2F2" w:themeFill="text1" w:themeFillTint="0"/>
      </w:tcPr>
    </w:tblStylePr>
    <w:tblStylePr w:type="band1Vert">
      <w:rPr>
        <w:sz w:val="22"/>
      </w:rPr>
      <w:tblPr/>
      <w:tcPr>
        <w:shd w:val="clear" w:color="F2F2F2" w:fill="F2F2F2" w:themeFill="text1" w:themeFillTint="0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firstRow">
      <w:rPr>
        <w:i/>
      </w:rPr>
      <w:tblPr/>
      <w:tcPr>
        <w:tcBorders>
          <w:left w:val="none" w:color="000000" w:sz="4" w:space="0"/>
          <w:bottom w:val="single" w:color="40404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customStyle="1" w:styleId="802">
    <w:name w:val="Grid Table 1 Light"/>
    <w:uiPriority w:val="99"/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tcBorders>
          <w:top w:val="single" w:color="989898" w:themeColor="text1" w:sz="4" w:space="0"/>
          <w:left w:val="single" w:color="989898" w:themeColor="text1" w:sz="4" w:space="0"/>
          <w:bottom w:val="single" w:color="989898" w:themeColor="text1" w:sz="4" w:space="0"/>
          <w:right w:val="single" w:color="989898" w:themeColor="text1" w:sz="4" w:space="0"/>
        </w:tcBorders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bottom w:val="single" w:color="6A6A6A" w:themeColor="text1" w:sz="12" w:space="0"/>
        </w:tcBorders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customStyle="1" w:styleId="803">
    <w:name w:val="Grid Table 1 Light - Accent 1"/>
    <w:uiPriority w:val="99"/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tcBorders>
          <w:top w:val="single" w:color="B7CBE4" w:themeColor="accent1" w:sz="4" w:space="0"/>
          <w:left w:val="single" w:color="B7CBE4" w:themeColor="accent1" w:sz="4" w:space="0"/>
          <w:bottom w:val="single" w:color="B7CBE4" w:themeColor="accent1" w:sz="4" w:space="0"/>
          <w:right w:val="single" w:color="B7CBE4" w:themeColor="accent1" w:sz="4" w:space="0"/>
        </w:tcBorders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bottom w:val="single" w:color="97B4D8" w:themeColor="accent1" w:sz="12" w:space="0"/>
        </w:tcBorders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customStyle="1" w:styleId="804">
    <w:name w:val="Grid Table 1 Light - Accent 2"/>
    <w:uiPriority w:val="99"/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tcBorders>
          <w:top w:val="single" w:color="E5B7B6" w:themeColor="accent2" w:sz="4" w:space="0"/>
          <w:left w:val="single" w:color="E5B7B6" w:themeColor="accent2" w:sz="4" w:space="0"/>
          <w:bottom w:val="single" w:color="E5B7B6" w:themeColor="accent2" w:sz="4" w:space="0"/>
          <w:right w:val="single" w:color="E5B7B6" w:themeColor="accent2" w:sz="4" w:space="0"/>
        </w:tcBorders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bottom w:val="single" w:color="DA9896" w:themeColor="accent2" w:sz="12" w:space="0"/>
        </w:tcBorders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customStyle="1" w:styleId="805">
    <w:name w:val="Grid Table 1 Light - Accent 3"/>
    <w:uiPriority w:val="99"/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tcBorders>
          <w:top w:val="single" w:color="D6E3BB" w:themeColor="accent3" w:sz="4" w:space="0"/>
          <w:left w:val="single" w:color="D6E3BB" w:themeColor="accent3" w:sz="4" w:space="0"/>
          <w:bottom w:val="single" w:color="D6E3BB" w:themeColor="accent3" w:sz="4" w:space="0"/>
          <w:right w:val="single" w:color="D6E3BB" w:themeColor="accent3" w:sz="4" w:space="0"/>
        </w:tcBorders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bottom w:val="single" w:color="C4D79D" w:themeColor="accent3" w:sz="12" w:space="0"/>
        </w:tcBorders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customStyle="1" w:styleId="806">
    <w:name w:val="Grid Table 1 Light - Accent 4"/>
    <w:uiPriority w:val="99"/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tcBorders>
          <w:top w:val="single" w:color="CBC0D9" w:themeColor="accent4" w:sz="4" w:space="0"/>
          <w:left w:val="single" w:color="CBC0D9" w:themeColor="accent4" w:sz="4" w:space="0"/>
          <w:bottom w:val="single" w:color="CBC0D9" w:themeColor="accent4" w:sz="4" w:space="0"/>
          <w:right w:val="single" w:color="CBC0D9" w:themeColor="accent4" w:sz="4" w:space="0"/>
        </w:tcBorders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bottom w:val="single" w:color="B4A4C8" w:themeColor="accent4" w:sz="12" w:space="0"/>
        </w:tcBorders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customStyle="1" w:styleId="807">
    <w:name w:val="Grid Table 1 Light - Accent 5"/>
    <w:uiPriority w:val="99"/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tcBorders>
          <w:top w:val="single" w:color="B6DDE8" w:themeColor="accent5" w:sz="4" w:space="0"/>
          <w:left w:val="single" w:color="B6DDE8" w:themeColor="accent5" w:sz="4" w:space="0"/>
          <w:bottom w:val="single" w:color="B6DDE8" w:themeColor="accent5" w:sz="4" w:space="0"/>
          <w:right w:val="single" w:color="B6DDE8" w:themeColor="accent5" w:sz="4" w:space="0"/>
        </w:tcBorders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bottom w:val="single" w:color="95CEDD" w:themeColor="accent5" w:sz="12" w:space="0"/>
        </w:tcBorders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customStyle="1" w:styleId="808">
    <w:name w:val="Grid Table 1 Light - Accent 6"/>
    <w:uiPriority w:val="99"/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tcBorders>
          <w:top w:val="single" w:color="FBD4B4" w:themeColor="accent6" w:sz="4" w:space="0"/>
          <w:left w:val="single" w:color="FBD4B4" w:themeColor="accent6" w:sz="4" w:space="0"/>
          <w:bottom w:val="single" w:color="FBD4B4" w:themeColor="accent6" w:sz="4" w:space="0"/>
          <w:right w:val="single" w:color="FBD4B4" w:themeColor="accent6" w:sz="4" w:space="0"/>
        </w:tcBorders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bottom w:val="single" w:color="FAC192" w:themeColor="accent6" w:sz="12" w:space="0"/>
        </w:tcBorders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customStyle="1" w:styleId="809">
    <w:name w:val="Grid Table 2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CBCBCB" w:fill="CBCBCB" w:themeFill="text1" w:themeFillTint="34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6A6A6A" w:themeColor="text1" w:sz="12" w:space="0"/>
          <w:right w:val="none" w:color="000000" w:sz="4" w:space="0"/>
        </w:tcBorders>
        <w:shd w:val="clear" w:color="FFFFFF" w:fill="auto"/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6A6A6A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customStyle="1" w:styleId="810">
    <w:name w:val="Grid Table 2 - Accent 1"/>
    <w:uiPriority w:val="99"/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DAE5F1" w:fill="DAE5F1" w:themeFill="accent1" w:themeFillTint="34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5D8AC2" w:themeColor="accent1" w:sz="12" w:space="0"/>
          <w:right w:val="none" w:color="000000" w:sz="4" w:space="0"/>
        </w:tcBorders>
        <w:shd w:val="clear" w:color="FFFFFF" w:fill="auto"/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5D8AC2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customStyle="1" w:styleId="811">
    <w:name w:val="Grid Table 2 - Accent 2"/>
    <w:uiPriority w:val="99"/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F2DCDC" w:fill="F2DCDC" w:themeFill="accent2" w:themeFillTint="32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D99695" w:themeColor="accent2" w:sz="12" w:space="0"/>
          <w:right w:val="none" w:color="000000" w:sz="4" w:space="0"/>
        </w:tcBorders>
        <w:shd w:val="clear" w:color="FFFFFF" w:fill="auto"/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D99695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customStyle="1" w:styleId="812">
    <w:name w:val="Grid Table 2 - Accent 3"/>
    <w:uiPriority w:val="99"/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EAF1DC" w:fill="EAF1DC" w:themeFill="accent3" w:themeFillTint="34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9ABB59" w:themeColor="accent3" w:sz="12" w:space="0"/>
          <w:right w:val="none" w:color="000000" w:sz="4" w:space="0"/>
        </w:tcBorders>
        <w:shd w:val="clear" w:color="FFFFFF" w:fill="auto"/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9A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customStyle="1" w:styleId="813">
    <w:name w:val="Grid Table 2 - Accent 4"/>
    <w:uiPriority w:val="99"/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E5DFEC" w:fill="E5DFEC" w:themeFill="accent4" w:themeFillTint="34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B2A1C6" w:themeColor="accent4" w:sz="12" w:space="0"/>
          <w:right w:val="none" w:color="000000" w:sz="4" w:space="0"/>
        </w:tcBorders>
        <w:shd w:val="clear" w:color="FFFFFF" w:fill="auto"/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B2A1C6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customStyle="1" w:styleId="814">
    <w:name w:val="Grid Table 2 - Accent 5"/>
    <w:uiPriority w:val="99"/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DAEEF3" w:fill="DAEEF3" w:themeFill="accent5" w:themeFillTint="34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  <w:shd w:val="clear" w:color="FFFFFF" w:fill="auto"/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customStyle="1" w:styleId="815">
    <w:name w:val="Grid Table 2 - Accent 6"/>
    <w:uiPriority w:val="99"/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FDE9D8" w:fill="FDE9D8" w:themeFill="accent6" w:themeFillTint="34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  <w:shd w:val="clear" w:color="FFFFFF" w:fill="auto"/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customStyle="1" w:styleId="816">
    <w:name w:val="Grid Table 3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CBCBCB" w:fill="CBCBCB" w:themeFill="text1" w:themeFillTint="34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firstCol">
      <w:pPr>
        <w:jc w:val="right"/>
      </w:pPr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customStyle="1" w:styleId="817">
    <w:name w:val="Grid Table 3 - Accent 1"/>
    <w:uiPriority w:val="99"/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DAE5F1" w:fill="DAE5F1" w:themeFill="accent1" w:themeFillTint="34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firstCol">
      <w:pPr>
        <w:jc w:val="right"/>
      </w:pPr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customStyle="1" w:styleId="818">
    <w:name w:val="Grid Table 3 - Accent 2"/>
    <w:uiPriority w:val="99"/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F2DCDC" w:fill="F2DCDC" w:themeFill="accent2" w:themeFillTint="32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firstCol">
      <w:pPr>
        <w:jc w:val="right"/>
      </w:pPr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customStyle="1" w:styleId="819">
    <w:name w:val="Grid Table 3 - Accent 3"/>
    <w:uiPriority w:val="99"/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EAF1DC" w:fill="EAF1DC" w:themeFill="accent3" w:themeFillTint="34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firstCol">
      <w:pPr>
        <w:jc w:val="right"/>
      </w:pPr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customStyle="1" w:styleId="820">
    <w:name w:val="Grid Table 3 - Accent 4"/>
    <w:uiPriority w:val="99"/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E5DFEC" w:fill="E5DFEC" w:themeFill="accent4" w:themeFillTint="34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firstCol">
      <w:pPr>
        <w:jc w:val="right"/>
      </w:pPr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customStyle="1" w:styleId="821">
    <w:name w:val="Grid Table 3 - Accent 5"/>
    <w:uiPriority w:val="99"/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DAEEF3" w:fill="DAEEF3" w:themeFill="accent5" w:themeFillTint="34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firstCol">
      <w:pPr>
        <w:jc w:val="right"/>
      </w:pPr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customStyle="1" w:styleId="822">
    <w:name w:val="Grid Table 3 - Accent 6"/>
    <w:uiPriority w:val="99"/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FDE9D8" w:fill="FDE9D8" w:themeFill="accent6" w:themeFillTint="34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firstCol">
      <w:pPr>
        <w:jc w:val="right"/>
      </w:pPr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customStyle="1" w:styleId="823">
    <w:name w:val="Grid Table 4"/>
    <w:uiPriority w:val="59"/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CBCBCB" w:fill="CBCBCB" w:themeFill="text1" w:themeFillTint="34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</w:style>
  <w:style w:type="table" w:customStyle="1" w:styleId="824">
    <w:name w:val="Grid Table 4 - Accent 1"/>
    <w:uiPriority w:val="59"/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DCE6F2" w:fill="DCE6F2" w:themeFill="accent1" w:themeFillTint="32"/>
      </w:tc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tcBorders>
          <w:top w:val="single" w:color="5D8AC2" w:themeColor="accent1" w:sz="4" w:space="0"/>
          <w:left w:val="single" w:color="5D8AC2" w:themeColor="accent1" w:sz="4" w:space="0"/>
          <w:bottom w:val="single" w:color="5D8AC2" w:themeColor="accent1" w:sz="4" w:space="0"/>
          <w:right w:val="single" w:color="5D8AC2" w:themeColor="accent1" w:sz="4" w:space="0"/>
        </w:tcBorders>
        <w:shd w:val="clear" w:color="5D8AC2" w:fill="5D8AC2" w:themeFill="accent1" w:themeFillTint="ea"/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5D8AC2" w:themeColor="accent1" w:sz="4" w:space="0"/>
        </w:tcBorders>
      </w:tcPr>
    </w:tblStylePr>
  </w:style>
  <w:style w:type="table" w:customStyle="1" w:styleId="825">
    <w:name w:val="Grid Table 4 - Accent 2"/>
    <w:uiPriority w:val="59"/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F2DCDC" w:fill="F2DCDC" w:themeFill="accent2" w:themeFillTint="32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tcBorders>
          <w:top w:val="single" w:color="D99695" w:themeColor="accent2" w:sz="4" w:space="0"/>
          <w:left w:val="single" w:color="D99695" w:themeColor="accent2" w:sz="4" w:space="0"/>
          <w:bottom w:val="single" w:color="D99695" w:themeColor="accent2" w:sz="4" w:space="0"/>
          <w:right w:val="single" w:color="D99695" w:themeColor="accent2" w:sz="4" w:space="0"/>
        </w:tcBorders>
        <w:shd w:val="clear" w:color="D99695" w:fill="D99695" w:themeFill="accent2" w:themeFillTint="97"/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D99695" w:themeColor="accent2" w:sz="4" w:space="0"/>
        </w:tcBorders>
      </w:tcPr>
    </w:tblStylePr>
  </w:style>
  <w:style w:type="table" w:customStyle="1" w:styleId="826">
    <w:name w:val="Grid Table 4 - Accent 3"/>
    <w:uiPriority w:val="59"/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EAF1DC" w:fill="EAF1DC" w:themeFill="accent3" w:themeFillTint="34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tcBorders>
          <w:top w:val="single" w:color="9ABB59" w:themeColor="accent3" w:sz="4" w:space="0"/>
          <w:left w:val="single" w:color="9ABB59" w:themeColor="accent3" w:sz="4" w:space="0"/>
          <w:bottom w:val="single" w:color="9ABB59" w:themeColor="accent3" w:sz="4" w:space="0"/>
          <w:right w:val="single" w:color="9ABB59" w:themeColor="accent3" w:sz="4" w:space="0"/>
        </w:tcBorders>
        <w:shd w:val="clear" w:color="9ABB59" w:fill="9ABB59" w:themeFill="accent3" w:themeFillTint="fe"/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9ABB59" w:themeColor="accent3" w:sz="4" w:space="0"/>
        </w:tcBorders>
      </w:tcPr>
    </w:tblStylePr>
  </w:style>
  <w:style w:type="table" w:customStyle="1" w:styleId="827">
    <w:name w:val="Grid Table 4 - Accent 4"/>
    <w:uiPriority w:val="59"/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E5DFEC" w:fill="E5DFEC" w:themeFill="accent4" w:themeFillTint="34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tcBorders>
          <w:top w:val="single" w:color="B2A1C6" w:themeColor="accent4" w:sz="4" w:space="0"/>
          <w:left w:val="single" w:color="B2A1C6" w:themeColor="accent4" w:sz="4" w:space="0"/>
          <w:bottom w:val="single" w:color="B2A1C6" w:themeColor="accent4" w:sz="4" w:space="0"/>
          <w:right w:val="single" w:color="B2A1C6" w:themeColor="accent4" w:sz="4" w:space="0"/>
        </w:tcBorders>
        <w:shd w:val="clear" w:color="B2A1C6" w:fill="B2A1C6" w:themeFill="accent4" w:themeFillTint="9a"/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B2A1C6" w:themeColor="accent4" w:sz="4" w:space="0"/>
        </w:tcBorders>
      </w:tcPr>
    </w:tblStylePr>
  </w:style>
  <w:style w:type="table" w:customStyle="1" w:styleId="828">
    <w:name w:val="Grid Table 4 - Accent 5"/>
    <w:uiPriority w:val="59"/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DAEEF3" w:fill="DAEEF3" w:themeFill="accent5" w:themeFillTint="34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  <w:shd w:val="clear" w:color="4BACC6" w:fill="4BACC6" w:themeFill="accent5"/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4BACC6" w:themeColor="accent5" w:sz="4" w:space="0"/>
        </w:tcBorders>
      </w:tcPr>
    </w:tblStylePr>
  </w:style>
  <w:style w:type="table" w:customStyle="1" w:styleId="829">
    <w:name w:val="Grid Table 4 - Accent 6"/>
    <w:uiPriority w:val="59"/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FDE9D8" w:fill="FDE9D8" w:themeFill="accent6" w:themeFillTint="34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  <w:shd w:val="clear" w:color="F79646" w:fill="F79646" w:themeFill="accent6"/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F79646" w:themeColor="accent6" w:sz="4" w:space="0"/>
        </w:tcBorders>
      </w:tcPr>
    </w:tblStylePr>
  </w:style>
  <w:style w:type="table" w:customStyle="1" w:styleId="830">
    <w:name w:val="Grid Table 5 Dark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blPr/>
      <w:tcPr>
        <w:shd w:val="clear" w:color="8A8A8A" w:fill="8A8A8A" w:themeFill="text1" w:themeFillTint="75"/>
      </w:tcPr>
    </w:tblStylePr>
    <w:tblStylePr w:type="band1Vert">
      <w:tblPr/>
      <w:tcPr>
        <w:shd w:val="clear" w:color="8A8A8A" w:fill="8A8A8A" w:themeFill="text1" w:themeFillTint="75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</w:style>
  <w:style w:type="table" w:customStyle="1" w:styleId="831">
    <w:name w:val="Grid Table 5 Dark- Accent 1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blPr/>
      <w:tcPr>
        <w:shd w:val="clear" w:color="AEC4E0" w:fill="AEC4E0" w:themeFill="accent1" w:themeFillTint="75"/>
      </w:tcPr>
    </w:tblStylePr>
    <w:tblStylePr w:type="band1Vert">
      <w:tblPr/>
      <w:tcPr>
        <w:shd w:val="clear" w:color="AEC4E0" w:fill="AEC4E0" w:themeFill="accent1" w:themeFillTint="75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F81BD" w:fill="4F81BD" w:themeFill="accent1"/>
      </w:tcPr>
    </w:tblStylePr>
  </w:style>
  <w:style w:type="table" w:customStyle="1" w:styleId="832">
    <w:name w:val="Grid Table 5 Dark - Accent 2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blPr/>
      <w:tcPr>
        <w:shd w:val="clear" w:color="E2AEAD" w:fill="E2AEAD" w:themeFill="accent2" w:themeFillTint="75"/>
      </w:tcPr>
    </w:tblStylePr>
    <w:tblStylePr w:type="band1Vert">
      <w:tblPr/>
      <w:tcPr>
        <w:shd w:val="clear" w:color="E2AEAD" w:fill="E2AEAD" w:themeFill="accent2" w:themeFillTint="75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C0504D" w:fill="C0504D" w:themeFill="accent2"/>
      </w:tcPr>
    </w:tblStylePr>
  </w:style>
  <w:style w:type="table" w:customStyle="1" w:styleId="833">
    <w:name w:val="Grid Table 5 Dark - Accent 3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blPr/>
      <w:tcPr>
        <w:shd w:val="clear" w:color="D0DFB2" w:fill="D0DFB2" w:themeFill="accent3" w:themeFillTint="75"/>
      </w:tcPr>
    </w:tblStylePr>
    <w:tblStylePr w:type="band1Vert">
      <w:tblPr/>
      <w:tcPr>
        <w:shd w:val="clear" w:color="D0DFB2" w:fill="D0DFB2" w:themeFill="accent3" w:themeFillTint="75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9BBB59" w:fill="9BBB59" w:themeFill="accent3"/>
      </w:tcPr>
    </w:tblStylePr>
  </w:style>
  <w:style w:type="table" w:customStyle="1" w:styleId="834">
    <w:name w:val="Grid Table 5 Dark- Accent 4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blPr/>
      <w:tcPr>
        <w:shd w:val="clear" w:color="C4B7D4" w:fill="C4B7D4" w:themeFill="accent4" w:themeFillTint="75"/>
      </w:tcPr>
    </w:tblStylePr>
    <w:tblStylePr w:type="band1Vert">
      <w:tblPr/>
      <w:tcPr>
        <w:shd w:val="clear" w:color="C4B7D4" w:fill="C4B7D4" w:themeFill="accent4" w:themeFillTint="75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8064A2" w:fill="8064A2" w:themeFill="accent4"/>
      </w:tcPr>
    </w:tblStylePr>
  </w:style>
  <w:style w:type="table" w:customStyle="1" w:styleId="835">
    <w:name w:val="Grid Table 5 Dark - Accent 5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blPr/>
      <w:tcPr>
        <w:shd w:val="clear" w:color="ACD8E4" w:fill="ACD8E4" w:themeFill="accent5" w:themeFillTint="7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BACC6" w:fill="4BACC6" w:themeFill="accent5"/>
      </w:tcPr>
    </w:tblStylePr>
  </w:style>
  <w:style w:type="table" w:customStyle="1" w:styleId="836">
    <w:name w:val="Grid Table 5 Dark - Accent 6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blPr/>
      <w:tcPr>
        <w:shd w:val="clear" w:color="FBCEAA" w:fill="FBCEAA" w:themeFill="accent6" w:themeFillTint="75"/>
      </w:tcPr>
    </w:tblStylePr>
    <w:tblStylePr w:type="band1Vert">
      <w:tblPr/>
      <w:tcPr>
        <w:shd w:val="clear" w:color="FBCEAA" w:fill="FBCEAA" w:themeFill="accent6" w:themeFillTint="75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F79646" w:fill="F79646" w:themeFill="accent6"/>
      </w:tcPr>
    </w:tblStylePr>
  </w:style>
  <w:style w:type="table" w:customStyle="1" w:styleId="837">
    <w:name w:val="Grid Table 6 Colorful"/>
    <w:uiPriority w:val="99"/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themeColor="text1" w:themeTint="80" w:themeShade="95"/>
        <w:sz w:val="22"/>
      </w:rPr>
      <w:tblPr/>
      <w:tcPr>
        <w:shd w:val="clear" w:color="CBCBCB" w:fill="CBCBCB" w:themeFill="text1" w:themeFillTint="34"/>
      </w:tcPr>
    </w:tblStylePr>
    <w:tblStylePr w:type="band1Vert"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 w:themeShade="95"/>
        <w:sz w:val="22"/>
      </w:rPr>
      <w:tblPr/>
    </w:tblStylePr>
    <w:tblStylePr w:type="firstCol">
      <w:rPr>
        <w:b/>
        <w:color w:themeColor="text1" w:themeTint="80" w:themeShade="95"/>
      </w:rPr>
      <w:tblPr/>
    </w:tblStylePr>
    <w:tblStylePr w:type="firstRow">
      <w:rPr>
        <w:b/>
        <w:color w:themeColor="text1" w:themeTint="80" w:themeShade="95"/>
      </w:rPr>
      <w:tblPr/>
      <w:tcPr>
        <w:tcBorders>
          <w:bottom w:val="single" w:color="7F7F7F" w:themeColor="text1" w:sz="12" w:space="0"/>
        </w:tcBorders>
      </w:tcPr>
    </w:tblStylePr>
    <w:tblStylePr w:type="lastCol">
      <w:rPr>
        <w:b/>
        <w:color w:themeColor="text1" w:themeTint="80" w:themeShade="95"/>
      </w:rPr>
      <w:tblPr/>
    </w:tblStylePr>
    <w:tblStylePr w:type="lastRow">
      <w:rPr>
        <w:b/>
        <w:color w:themeColor="text1" w:themeTint="80" w:themeShade="95"/>
      </w:rPr>
      <w:tblPr/>
    </w:tblStylePr>
  </w:style>
  <w:style w:type="table" w:customStyle="1" w:styleId="838">
    <w:name w:val="Grid Table 6 Colorful - Accent 1"/>
    <w:uiPriority w:val="99"/>
    <w:tblPr>
      <w:tblStyleRowBandSize w:val="1"/>
      <w:tblStyleColBandSize w:val="1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themeColor="accent1" w:themeTint="80" w:themeShade="95"/>
        <w:sz w:val="22"/>
      </w:rPr>
      <w:tblPr/>
      <w:tcPr>
        <w:shd w:val="clear" w:color="DAE5F1" w:fill="DAE5F1" w:themeFill="accent1" w:themeFillTint="34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 w:themeShade="95"/>
        <w:sz w:val="22"/>
      </w:rPr>
      <w:tblPr/>
    </w:tblStylePr>
    <w:tblStylePr w:type="firstCol">
      <w:rPr>
        <w:b/>
        <w:color w:themeColor="accent1" w:themeTint="80" w:themeShade="95"/>
      </w:rPr>
      <w:tblPr/>
    </w:tblStylePr>
    <w:tblStylePr w:type="firstRow">
      <w:rPr>
        <w:b/>
        <w:color w:themeColor="accent1" w:themeTint="80" w:themeShade="95"/>
      </w:rPr>
      <w:tblPr/>
      <w:tcPr>
        <w:tcBorders>
          <w:bottom w:val="single" w:color="A6BFDD" w:themeColor="accent1" w:sz="12" w:space="0"/>
        </w:tcBorders>
      </w:tcPr>
    </w:tblStylePr>
    <w:tblStylePr w:type="lastCol">
      <w:rPr>
        <w:b/>
        <w:color w:themeColor="accent1" w:themeTint="80" w:themeShade="95"/>
      </w:rPr>
      <w:tblPr/>
    </w:tblStylePr>
    <w:tblStylePr w:type="lastRow">
      <w:rPr>
        <w:b/>
        <w:color w:themeColor="accent1" w:themeTint="80" w:themeShade="95"/>
      </w:rPr>
      <w:tblPr/>
    </w:tblStylePr>
  </w:style>
  <w:style w:type="table" w:customStyle="1" w:styleId="839">
    <w:name w:val="Grid Table 6 Colorful - Accent 2"/>
    <w:uiPriority w:val="99"/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themeColor="accent2" w:themeTint="97" w:themeShade="95"/>
        <w:sz w:val="22"/>
      </w:rPr>
      <w:tblPr/>
      <w:tcPr>
        <w:shd w:val="clear" w:color="F2DCDC" w:fill="F2DCDC" w:themeFill="accent2" w:themeFillTint="32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7" w:themeShade="95"/>
        <w:sz w:val="22"/>
      </w:rPr>
      <w:tblPr/>
    </w:tblStylePr>
    <w:tblStylePr w:type="firstCol">
      <w:rPr>
        <w:b/>
        <w:color w:themeColor="accent2" w:themeTint="97" w:themeShade="95"/>
      </w:rPr>
      <w:tblPr/>
    </w:tblStylePr>
    <w:tblStylePr w:type="firstRow">
      <w:rPr>
        <w:b/>
        <w:color w:themeColor="accent2" w:themeTint="97" w:themeShade="95"/>
      </w:rPr>
      <w:tblPr/>
      <w:tcPr>
        <w:tcBorders>
          <w:bottom w:val="single" w:color="D99695" w:themeColor="accent2" w:sz="12" w:space="0"/>
        </w:tcBorders>
      </w:tcPr>
    </w:tblStylePr>
    <w:tblStylePr w:type="lastCol">
      <w:rPr>
        <w:b/>
        <w:color w:themeColor="accent2" w:themeTint="97" w:themeShade="95"/>
      </w:rPr>
      <w:tblPr/>
    </w:tblStylePr>
    <w:tblStylePr w:type="lastRow">
      <w:rPr>
        <w:b/>
        <w:color w:themeColor="accent2" w:themeTint="97" w:themeShade="95"/>
      </w:rPr>
      <w:tblPr/>
    </w:tblStylePr>
  </w:style>
  <w:style w:type="table" w:customStyle="1" w:styleId="840">
    <w:name w:val="Grid Table 6 Colorful - Accent 3"/>
    <w:uiPriority w:val="99"/>
    <w:tblPr>
      <w:tblStyleRowBandSize w:val="1"/>
      <w:tblStyleColBandSize w:val="1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themeColor="accent3" w:themeTint="fe" w:themeShade="95"/>
        <w:sz w:val="22"/>
      </w:rPr>
      <w:tblPr/>
      <w:tcPr>
        <w:shd w:val="clear" w:color="EAF1DC" w:fill="EAF1DC" w:themeFill="accent3" w:themeFillTint="34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2Horz">
      <w:rPr>
        <w:color w:themeColor="accent3" w:themeTint="fe" w:themeShade="95"/>
        <w:sz w:val="22"/>
      </w:rPr>
      <w:tblPr/>
    </w:tblStylePr>
    <w:tblStylePr w:type="firstCol">
      <w:rPr>
        <w:b/>
        <w:color w:themeColor="accent3" w:themeTint="fe" w:themeShade="95"/>
      </w:rPr>
      <w:tblPr/>
    </w:tblStylePr>
    <w:tblStylePr w:type="firstRow">
      <w:rPr>
        <w:b/>
        <w:color w:themeColor="accent3" w:themeTint="fe" w:themeShade="95"/>
      </w:rPr>
      <w:tblPr/>
      <w:tcPr>
        <w:tcBorders>
          <w:bottom w:val="single" w:color="9ABB59" w:themeColor="accent3" w:sz="12" w:space="0"/>
        </w:tcBorders>
      </w:tcPr>
    </w:tblStylePr>
    <w:tblStylePr w:type="lastCol">
      <w:rPr>
        <w:b/>
        <w:color w:themeColor="accent3" w:themeTint="fe" w:themeShade="95"/>
      </w:rPr>
      <w:tblPr/>
    </w:tblStylePr>
    <w:tblStylePr w:type="lastRow">
      <w:rPr>
        <w:b/>
        <w:color w:themeColor="accent3" w:themeTint="fe" w:themeShade="95"/>
      </w:rPr>
      <w:tblPr/>
    </w:tblStylePr>
  </w:style>
  <w:style w:type="table" w:customStyle="1" w:styleId="841">
    <w:name w:val="Grid Table 6 Colorful - Accent 4"/>
    <w:uiPriority w:val="99"/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themeColor="accent4" w:themeTint="9a" w:themeShade="95"/>
        <w:sz w:val="22"/>
      </w:rPr>
      <w:tblPr/>
      <w:tcPr>
        <w:shd w:val="clear" w:color="E5DFEC" w:fill="E5DFEC" w:themeFill="accent4" w:themeFillTint="34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a" w:themeShade="95"/>
        <w:sz w:val="22"/>
      </w:rPr>
      <w:tblPr/>
    </w:tblStylePr>
    <w:tblStylePr w:type="firstCol">
      <w:rPr>
        <w:b/>
        <w:color w:themeColor="accent4" w:themeTint="9a" w:themeShade="95"/>
      </w:rPr>
      <w:tblPr/>
    </w:tblStylePr>
    <w:tblStylePr w:type="firstRow">
      <w:rPr>
        <w:b/>
        <w:color w:themeColor="accent4" w:themeTint="9a" w:themeShade="95"/>
      </w:rPr>
      <w:tblPr/>
      <w:tcPr>
        <w:tcBorders>
          <w:bottom w:val="single" w:color="B2A1C6" w:themeColor="accent4" w:sz="12" w:space="0"/>
        </w:tcBorders>
      </w:tcPr>
    </w:tblStylePr>
    <w:tblStylePr w:type="lastCol">
      <w:rPr>
        <w:b/>
        <w:color w:themeColor="accent4" w:themeTint="9a" w:themeShade="95"/>
      </w:rPr>
      <w:tblPr/>
    </w:tblStylePr>
    <w:tblStylePr w:type="lastRow">
      <w:rPr>
        <w:b/>
        <w:color w:themeColor="accent4" w:themeTint="9a" w:themeShade="95"/>
      </w:rPr>
      <w:tblPr/>
    </w:tblStylePr>
  </w:style>
  <w:style w:type="table" w:customStyle="1" w:styleId="842">
    <w:name w:val="Grid Table 6 Colorful - Accent 5"/>
    <w:uiPriority w:val="99"/>
    <w:tblPr>
      <w:tblStyleRowBandSize w:val="1"/>
      <w:tblStyleColBandSize w:val="1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themeColor="accent5" w:themeShade="95"/>
        <w:sz w:val="22"/>
      </w:rPr>
      <w:tblPr/>
      <w:tcPr>
        <w:shd w:val="clear" w:color="DAEEF3" w:fill="DAEEF3" w:themeFill="accent5" w:themeFillTint="34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5"/>
        <w:sz w:val="22"/>
      </w:rPr>
      <w:tblPr/>
    </w:tblStylePr>
    <w:tblStylePr w:type="firstCol">
      <w:rPr>
        <w:b/>
        <w:color w:themeColor="accent5" w:themeShade="95"/>
      </w:rPr>
      <w:tblPr/>
    </w:tblStylePr>
    <w:tblStylePr w:type="firstRow">
      <w:rPr>
        <w:b/>
        <w:color w:themeColor="accent5" w:themeShade="95"/>
      </w:rPr>
      <w:tblPr/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themeColor="accent5" w:themeShade="95"/>
      </w:rPr>
      <w:tblPr/>
    </w:tblStylePr>
    <w:tblStylePr w:type="lastRow">
      <w:rPr>
        <w:b/>
        <w:color w:themeColor="accent5" w:themeShade="95"/>
      </w:rPr>
      <w:tblPr/>
    </w:tblStylePr>
  </w:style>
  <w:style w:type="table" w:customStyle="1" w:styleId="843">
    <w:name w:val="Grid Table 6 Colorful - Accent 6"/>
    <w:uiPriority w:val="99"/>
    <w:tblPr>
      <w:tblStyleRowBandSize w:val="1"/>
      <w:tblStyleColBandSize w:val="1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themeColor="accent5" w:themeShade="95"/>
        <w:sz w:val="22"/>
      </w:rPr>
      <w:tblPr/>
      <w:tcPr>
        <w:shd w:val="clear" w:color="FDE9D8" w:fill="FDE9D8" w:themeFill="accent6" w:themeFillTint="34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2Horz">
      <w:rPr>
        <w:color w:themeColor="accent5" w:themeShade="95"/>
        <w:sz w:val="22"/>
      </w:rPr>
      <w:tblPr/>
    </w:tblStylePr>
    <w:tblStylePr w:type="firstCol">
      <w:rPr>
        <w:b/>
        <w:color w:themeColor="accent5" w:themeShade="95"/>
      </w:rPr>
      <w:tblPr/>
    </w:tblStylePr>
    <w:tblStylePr w:type="firstRow">
      <w:rPr>
        <w:b/>
        <w:color w:themeColor="accent5" w:themeShade="95"/>
      </w:rPr>
      <w:tblPr/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themeColor="accent5" w:themeShade="95"/>
      </w:rPr>
      <w:tblPr/>
    </w:tblStylePr>
    <w:tblStylePr w:type="lastRow">
      <w:rPr>
        <w:b/>
        <w:color w:themeColor="accent5" w:themeShade="95"/>
      </w:rPr>
      <w:tblPr/>
    </w:tblStylePr>
  </w:style>
  <w:style w:type="table" w:customStyle="1" w:styleId="844">
    <w:name w:val="Grid Table 7 Colorful"/>
    <w:uiPriority w:val="99"/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themeColor="text1" w:themeTint="80" w:themeShade="95"/>
        <w:sz w:val="22"/>
      </w:rPr>
      <w:tblPr/>
      <w:tcPr>
        <w:shd w:val="clear" w:color="F2F2F2" w:fill="F2F2F2" w:themeFill="text1" w:themeFillTint="0"/>
      </w:tcPr>
    </w:tblStylePr>
    <w:tblStylePr w:type="band1Vert">
      <w:tblPr/>
      <w:tcPr>
        <w:shd w:val="clear" w:color="F2F2F2" w:fill="F2F2F2" w:themeFill="text1" w:themeFillTint="0"/>
      </w:tcPr>
    </w:tblStylePr>
    <w:tblStylePr w:type="band2Horz">
      <w:rPr>
        <w:color w:themeColor="text1" w:themeTint="80" w:themeShade="95"/>
        <w:sz w:val="22"/>
      </w:rPr>
      <w:tblPr/>
    </w:tblStylePr>
    <w:tblStylePr w:type="firstCol">
      <w:pPr>
        <w:jc w:val="right"/>
      </w:pPr>
      <w:rPr>
        <w:i/>
        <w:color w:themeColor="text1" w:themeTint="80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sz="4" w:space="0"/>
        </w:tcBorders>
        <w:shd w:val="clear" w:color="FFFFFF" w:fill="auto"/>
      </w:tcPr>
    </w:tblStylePr>
    <w:tblStylePr w:type="firstRow">
      <w:rPr>
        <w:b/>
        <w:color w:themeColor="text1" w:themeTint="80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7F7F7F" w:themeColor="text1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themeColor="text1" w:themeTint="80" w:themeShade="95"/>
        <w:sz w:val="22"/>
      </w:rPr>
      <w:tblPr/>
      <w:tcPr>
        <w:tcBorders>
          <w:top w:val="none" w:color="000000" w:sz="4" w:space="0"/>
          <w:left w:val="single" w:color="7F7F7F" w:themeColor="text1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themeColor="text1" w:themeTint="80" w:themeShade="95"/>
        <w:sz w:val="22"/>
      </w:rPr>
      <w:tblPr/>
      <w:tcPr>
        <w:tcBorders>
          <w:top w:val="single" w:color="7F7F7F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customStyle="1" w:styleId="845">
    <w:name w:val="Grid Table 7 Colorful - Accent 1"/>
    <w:uiPriority w:val="99"/>
    <w:tblPr>
      <w:tblStyleRowBandSize w:val="1"/>
      <w:tblStyleColBandSize w:val="1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themeColor="accent1" w:themeTint="80" w:themeShade="95"/>
        <w:sz w:val="22"/>
      </w:rPr>
      <w:tblPr/>
      <w:tcPr>
        <w:shd w:val="clear" w:color="DAE5F1" w:fill="DAE5F1" w:themeFill="accent1" w:themeFillTint="34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 w:themeShade="95"/>
        <w:sz w:val="22"/>
      </w:rPr>
      <w:tblPr/>
    </w:tblStylePr>
    <w:tblStylePr w:type="firstCol">
      <w:pPr>
        <w:jc w:val="right"/>
      </w:pPr>
      <w:rPr>
        <w:i/>
        <w:color w:themeColor="accent1" w:themeTint="80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6BFDD" w:themeColor="accent1" w:sz="4" w:space="0"/>
        </w:tcBorders>
        <w:shd w:val="clear" w:color="FFFFFF" w:fill="auto"/>
      </w:tcPr>
    </w:tblStylePr>
    <w:tblStylePr w:type="firstRow">
      <w:rPr>
        <w:b/>
        <w:color w:themeColor="accent1" w:themeTint="80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A6BFDD" w:themeColor="accent1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themeColor="accent1" w:themeTint="80" w:themeShade="95"/>
        <w:sz w:val="22"/>
      </w:rPr>
      <w:tblPr/>
      <w:tcPr>
        <w:tcBorders>
          <w:top w:val="none" w:color="000000" w:sz="4" w:space="0"/>
          <w:left w:val="single" w:color="A6BFDD" w:themeColor="accent1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themeColor="accent1" w:themeTint="80" w:themeShade="95"/>
        <w:sz w:val="22"/>
      </w:rPr>
      <w:tblPr/>
      <w:tcPr>
        <w:tcBorders>
          <w:top w:val="single" w:color="A6BFD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customStyle="1" w:styleId="846">
    <w:name w:val="Grid Table 7 Colorful - Accent 2"/>
    <w:uiPriority w:val="99"/>
    <w:tblPr>
      <w:tblStyleRowBandSize w:val="1"/>
      <w:tblStyleColBandSize w:val="1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themeColor="accent2" w:themeTint="97" w:themeShade="95"/>
        <w:sz w:val="22"/>
      </w:rPr>
      <w:tblPr/>
      <w:tcPr>
        <w:shd w:val="clear" w:color="F2DCDC" w:fill="F2DCDC" w:themeFill="accent2" w:themeFillTint="32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7" w:themeShade="95"/>
        <w:sz w:val="22"/>
      </w:rPr>
      <w:tblPr/>
    </w:tblStylePr>
    <w:tblStylePr w:type="firstCol">
      <w:pPr>
        <w:jc w:val="right"/>
      </w:pPr>
      <w:rPr>
        <w:i/>
        <w:color w:themeColor="accent2" w:themeTint="97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sz="4" w:space="0"/>
        </w:tcBorders>
        <w:shd w:val="clear" w:color="FFFFFF" w:fill="auto"/>
      </w:tcPr>
    </w:tblStylePr>
    <w:tblStylePr w:type="firstRow">
      <w:rPr>
        <w:b/>
        <w:color w:themeColor="accent2" w:themeTint="97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D99695" w:themeColor="accent2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themeColor="accent2" w:themeTint="97" w:themeShade="95"/>
        <w:sz w:val="22"/>
      </w:rPr>
      <w:tblPr/>
      <w:tcPr>
        <w:tcBorders>
          <w:top w:val="none" w:color="000000" w:sz="4" w:space="0"/>
          <w:left w:val="single" w:color="D99695" w:themeColor="accent2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themeColor="accent2" w:themeTint="97" w:themeShade="95"/>
        <w:sz w:val="22"/>
      </w:rPr>
      <w:tblPr/>
      <w:tcPr>
        <w:tcBorders>
          <w:top w:val="single" w:color="D99695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customStyle="1" w:styleId="847">
    <w:name w:val="Grid Table 7 Colorful - Accent 3"/>
    <w:uiPriority w:val="99"/>
    <w:tblPr>
      <w:tblStyleRowBandSize w:val="1"/>
      <w:tblStyleColBandSize w:val="1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themeColor="accent3" w:themeTint="fe" w:themeShade="95"/>
        <w:sz w:val="22"/>
      </w:rPr>
      <w:tblPr/>
      <w:tcPr>
        <w:shd w:val="clear" w:color="EAF1DC" w:fill="EAF1DC" w:themeFill="accent3" w:themeFillTint="34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2Horz">
      <w:rPr>
        <w:color w:themeColor="accent3" w:themeTint="fe" w:themeShade="95"/>
        <w:sz w:val="22"/>
      </w:rPr>
      <w:tblPr/>
    </w:tblStylePr>
    <w:tblStylePr w:type="firstCol">
      <w:pPr>
        <w:jc w:val="right"/>
      </w:pPr>
      <w:rPr>
        <w:i/>
        <w:color w:themeColor="accent3" w:themeTint="fe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ABB59" w:themeColor="accent3" w:sz="4" w:space="0"/>
        </w:tcBorders>
        <w:shd w:val="clear" w:color="FFFFFF" w:fill="auto"/>
      </w:tcPr>
    </w:tblStylePr>
    <w:tblStylePr w:type="firstRow">
      <w:rPr>
        <w:b/>
        <w:color w:themeColor="accent3" w:themeTint="fe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9ABB59" w:themeColor="accent3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themeColor="accent3" w:themeTint="fe" w:themeShade="95"/>
        <w:sz w:val="22"/>
      </w:rPr>
      <w:tblPr/>
      <w:tcPr>
        <w:tcBorders>
          <w:top w:val="none" w:color="000000" w:sz="4" w:space="0"/>
          <w:left w:val="single" w:color="9ABB59" w:themeColor="accent3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themeColor="accent3" w:themeTint="fe" w:themeShade="95"/>
        <w:sz w:val="22"/>
      </w:rPr>
      <w:tblPr/>
      <w:tcPr>
        <w:tcBorders>
          <w:top w:val="single" w:color="9A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customStyle="1" w:styleId="848">
    <w:name w:val="Grid Table 7 Colorful - Accent 4"/>
    <w:uiPriority w:val="99"/>
    <w:tblPr>
      <w:tblStyleRowBandSize w:val="1"/>
      <w:tblStyleColBandSize w:val="1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themeColor="accent4" w:themeTint="9a" w:themeShade="95"/>
        <w:sz w:val="22"/>
      </w:rPr>
      <w:tblPr/>
      <w:tcPr>
        <w:shd w:val="clear" w:color="E5DFEC" w:fill="E5DFEC" w:themeFill="accent4" w:themeFillTint="34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a" w:themeShade="95"/>
        <w:sz w:val="22"/>
      </w:rPr>
      <w:tblPr/>
    </w:tblStylePr>
    <w:tblStylePr w:type="firstCol">
      <w:pPr>
        <w:jc w:val="right"/>
      </w:pPr>
      <w:rPr>
        <w:i/>
        <w:color w:themeColor="accent4" w:themeTint="9a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sz="4" w:space="0"/>
        </w:tcBorders>
        <w:shd w:val="clear" w:color="FFFFFF" w:fill="auto"/>
      </w:tcPr>
    </w:tblStylePr>
    <w:tblStylePr w:type="firstRow">
      <w:rPr>
        <w:b/>
        <w:color w:themeColor="accent4" w:themeTint="9a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B2A1C6" w:themeColor="accent4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themeColor="accent4" w:themeTint="9a" w:themeShade="95"/>
        <w:sz w:val="22"/>
      </w:rPr>
      <w:tblPr/>
      <w:tcPr>
        <w:tcBorders>
          <w:top w:val="none" w:color="000000" w:sz="4" w:space="0"/>
          <w:left w:val="single" w:color="B2A1C6" w:themeColor="accent4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themeColor="accent4" w:themeTint="9a" w:themeShade="95"/>
        <w:sz w:val="22"/>
      </w:rPr>
      <w:tblPr/>
      <w:tcPr>
        <w:tcBorders>
          <w:top w:val="single" w:color="B2A1C6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customStyle="1" w:styleId="849">
    <w:name w:val="Grid Table 7 Colorful - Accent 5"/>
    <w:uiPriority w:val="99"/>
    <w:tblPr>
      <w:tblStyleRowBandSize w:val="1"/>
      <w:tblStyleColBandSize w:val="1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themeColor="accent5" w:themeShade="95"/>
        <w:sz w:val="22"/>
      </w:rPr>
      <w:tblPr/>
      <w:tcPr>
        <w:shd w:val="clear" w:color="DAEEF3" w:fill="DAEEF3" w:themeFill="accent5" w:themeFillTint="34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5"/>
        <w:sz w:val="22"/>
      </w:rPr>
      <w:tblPr/>
    </w:tblStylePr>
    <w:tblStylePr w:type="firstCol">
      <w:pPr>
        <w:jc w:val="right"/>
      </w:pPr>
      <w:rPr>
        <w:i/>
        <w:color w:themeColor="accent5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9D0DE" w:themeColor="accent5" w:sz="4" w:space="0"/>
        </w:tcBorders>
        <w:shd w:val="clear" w:color="FFFFFF" w:fill="auto"/>
      </w:tcPr>
    </w:tblStylePr>
    <w:tblStylePr w:type="firstRow">
      <w:rPr>
        <w:b/>
        <w:color w:themeColor="accent5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99D0DE" w:themeColor="accent5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themeColor="accent5" w:themeShade="95"/>
        <w:sz w:val="22"/>
      </w:rPr>
      <w:tblPr/>
      <w:tcPr>
        <w:tcBorders>
          <w:top w:val="none" w:color="000000" w:sz="4" w:space="0"/>
          <w:left w:val="single" w:color="99D0DE" w:themeColor="accent5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themeColor="accent5" w:themeShade="95"/>
        <w:sz w:val="22"/>
      </w:rPr>
      <w:tblPr/>
      <w:tcPr>
        <w:tcBorders>
          <w:top w:val="single" w:color="99D0DE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customStyle="1" w:styleId="850">
    <w:name w:val="Grid Table 7 Colorful - Accent 6"/>
    <w:uiPriority w:val="99"/>
    <w:tblPr>
      <w:tblStyleRowBandSize w:val="1"/>
      <w:tblStyleColBandSize w:val="1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themeColor="accent6" w:themeShade="95"/>
        <w:sz w:val="22"/>
      </w:rPr>
      <w:tblPr/>
      <w:tcPr>
        <w:shd w:val="clear" w:color="FDE9D8" w:fill="FDE9D8" w:themeFill="accent6" w:themeFillTint="34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2Horz">
      <w:rPr>
        <w:color w:themeColor="accent6" w:themeShade="95"/>
        <w:sz w:val="22"/>
      </w:rPr>
      <w:tblPr/>
    </w:tblStylePr>
    <w:tblStylePr w:type="firstCol">
      <w:pPr>
        <w:jc w:val="right"/>
      </w:pPr>
      <w:rPr>
        <w:i/>
        <w:color w:themeColor="accent6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396" w:themeColor="accent6" w:sz="4" w:space="0"/>
        </w:tcBorders>
        <w:shd w:val="clear" w:color="FFFFFF" w:fill="auto"/>
      </w:tcPr>
    </w:tblStylePr>
    <w:tblStylePr w:type="firstRow">
      <w:rPr>
        <w:b/>
        <w:color w:themeColor="accent6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FAC396" w:themeColor="accent6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themeColor="accent6" w:themeShade="95"/>
        <w:sz w:val="22"/>
      </w:rPr>
      <w:tblPr/>
      <w:tcPr>
        <w:tcBorders>
          <w:top w:val="none" w:color="000000" w:sz="4" w:space="0"/>
          <w:left w:val="single" w:color="FAC396" w:themeColor="accent6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themeColor="accent6" w:themeShade="95"/>
        <w:sz w:val="22"/>
      </w:rPr>
      <w:tblPr/>
      <w:tcPr>
        <w:tcBorders>
          <w:top w:val="single" w:color="FAC39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customStyle="1" w:styleId="851">
    <w:name w:val="List Table 1 Light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tblPr/>
      <w:tcPr>
        <w:shd w:val="clear" w:color="BFBFBF" w:fill="BFBFBF" w:themeFill="text1" w:themeFillTint="40"/>
      </w:tcPr>
    </w:tblStylePr>
    <w:tblStylePr w:type="band1Vert">
      <w:tblPr/>
      <w:tcPr>
        <w:shd w:val="clear" w:color="BFBFBF" w:fill="BFBFBF" w:themeFill="text1" w:themeFillTint="40"/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customStyle="1" w:styleId="852">
    <w:name w:val="List Table 1 Light - Accent 1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tblPr/>
      <w:tcPr>
        <w:shd w:val="clear" w:color="D2DFEE" w:fill="D2DFEE" w:themeFill="accent1" w:themeFillTint="40"/>
      </w:tcPr>
    </w:tblStylePr>
    <w:tblStylePr w:type="band1Vert">
      <w:tblPr/>
      <w:tcPr>
        <w:shd w:val="clear" w:color="D2DFEE" w:fill="D2DFEE" w:themeFill="accent1" w:themeFillTint="40"/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customStyle="1" w:styleId="853">
    <w:name w:val="List Table 1 Light - Accent 2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tblPr/>
      <w:tcPr>
        <w:shd w:val="clear" w:color="EFD2D2" w:fill="EFD2D2" w:themeFill="accent2" w:themeFillTint="40"/>
      </w:tcPr>
    </w:tblStylePr>
    <w:tblStylePr w:type="band1Vert">
      <w:tblPr/>
      <w:tcPr>
        <w:shd w:val="clear" w:color="EFD2D2" w:fill="EFD2D2" w:themeFill="accent2" w:themeFillTint="40"/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customStyle="1" w:styleId="854">
    <w:name w:val="List Table 1 Light - Accent 3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tblPr/>
      <w:tcPr>
        <w:shd w:val="clear" w:color="E5EED5" w:fill="E5EED5" w:themeFill="accent3" w:themeFillTint="40"/>
      </w:tcPr>
    </w:tblStylePr>
    <w:tblStylePr w:type="band1Vert">
      <w:tblPr/>
      <w:tcPr>
        <w:shd w:val="clear" w:color="E5EED5" w:fill="E5EED5" w:themeFill="accent3" w:themeFillTint="40"/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customStyle="1" w:styleId="855">
    <w:name w:val="List Table 1 Light - Accent 4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tblPr/>
      <w:tcPr>
        <w:shd w:val="clear" w:color="DFD8E7" w:fill="DFD8E7" w:themeFill="accent4" w:themeFillTint="40"/>
      </w:tcPr>
    </w:tblStylePr>
    <w:tblStylePr w:type="band1Vert">
      <w:tblPr/>
      <w:tcPr>
        <w:shd w:val="clear" w:color="DFD8E7" w:fill="DFD8E7" w:themeFill="accent4" w:themeFillTint="40"/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customStyle="1" w:styleId="856">
    <w:name w:val="List Table 1 Light - Accent 5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tblPr/>
      <w:tcPr>
        <w:shd w:val="clear" w:color="D1EAF0" w:fill="D1EAF0" w:themeFill="accent5" w:themeFillTint="40"/>
      </w:tcPr>
    </w:tblStylePr>
    <w:tblStylePr w:type="band1Vert">
      <w:tblPr/>
      <w:tcPr>
        <w:shd w:val="clear" w:color="D1EAF0" w:fill="D1EAF0" w:themeFill="accent5" w:themeFillTint="40"/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customStyle="1" w:styleId="857">
    <w:name w:val="List Table 1 Light - Accent 6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tblPr/>
      <w:tcPr>
        <w:shd w:val="clear" w:color="FDE4D0" w:fill="FDE4D0" w:themeFill="accent6" w:themeFillTint="40"/>
      </w:tcPr>
    </w:tblStylePr>
    <w:tblStylePr w:type="band1Vert">
      <w:tblPr/>
      <w:tcPr>
        <w:shd w:val="clear" w:color="FDE4D0" w:fill="FDE4D0" w:themeFill="accent6" w:themeFillTint="40"/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customStyle="1" w:styleId="858">
    <w:name w:val="List Table 2"/>
    <w:uiPriority w:val="99"/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BFBFBF" w:fill="BFBFBF" w:themeFill="text1" w:themeFillTint="40"/>
      </w:tc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firstCol">
      <w:rPr>
        <w:b/>
        <w:sz w:val="22"/>
      </w:rPr>
      <w:tblPr/>
    </w:tblStylePr>
    <w:tblStylePr w:type="firstRow">
      <w:rPr>
        <w:b/>
        <w:sz w:val="22"/>
      </w:rPr>
      <w:tblPr/>
      <w:tcPr>
        <w:tcBorders>
          <w:top w:val="single" w:color="6F6F6F" w:themeColor="text1" w:sz="4" w:space="0"/>
          <w:left w:val="none" w:color="000000" w:sz="4" w:space="0"/>
          <w:bottom w:val="single" w:color="6F6F6F" w:themeColor="text1" w:sz="4" w:space="0"/>
          <w:right w:val="none" w:color="000000" w:sz="4" w:space="0"/>
        </w:tcBorders>
      </w:tcPr>
    </w:tblStylePr>
    <w:tblStylePr w:type="lastCol">
      <w:rPr>
        <w:b/>
        <w:sz w:val="22"/>
      </w:rPr>
      <w:tblPr/>
    </w:tblStylePr>
    <w:tblStylePr w:type="lastRow">
      <w:rPr>
        <w:b/>
        <w:sz w:val="22"/>
      </w:rPr>
      <w:tblPr/>
      <w:tcPr>
        <w:tcBorders>
          <w:top w:val="single" w:color="6F6F6F" w:themeColor="text1" w:sz="4" w:space="0"/>
          <w:left w:val="none" w:color="000000" w:sz="4" w:space="0"/>
          <w:bottom w:val="single" w:color="6F6F6F" w:themeColor="text1" w:sz="4" w:space="0"/>
          <w:right w:val="none" w:color="000000" w:sz="4" w:space="0"/>
        </w:tcBorders>
      </w:tcPr>
    </w:tblStylePr>
  </w:style>
  <w:style w:type="table" w:customStyle="1" w:styleId="859">
    <w:name w:val="List Table 2 - Accent 1"/>
    <w:uiPriority w:val="99"/>
    <w:tblPr>
      <w:tblStyleRowBandSize w:val="1"/>
      <w:tblStyleColBandSize w:val="1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D2DFEE" w:fill="D2DFEE" w:themeFill="accent1" w:themeFillTint="40"/>
      </w:tc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firstCol">
      <w:rPr>
        <w:b/>
        <w:sz w:val="22"/>
      </w:rPr>
      <w:tblPr/>
    </w:tblStylePr>
    <w:tblStylePr w:type="firstRow">
      <w:rPr>
        <w:b/>
        <w:sz w:val="22"/>
      </w:rPr>
      <w:tblPr/>
      <w:tcPr>
        <w:tcBorders>
          <w:top w:val="single" w:color="9BB7D9" w:themeColor="accent1" w:sz="4" w:space="0"/>
          <w:left w:val="none" w:color="000000" w:sz="4" w:space="0"/>
          <w:bottom w:val="single" w:color="9BB7D9" w:themeColor="accent1" w:sz="4" w:space="0"/>
          <w:right w:val="none" w:color="000000" w:sz="4" w:space="0"/>
        </w:tcBorders>
      </w:tcPr>
    </w:tblStylePr>
    <w:tblStylePr w:type="lastCol">
      <w:rPr>
        <w:b/>
        <w:sz w:val="22"/>
      </w:rPr>
      <w:tblPr/>
    </w:tblStylePr>
    <w:tblStylePr w:type="lastRow">
      <w:rPr>
        <w:b/>
        <w:sz w:val="22"/>
      </w:rPr>
      <w:tblPr/>
      <w:tcPr>
        <w:tcBorders>
          <w:top w:val="single" w:color="9BB7D9" w:themeColor="accent1" w:sz="4" w:space="0"/>
          <w:left w:val="none" w:color="000000" w:sz="4" w:space="0"/>
          <w:bottom w:val="single" w:color="9BB7D9" w:themeColor="accent1" w:sz="4" w:space="0"/>
          <w:right w:val="none" w:color="000000" w:sz="4" w:space="0"/>
        </w:tcBorders>
      </w:tcPr>
    </w:tblStylePr>
  </w:style>
  <w:style w:type="table" w:customStyle="1" w:styleId="860">
    <w:name w:val="List Table 2 - Accent 2"/>
    <w:uiPriority w:val="99"/>
    <w:tblPr>
      <w:tblStyleRowBandSize w:val="1"/>
      <w:tblStyleColBandSize w:val="1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EFD2D2" w:fill="EFD2D2" w:themeFill="accent2" w:themeFillTint="40"/>
      </w:tc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firstCol">
      <w:rPr>
        <w:b/>
        <w:sz w:val="22"/>
      </w:rPr>
      <w:tblPr/>
    </w:tblStylePr>
    <w:tblStylePr w:type="firstRow">
      <w:rPr>
        <w:b/>
        <w:sz w:val="22"/>
      </w:rPr>
      <w:tblPr/>
      <w:tcPr>
        <w:tcBorders>
          <w:top w:val="single" w:color="DB9B9A" w:themeColor="accent2" w:sz="4" w:space="0"/>
          <w:left w:val="none" w:color="000000" w:sz="4" w:space="0"/>
          <w:bottom w:val="single" w:color="DB9B9A" w:themeColor="accent2" w:sz="4" w:space="0"/>
          <w:right w:val="none" w:color="000000" w:sz="4" w:space="0"/>
        </w:tcBorders>
      </w:tcPr>
    </w:tblStylePr>
    <w:tblStylePr w:type="lastCol">
      <w:rPr>
        <w:b/>
        <w:sz w:val="22"/>
      </w:rPr>
      <w:tblPr/>
    </w:tblStylePr>
    <w:tblStylePr w:type="lastRow">
      <w:rPr>
        <w:b/>
        <w:sz w:val="22"/>
      </w:rPr>
      <w:tblPr/>
      <w:tcPr>
        <w:tcBorders>
          <w:top w:val="single" w:color="DB9B9A" w:themeColor="accent2" w:sz="4" w:space="0"/>
          <w:left w:val="none" w:color="000000" w:sz="4" w:space="0"/>
          <w:bottom w:val="single" w:color="DB9B9A" w:themeColor="accent2" w:sz="4" w:space="0"/>
          <w:right w:val="none" w:color="000000" w:sz="4" w:space="0"/>
        </w:tcBorders>
      </w:tcPr>
    </w:tblStylePr>
  </w:style>
  <w:style w:type="table" w:customStyle="1" w:styleId="861">
    <w:name w:val="List Table 2 - Accent 3"/>
    <w:uiPriority w:val="99"/>
    <w:tblPr>
      <w:tblStyleRowBandSize w:val="1"/>
      <w:tblStyleColBandSize w:val="1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E5EED5" w:fill="E5EED5" w:themeFill="accent3" w:themeFillTint="40"/>
      </w:tc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firstCol">
      <w:rPr>
        <w:b/>
        <w:sz w:val="22"/>
      </w:rPr>
      <w:tblPr/>
    </w:tblStylePr>
    <w:tblStylePr w:type="firstRow">
      <w:rPr>
        <w:b/>
        <w:sz w:val="22"/>
      </w:rPr>
      <w:tblPr/>
      <w:tcPr>
        <w:tcBorders>
          <w:top w:val="single" w:color="C6D8A1" w:themeColor="accent3" w:sz="4" w:space="0"/>
          <w:left w:val="none" w:color="000000" w:sz="4" w:space="0"/>
          <w:bottom w:val="single" w:color="C6D8A1" w:themeColor="accent3" w:sz="4" w:space="0"/>
          <w:right w:val="none" w:color="000000" w:sz="4" w:space="0"/>
        </w:tcBorders>
      </w:tcPr>
    </w:tblStylePr>
    <w:tblStylePr w:type="lastCol">
      <w:rPr>
        <w:b/>
        <w:sz w:val="22"/>
      </w:rPr>
      <w:tblPr/>
    </w:tblStylePr>
    <w:tblStylePr w:type="lastRow">
      <w:rPr>
        <w:b/>
        <w:sz w:val="22"/>
      </w:rPr>
      <w:tblPr/>
      <w:tcPr>
        <w:tcBorders>
          <w:top w:val="single" w:color="C6D8A1" w:themeColor="accent3" w:sz="4" w:space="0"/>
          <w:left w:val="none" w:color="000000" w:sz="4" w:space="0"/>
          <w:bottom w:val="single" w:color="C6D8A1" w:themeColor="accent3" w:sz="4" w:space="0"/>
          <w:right w:val="none" w:color="000000" w:sz="4" w:space="0"/>
        </w:tcBorders>
      </w:tcPr>
    </w:tblStylePr>
  </w:style>
  <w:style w:type="table" w:customStyle="1" w:styleId="862">
    <w:name w:val="List Table 2 - Accent 4"/>
    <w:uiPriority w:val="99"/>
    <w:tblPr>
      <w:tblStyleRowBandSize w:val="1"/>
      <w:tblStyleColBandSize w:val="1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DFD8E7" w:fill="DFD8E7" w:themeFill="accent4" w:themeFillTint="40"/>
      </w:tc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firstCol">
      <w:rPr>
        <w:b/>
        <w:sz w:val="22"/>
      </w:rPr>
      <w:tblPr/>
    </w:tblStylePr>
    <w:tblStylePr w:type="firstRow">
      <w:rPr>
        <w:b/>
        <w:sz w:val="22"/>
      </w:rPr>
      <w:tblPr/>
      <w:tcPr>
        <w:tcBorders>
          <w:top w:val="single" w:color="B7A7CA" w:themeColor="accent4" w:sz="4" w:space="0"/>
          <w:left w:val="none" w:color="000000" w:sz="4" w:space="0"/>
          <w:bottom w:val="single" w:color="B7A7CA" w:themeColor="accent4" w:sz="4" w:space="0"/>
          <w:right w:val="none" w:color="000000" w:sz="4" w:space="0"/>
        </w:tcBorders>
      </w:tcPr>
    </w:tblStylePr>
    <w:tblStylePr w:type="lastCol">
      <w:rPr>
        <w:b/>
        <w:sz w:val="22"/>
      </w:rPr>
      <w:tblPr/>
    </w:tblStylePr>
    <w:tblStylePr w:type="lastRow">
      <w:rPr>
        <w:b/>
        <w:sz w:val="22"/>
      </w:rPr>
      <w:tblPr/>
      <w:tcPr>
        <w:tcBorders>
          <w:top w:val="single" w:color="B7A7CA" w:themeColor="accent4" w:sz="4" w:space="0"/>
          <w:left w:val="none" w:color="000000" w:sz="4" w:space="0"/>
          <w:bottom w:val="single" w:color="B7A7CA" w:themeColor="accent4" w:sz="4" w:space="0"/>
          <w:right w:val="none" w:color="000000" w:sz="4" w:space="0"/>
        </w:tcBorders>
      </w:tcPr>
    </w:tblStylePr>
  </w:style>
  <w:style w:type="table" w:customStyle="1" w:styleId="863">
    <w:name w:val="List Table 2 - Accent 5"/>
    <w:uiPriority w:val="99"/>
    <w:tblPr>
      <w:tblStyleRowBandSize w:val="1"/>
      <w:tblStyleColBandSize w:val="1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D1EAF0" w:fill="D1EAF0" w:themeFill="accent5" w:themeFillTint="40"/>
      </w:tc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firstCol">
      <w:rPr>
        <w:b/>
        <w:sz w:val="22"/>
      </w:rPr>
      <w:tblPr/>
    </w:tblStylePr>
    <w:tblStylePr w:type="firstRow">
      <w:rPr>
        <w:b/>
        <w:sz w:val="22"/>
      </w:rPr>
      <w:tblPr/>
      <w:tcPr>
        <w:tcBorders>
          <w:top w:val="single" w:color="99D0DE" w:themeColor="accent5" w:sz="4" w:space="0"/>
          <w:left w:val="none" w:color="000000" w:sz="4" w:space="0"/>
          <w:bottom w:val="single" w:color="99D0DE" w:themeColor="accent5" w:sz="4" w:space="0"/>
          <w:right w:val="none" w:color="000000" w:sz="4" w:space="0"/>
        </w:tcBorders>
      </w:tcPr>
    </w:tblStylePr>
    <w:tblStylePr w:type="lastCol">
      <w:rPr>
        <w:b/>
        <w:sz w:val="22"/>
      </w:rPr>
      <w:tblPr/>
    </w:tblStylePr>
    <w:tblStylePr w:type="lastRow">
      <w:rPr>
        <w:b/>
        <w:sz w:val="22"/>
      </w:rPr>
      <w:tblPr/>
      <w:tcPr>
        <w:tcBorders>
          <w:top w:val="single" w:color="99D0DE" w:themeColor="accent5" w:sz="4" w:space="0"/>
          <w:left w:val="none" w:color="000000" w:sz="4" w:space="0"/>
          <w:bottom w:val="single" w:color="99D0DE" w:themeColor="accent5" w:sz="4" w:space="0"/>
          <w:right w:val="none" w:color="000000" w:sz="4" w:space="0"/>
        </w:tcBorders>
      </w:tcPr>
    </w:tblStylePr>
  </w:style>
  <w:style w:type="table" w:customStyle="1" w:styleId="864">
    <w:name w:val="List Table 2 - Accent 6"/>
    <w:uiPriority w:val="99"/>
    <w:tblPr>
      <w:tblStyleRowBandSize w:val="1"/>
      <w:tblStyleColBandSize w:val="1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FDE4D0" w:fill="FDE4D0" w:themeFill="accent6" w:themeFillTint="40"/>
      </w:tc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firstCol">
      <w:rPr>
        <w:b/>
        <w:sz w:val="22"/>
      </w:rPr>
      <w:tblPr/>
    </w:tblStylePr>
    <w:tblStylePr w:type="firstRow">
      <w:rPr>
        <w:b/>
        <w:sz w:val="22"/>
      </w:rPr>
      <w:tblPr/>
      <w:tcPr>
        <w:tcBorders>
          <w:top w:val="single" w:color="FAC396" w:themeColor="accent6" w:sz="4" w:space="0"/>
          <w:left w:val="none" w:color="000000" w:sz="4" w:space="0"/>
          <w:bottom w:val="single" w:color="FAC396" w:themeColor="accent6" w:sz="4" w:space="0"/>
          <w:right w:val="none" w:color="000000" w:sz="4" w:space="0"/>
        </w:tcBorders>
      </w:tcPr>
    </w:tblStylePr>
    <w:tblStylePr w:type="lastCol">
      <w:rPr>
        <w:b/>
        <w:sz w:val="22"/>
      </w:rPr>
      <w:tblPr/>
    </w:tblStylePr>
    <w:tblStylePr w:type="lastRow">
      <w:rPr>
        <w:b/>
        <w:sz w:val="22"/>
      </w:rPr>
      <w:tblPr/>
      <w:tcPr>
        <w:tcBorders>
          <w:top w:val="single" w:color="FAC396" w:themeColor="accent6" w:sz="4" w:space="0"/>
          <w:left w:val="none" w:color="000000" w:sz="4" w:space="0"/>
          <w:bottom w:val="single" w:color="FAC396" w:themeColor="accent6" w:sz="4" w:space="0"/>
          <w:right w:val="none" w:color="000000" w:sz="4" w:space="0"/>
        </w:tcBorders>
      </w:tcPr>
    </w:tblStylePr>
  </w:style>
  <w:style w:type="table" w:customStyle="1" w:styleId="865">
    <w:name w:val="List Table 3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customStyle="1" w:styleId="866">
    <w:name w:val="List Table 3 - Accent 1"/>
    <w:uiPriority w:val="99"/>
    <w:tblPr>
      <w:tblStyleRowBandSize w:val="1"/>
      <w:tblStyleColBandSize w:val="1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sz w:val="22"/>
      </w:rPr>
      <w:tblPr/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customStyle="1" w:styleId="867">
    <w:name w:val="List Table 3 - Accent 2"/>
    <w:uiPriority w:val="99"/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tcBorders>
          <w:top w:val="single" w:color="D99695" w:themeColor="accent2" w:sz="4" w:space="0"/>
          <w:bottom w:val="single" w:color="D99695" w:themeColor="accent2" w:sz="4" w:space="0"/>
        </w:tcBorders>
      </w:tcPr>
    </w:tblStylePr>
    <w:tblStylePr w:type="band1Vert">
      <w:rPr>
        <w:sz w:val="22"/>
      </w:rPr>
      <w:tblPr/>
      <w:tcPr>
        <w:tcBorders>
          <w:left w:val="single" w:color="D99695" w:themeColor="accent2" w:sz="4" w:space="0"/>
          <w:right w:val="single" w:color="D99695" w:themeColor="accent2" w:sz="4" w:space="0"/>
        </w:tcBorders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customStyle="1" w:styleId="868">
    <w:name w:val="List Table 3 - Accent 3"/>
    <w:uiPriority w:val="99"/>
    <w:tblPr>
      <w:tblStyleRowBandSize w:val="1"/>
      <w:tblStyleColBandSize w:val="1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tcBorders>
          <w:top w:val="single" w:color="C3D69B" w:themeColor="accent3" w:sz="4" w:space="0"/>
          <w:bottom w:val="single" w:color="C3D69B" w:themeColor="accent3" w:sz="4" w:space="0"/>
        </w:tcBorders>
      </w:tcPr>
    </w:tblStylePr>
    <w:tblStylePr w:type="band1Vert">
      <w:rPr>
        <w:sz w:val="22"/>
      </w:rPr>
      <w:tblPr/>
      <w:tcPr>
        <w:tcBorders>
          <w:left w:val="single" w:color="C3D69B" w:themeColor="accent3" w:sz="4" w:space="0"/>
          <w:right w:val="single" w:color="C3D69B" w:themeColor="accent3" w:sz="4" w:space="0"/>
        </w:tcBorders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customStyle="1" w:styleId="869">
    <w:name w:val="List Table 3 - Accent 4"/>
    <w:uiPriority w:val="99"/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tcBorders>
          <w:top w:val="single" w:color="B2A1C6" w:themeColor="accent4" w:sz="4" w:space="0"/>
          <w:bottom w:val="single" w:color="B2A1C6" w:themeColor="accent4" w:sz="4" w:space="0"/>
        </w:tcBorders>
      </w:tcPr>
    </w:tblStylePr>
    <w:tblStylePr w:type="band1Vert">
      <w:rPr>
        <w:sz w:val="22"/>
      </w:rPr>
      <w:tblPr/>
      <w:tcPr>
        <w:tcBorders>
          <w:left w:val="single" w:color="B2A1C6" w:themeColor="accent4" w:sz="4" w:space="0"/>
          <w:right w:val="single" w:color="B2A1C6" w:themeColor="accent4" w:sz="4" w:space="0"/>
        </w:tcBorders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customStyle="1" w:styleId="870">
    <w:name w:val="List Table 3 - Accent 5"/>
    <w:uiPriority w:val="99"/>
    <w:tblPr>
      <w:tblStyleRowBandSize w:val="1"/>
      <w:tblStyleColBandSize w:val="1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tcBorders>
          <w:top w:val="single" w:color="92CCDC" w:themeColor="accent5" w:sz="4" w:space="0"/>
          <w:bottom w:val="single" w:color="92CCDC" w:themeColor="accent5" w:sz="4" w:space="0"/>
        </w:tcBorders>
      </w:tcPr>
    </w:tblStylePr>
    <w:tblStylePr w:type="band1Vert">
      <w:rPr>
        <w:sz w:val="22"/>
      </w:rPr>
      <w:tblPr/>
      <w:tcPr>
        <w:tcBorders>
          <w:left w:val="single" w:color="92CCDC" w:themeColor="accent5" w:sz="4" w:space="0"/>
          <w:right w:val="single" w:color="92CCDC" w:themeColor="accent5" w:sz="4" w:space="0"/>
        </w:tcBorders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customStyle="1" w:styleId="871">
    <w:name w:val="List Table 3 - Accent 6"/>
    <w:uiPriority w:val="99"/>
    <w:tblPr>
      <w:tblStyleRowBandSize w:val="1"/>
      <w:tblStyleColBandSize w:val="1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tcBorders>
          <w:top w:val="single" w:color="FAC090" w:themeColor="accent6" w:sz="4" w:space="0"/>
          <w:bottom w:val="single" w:color="FAC090" w:themeColor="accent6" w:sz="4" w:space="0"/>
        </w:tcBorders>
      </w:tcPr>
    </w:tblStylePr>
    <w:tblStylePr w:type="band1Vert">
      <w:rPr>
        <w:sz w:val="22"/>
      </w:rPr>
      <w:tblPr/>
      <w:tcPr>
        <w:tcBorders>
          <w:left w:val="single" w:color="FAC090" w:themeColor="accent6" w:sz="4" w:space="0"/>
          <w:right w:val="single" w:color="FAC090" w:themeColor="accent6" w:sz="4" w:space="0"/>
        </w:tcBorders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customStyle="1" w:styleId="872">
    <w:name w:val="List Table 4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BFBFBF" w:fill="BFBFBF" w:themeFill="text1" w:themeFillTint="40"/>
      </w:tc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customStyle="1" w:styleId="873">
    <w:name w:val="List Table 4 - Accent 1"/>
    <w:uiPriority w:val="99"/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D2DFEE" w:fill="D2DFEE" w:themeFill="accent1" w:themeFillTint="40"/>
      </w:tc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customStyle="1" w:styleId="874">
    <w:name w:val="List Table 4 - Accent 2"/>
    <w:uiPriority w:val="99"/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EFD2D2" w:fill="EFD2D2" w:themeFill="accent2" w:themeFillTint="40"/>
      </w:tc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customStyle="1" w:styleId="875">
    <w:name w:val="List Table 4 - Accent 3"/>
    <w:uiPriority w:val="99"/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E5EED5" w:fill="E5EED5" w:themeFill="accent3" w:themeFillTint="40"/>
      </w:tc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customStyle="1" w:styleId="876">
    <w:name w:val="List Table 4 - Accent 4"/>
    <w:uiPriority w:val="99"/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DFD8E7" w:fill="DFD8E7" w:themeFill="accent4" w:themeFillTint="40"/>
      </w:tc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customStyle="1" w:styleId="877">
    <w:name w:val="List Table 4 - Accent 5"/>
    <w:uiPriority w:val="99"/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D1EAF0" w:fill="D1EAF0" w:themeFill="accent5" w:themeFillTint="40"/>
      </w:tc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customStyle="1" w:styleId="878">
    <w:name w:val="List Table 4 - Accent 6"/>
    <w:uiPriority w:val="99"/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shd w:val="clear" w:color="FDE4D0" w:fill="FDE4D0" w:themeFill="accent6" w:themeFillTint="40"/>
      </w:tc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customStyle="1" w:styleId="879">
    <w:name w:val="List Table 5 Dark"/>
    <w:uiPriority w:val="99"/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themeColor="light1"/>
        <w:sz w:val="22"/>
      </w:rPr>
      <w:tblPr/>
      <w:tcPr>
        <w:tcBorders>
          <w:left w:val="single" w:color="7F7F7F" w:themeColor="text1" w:sz="32" w:space="0"/>
          <w:right w:val="single" w:color="FFFFFF" w:themeColor="light1" w:sz="4" w:space="0"/>
        </w:tcBorders>
      </w:tcPr>
    </w:tblStylePr>
    <w:tblStylePr w:type="firstRow">
      <w:rPr>
        <w:b/>
        <w:color w:themeColor="light1"/>
        <w:sz w:val="22"/>
      </w:rPr>
      <w:tblPr/>
      <w:tcPr>
        <w:tcBorders>
          <w:top w:val="single" w:color="7F7F7F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Col">
      <w:tblPr/>
      <w:tcPr>
        <w:tcBorders>
          <w:left w:val="single" w:color="FFFFFF" w:themeColor="light1" w:sz="4" w:space="0"/>
          <w:right w:val="single" w:color="7F7F7F" w:themeColor="text1" w:sz="32" w:space="0"/>
        </w:tcBorders>
      </w:tcPr>
    </w:tblStylePr>
    <w:tblStylePr w:type="lastRow">
      <w:rPr>
        <w:b/>
        <w:color w:themeColor="light1"/>
        <w:sz w:val="22"/>
      </w:rPr>
      <w:tblPr/>
    </w:tblStylePr>
  </w:style>
  <w:style w:type="table" w:customStyle="1" w:styleId="880">
    <w:name w:val="List Table 5 Dark - Accent 1"/>
    <w:uiPriority w:val="99"/>
    <w:tblPr>
      <w:tblStyleRowBandSize w:val="1"/>
      <w:tblStyleColBandSize w:val="1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4F81BD" w:fill="4F81BD" w:themeFill="accent1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themeColor="light1"/>
        <w:sz w:val="22"/>
      </w:rPr>
      <w:tblPr/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b/>
        <w:color w:themeColor="light1"/>
        <w:sz w:val="22"/>
      </w:rPr>
      <w:tblPr/>
      <w:tcPr>
        <w:tcBorders>
          <w:top w:val="single" w:color="4F81BD" w:themeColor="accent1" w:sz="32" w:space="0"/>
          <w:bottom w:val="single" w:color="FFFFFF" w:themeColor="light1" w:sz="12" w:space="0"/>
        </w:tcBorders>
        <w:shd w:val="clear" w:color="4F81BD" w:fill="4F81BD" w:themeFill="accent1"/>
      </w:tcPr>
    </w:tblStylePr>
    <w:tblStylePr w:type="lastCol">
      <w:tblPr/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b/>
        <w:color w:themeColor="light1"/>
        <w:sz w:val="22"/>
      </w:rPr>
      <w:tblPr/>
    </w:tblStylePr>
  </w:style>
  <w:style w:type="table" w:customStyle="1" w:styleId="881">
    <w:name w:val="List Table 5 Dark - Accent 2"/>
    <w:uiPriority w:val="99"/>
    <w:tblPr>
      <w:tblStyleRowBandSize w:val="1"/>
      <w:tblStyleColBandSize w:val="1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themeColor="light1"/>
        <w:sz w:val="22"/>
      </w:rPr>
      <w:tblPr/>
      <w:tcPr>
        <w:tcBorders>
          <w:left w:val="single" w:color="D99695" w:themeColor="accent2" w:sz="32" w:space="0"/>
          <w:right w:val="single" w:color="FFFFFF" w:themeColor="light1" w:sz="4" w:space="0"/>
        </w:tcBorders>
      </w:tcPr>
    </w:tblStylePr>
    <w:tblStylePr w:type="firstRow">
      <w:rPr>
        <w:b/>
        <w:color w:themeColor="light1"/>
        <w:sz w:val="22"/>
      </w:rPr>
      <w:tblPr/>
      <w:tcPr>
        <w:tcBorders>
          <w:top w:val="single" w:color="D99695" w:themeColor="accent2" w:sz="32" w:space="0"/>
          <w:bottom w:val="single" w:color="FFFFFF" w:themeColor="light1" w:sz="12" w:space="0"/>
        </w:tcBorders>
        <w:shd w:val="clear" w:color="D99695" w:fill="D99695" w:themeFill="accent2" w:themeFillTint="97"/>
      </w:tcPr>
    </w:tblStylePr>
    <w:tblStylePr w:type="lastCol">
      <w:tblPr/>
      <w:tcPr>
        <w:tcBorders>
          <w:left w:val="single" w:color="FFFFFF" w:themeColor="light1" w:sz="4" w:space="0"/>
          <w:right w:val="single" w:color="D99695" w:themeColor="accent2" w:sz="32" w:space="0"/>
        </w:tcBorders>
      </w:tcPr>
    </w:tblStylePr>
    <w:tblStylePr w:type="lastRow">
      <w:rPr>
        <w:b/>
        <w:color w:themeColor="light1"/>
        <w:sz w:val="22"/>
      </w:rPr>
      <w:tblPr/>
    </w:tblStylePr>
  </w:style>
  <w:style w:type="table" w:customStyle="1" w:styleId="882">
    <w:name w:val="List Table 5 Dark - Accent 3"/>
    <w:uiPriority w:val="99"/>
    <w:tblPr>
      <w:tblStyleRowBandSize w:val="1"/>
      <w:tblStyleColBandSize w:val="1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themeColor="light1"/>
        <w:sz w:val="22"/>
      </w:rPr>
      <w:tblPr/>
      <w:tcPr>
        <w:tcBorders>
          <w:left w:val="single" w:color="C3D69B" w:themeColor="accent3" w:sz="32" w:space="0"/>
          <w:right w:val="single" w:color="FFFFFF" w:themeColor="light1" w:sz="4" w:space="0"/>
        </w:tcBorders>
      </w:tcPr>
    </w:tblStylePr>
    <w:tblStylePr w:type="firstRow">
      <w:rPr>
        <w:b/>
        <w:color w:themeColor="light1"/>
        <w:sz w:val="22"/>
      </w:rPr>
      <w:tblPr/>
      <w:tcPr>
        <w:tcBorders>
          <w:top w:val="single" w:color="C3D69B" w:themeColor="accent3" w:sz="32" w:space="0"/>
          <w:bottom w:val="single" w:color="FFFFFF" w:themeColor="light1" w:sz="12" w:space="0"/>
        </w:tcBorders>
        <w:shd w:val="clear" w:color="C3D69B" w:fill="C3D69B" w:themeFill="accent3" w:themeFillTint="98"/>
      </w:tcPr>
    </w:tblStylePr>
    <w:tblStylePr w:type="lastCol">
      <w:tblPr/>
      <w:tcPr>
        <w:tcBorders>
          <w:left w:val="single" w:color="FFFFFF" w:themeColor="light1" w:sz="4" w:space="0"/>
          <w:right w:val="single" w:color="C3D69B" w:themeColor="accent3" w:sz="32" w:space="0"/>
        </w:tcBorders>
      </w:tcPr>
    </w:tblStylePr>
    <w:tblStylePr w:type="lastRow">
      <w:rPr>
        <w:b/>
        <w:color w:themeColor="light1"/>
        <w:sz w:val="22"/>
      </w:rPr>
      <w:tblPr/>
    </w:tblStylePr>
  </w:style>
  <w:style w:type="table" w:customStyle="1" w:styleId="883">
    <w:name w:val="List Table 5 Dark - Accent 4"/>
    <w:uiPriority w:val="99"/>
    <w:tblPr>
      <w:tblStyleRowBandSize w:val="1"/>
      <w:tblStyleColBandSize w:val="1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themeColor="light1"/>
        <w:sz w:val="22"/>
      </w:rPr>
      <w:tblPr/>
      <w:tcPr>
        <w:tcBorders>
          <w:left w:val="single" w:color="B2A1C6" w:themeColor="accent4" w:sz="32" w:space="0"/>
          <w:right w:val="single" w:color="FFFFFF" w:themeColor="light1" w:sz="4" w:space="0"/>
        </w:tcBorders>
      </w:tcPr>
    </w:tblStylePr>
    <w:tblStylePr w:type="firstRow">
      <w:rPr>
        <w:b/>
        <w:color w:themeColor="light1"/>
        <w:sz w:val="22"/>
      </w:rPr>
      <w:tblPr/>
      <w:tcPr>
        <w:tcBorders>
          <w:top w:val="single" w:color="B2A1C6" w:themeColor="accent4" w:sz="32" w:space="0"/>
          <w:bottom w:val="single" w:color="FFFFFF" w:themeColor="light1" w:sz="12" w:space="0"/>
        </w:tcBorders>
        <w:shd w:val="clear" w:color="B2A1C6" w:fill="B2A1C6" w:themeFill="accent4" w:themeFillTint="9a"/>
      </w:tcPr>
    </w:tblStylePr>
    <w:tblStylePr w:type="lastCol">
      <w:tblPr/>
      <w:tcPr>
        <w:tcBorders>
          <w:left w:val="single" w:color="FFFFFF" w:themeColor="light1" w:sz="4" w:space="0"/>
          <w:right w:val="single" w:color="B2A1C6" w:themeColor="accent4" w:sz="32" w:space="0"/>
        </w:tcBorders>
      </w:tcPr>
    </w:tblStylePr>
    <w:tblStylePr w:type="lastRow">
      <w:rPr>
        <w:b/>
        <w:color w:themeColor="light1"/>
        <w:sz w:val="22"/>
      </w:rPr>
      <w:tblPr/>
    </w:tblStylePr>
  </w:style>
  <w:style w:type="table" w:customStyle="1" w:styleId="884">
    <w:name w:val="List Table 5 Dark - Accent 5"/>
    <w:uiPriority w:val="99"/>
    <w:tblPr>
      <w:tblStyleRowBandSize w:val="1"/>
      <w:tblStyleColBandSize w:val="1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themeColor="light1"/>
        <w:sz w:val="22"/>
      </w:rPr>
      <w:tblPr/>
      <w:tcPr>
        <w:tcBorders>
          <w:left w:val="single" w:color="92CCDC" w:themeColor="accent5" w:sz="32" w:space="0"/>
          <w:right w:val="single" w:color="FFFFFF" w:themeColor="light1" w:sz="4" w:space="0"/>
        </w:tcBorders>
      </w:tcPr>
    </w:tblStylePr>
    <w:tblStylePr w:type="firstRow">
      <w:rPr>
        <w:b/>
        <w:color w:themeColor="light1"/>
        <w:sz w:val="22"/>
      </w:rPr>
      <w:tblPr/>
      <w:tcPr>
        <w:tcBorders>
          <w:top w:val="single" w:color="92CCDC" w:themeColor="accent5" w:sz="32" w:space="0"/>
          <w:bottom w:val="single" w:color="FFFFFF" w:themeColor="light1" w:sz="12" w:space="0"/>
        </w:tcBorders>
        <w:shd w:val="clear" w:color="92CCDC" w:fill="92CCDC" w:themeFill="accent5" w:themeFillTint="9a"/>
      </w:tcPr>
    </w:tblStylePr>
    <w:tblStylePr w:type="lastCol">
      <w:tblPr/>
      <w:tcPr>
        <w:tcBorders>
          <w:left w:val="single" w:color="FFFFFF" w:themeColor="light1" w:sz="4" w:space="0"/>
          <w:right w:val="single" w:color="92CCDC" w:themeColor="accent5" w:sz="32" w:space="0"/>
        </w:tcBorders>
      </w:tcPr>
    </w:tblStylePr>
    <w:tblStylePr w:type="lastRow">
      <w:rPr>
        <w:b/>
        <w:color w:themeColor="light1"/>
        <w:sz w:val="22"/>
      </w:rPr>
      <w:tblPr/>
    </w:tblStylePr>
  </w:style>
  <w:style w:type="table" w:customStyle="1" w:styleId="885">
    <w:name w:val="List Table 5 Dark - Accent 6"/>
    <w:uiPriority w:val="99"/>
    <w:tblPr>
      <w:tblStyleRowBandSize w:val="1"/>
      <w:tblStyleColBandSize w:val="1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themeColor="light1"/>
        <w:sz w:val="22"/>
      </w:rPr>
      <w:tblPr/>
      <w:tcPr>
        <w:tcBorders>
          <w:left w:val="single" w:color="FAC090" w:themeColor="accent6" w:sz="32" w:space="0"/>
          <w:right w:val="single" w:color="FFFFFF" w:themeColor="light1" w:sz="4" w:space="0"/>
        </w:tcBorders>
      </w:tcPr>
    </w:tblStylePr>
    <w:tblStylePr w:type="firstRow">
      <w:rPr>
        <w:b/>
        <w:color w:themeColor="light1"/>
        <w:sz w:val="22"/>
      </w:rPr>
      <w:tblPr/>
      <w:tcPr>
        <w:tcBorders>
          <w:top w:val="single" w:color="FAC090" w:themeColor="accent6" w:sz="32" w:space="0"/>
          <w:bottom w:val="single" w:color="FFFFFF" w:themeColor="light1" w:sz="12" w:space="0"/>
        </w:tcBorders>
        <w:shd w:val="clear" w:color="FAC090" w:fill="FAC090" w:themeFill="accent6" w:themeFillTint="98"/>
      </w:tcPr>
    </w:tblStylePr>
    <w:tblStylePr w:type="lastCol">
      <w:tblPr/>
      <w:tcPr>
        <w:tcBorders>
          <w:left w:val="single" w:color="FFFFFF" w:themeColor="light1" w:sz="4" w:space="0"/>
          <w:right w:val="single" w:color="FAC090" w:themeColor="accent6" w:sz="32" w:space="0"/>
        </w:tcBorders>
      </w:tcPr>
    </w:tblStylePr>
    <w:tblStylePr w:type="lastRow">
      <w:rPr>
        <w:b/>
        <w:color w:themeColor="light1"/>
        <w:sz w:val="22"/>
      </w:rPr>
      <w:tblPr/>
    </w:tblStylePr>
  </w:style>
  <w:style w:type="table" w:customStyle="1" w:styleId="886">
    <w:name w:val="List Table 6 Colorful"/>
    <w:uiPriority w:val="99"/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  <w:tblStylePr w:type="firstCol">
      <w:rPr>
        <w:b/>
        <w:color w:themeColor="text1"/>
      </w:rPr>
      <w:tblPr/>
    </w:tblStylePr>
    <w:tblStylePr w:type="firstRow">
      <w:rPr>
        <w:b/>
        <w:color w:themeColor="text1"/>
      </w:rPr>
      <w:tblPr/>
      <w:tcPr>
        <w:tcBorders>
          <w:bottom w:val="single" w:color="7F7F7F" w:themeColor="text1" w:sz="4" w:space="0"/>
        </w:tcBorders>
      </w:tcPr>
    </w:tblStylePr>
    <w:tblStylePr w:type="lastCol">
      <w:rPr>
        <w:b/>
        <w:color w:themeColor="text1"/>
      </w:rPr>
      <w:tblPr/>
    </w:tblStylePr>
    <w:tblStylePr w:type="lastRow">
      <w:rPr>
        <w:b/>
        <w:color w:themeColor="text1"/>
      </w:rPr>
      <w:tblPr/>
      <w:tcPr>
        <w:tcBorders>
          <w:top w:val="single" w:color="7F7F7F" w:themeColor="text1" w:sz="4" w:space="0"/>
        </w:tcBorders>
      </w:tcPr>
    </w:tblStylePr>
  </w:style>
  <w:style w:type="table" w:customStyle="1" w:styleId="887">
    <w:name w:val="List Table 6 Colorful - Accent 1"/>
    <w:uiPriority w:val="99"/>
    <w:tblPr>
      <w:tblStyleRowBandSize w:val="1"/>
      <w:tblStyleColBandSize w:val="1"/>
      <w:tblBorders>
        <w:top w:val="single" w:color="4F81BD" w:themeColor="accent1" w:sz="4" w:space="0"/>
        <w:bottom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themeColor="accent1" w:themeShade="95"/>
        <w:sz w:val="22"/>
      </w:rPr>
      <w:tblPr/>
      <w:tcPr>
        <w:shd w:val="clear" w:color="D2DFEE" w:fill="D2DFEE" w:themeFill="accent1" w:themeFillTint="40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5"/>
        <w:sz w:val="22"/>
      </w:rPr>
      <w:tblPr/>
    </w:tblStylePr>
    <w:tblStylePr w:type="firstCol">
      <w:rPr>
        <w:b/>
        <w:color w:themeColor="accent1" w:themeShade="95"/>
      </w:rPr>
      <w:tblPr/>
    </w:tblStylePr>
    <w:tblStylePr w:type="firstRow">
      <w:rPr>
        <w:b/>
        <w:color w:themeColor="accent1" w:themeShade="95"/>
      </w:rPr>
      <w:tblPr/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themeColor="accent1" w:themeShade="95"/>
      </w:rPr>
      <w:tblPr/>
    </w:tblStylePr>
    <w:tblStylePr w:type="lastRow">
      <w:rPr>
        <w:b/>
        <w:color w:themeColor="accent1" w:themeShade="95"/>
      </w:rPr>
      <w:tblPr/>
      <w:tcPr>
        <w:tcBorders>
          <w:top w:val="single" w:color="4F81BD" w:themeColor="accent1" w:sz="4" w:space="0"/>
        </w:tcBorders>
      </w:tcPr>
    </w:tblStylePr>
  </w:style>
  <w:style w:type="table" w:customStyle="1" w:styleId="888">
    <w:name w:val="List Table 6 Colorful - Accent 2"/>
    <w:uiPriority w:val="99"/>
    <w:tblPr>
      <w:tblStyleRowBandSize w:val="1"/>
      <w:tblStyleColBandSize w:val="1"/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themeColor="accent2" w:themeTint="97" w:themeShade="95"/>
        <w:sz w:val="22"/>
      </w:rPr>
      <w:tblPr/>
      <w:tcPr>
        <w:shd w:val="clear" w:color="EFD2D2" w:fill="EFD2D2" w:themeFill="accent2" w:themeFillTint="40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7" w:themeShade="95"/>
        <w:sz w:val="22"/>
      </w:rPr>
      <w:tblPr/>
    </w:tblStylePr>
    <w:tblStylePr w:type="firstCol">
      <w:rPr>
        <w:b/>
        <w:color w:themeColor="accent2" w:themeTint="97" w:themeShade="95"/>
      </w:rPr>
      <w:tblPr/>
    </w:tblStylePr>
    <w:tblStylePr w:type="firstRow">
      <w:rPr>
        <w:b/>
        <w:color w:themeColor="accent2" w:themeTint="97" w:themeShade="95"/>
      </w:rPr>
      <w:tblPr/>
      <w:tcPr>
        <w:tcBorders>
          <w:bottom w:val="single" w:color="D99695" w:themeColor="accent2" w:sz="4" w:space="0"/>
        </w:tcBorders>
      </w:tcPr>
    </w:tblStylePr>
    <w:tblStylePr w:type="lastCol">
      <w:rPr>
        <w:b/>
        <w:color w:themeColor="accent2" w:themeTint="97" w:themeShade="95"/>
      </w:rPr>
      <w:tblPr/>
    </w:tblStylePr>
    <w:tblStylePr w:type="lastRow">
      <w:rPr>
        <w:b/>
        <w:color w:themeColor="accent2" w:themeTint="97" w:themeShade="95"/>
      </w:rPr>
      <w:tblPr/>
      <w:tcPr>
        <w:tcBorders>
          <w:top w:val="single" w:color="D99695" w:themeColor="accent2" w:sz="4" w:space="0"/>
        </w:tcBorders>
      </w:tcPr>
    </w:tblStylePr>
  </w:style>
  <w:style w:type="table" w:customStyle="1" w:styleId="889">
    <w:name w:val="List Table 6 Colorful - Accent 3"/>
    <w:uiPriority w:val="99"/>
    <w:tblPr>
      <w:tblStyleRowBandSize w:val="1"/>
      <w:tblStyleColBandSize w:val="1"/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themeColor="accent3" w:themeTint="98" w:themeShade="95"/>
        <w:sz w:val="22"/>
      </w:rPr>
      <w:tblPr/>
      <w:tcPr>
        <w:shd w:val="clear" w:color="E5EED5" w:fill="E5EED5" w:themeFill="accent3" w:themeFillTint="40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8" w:themeShade="95"/>
        <w:sz w:val="22"/>
      </w:rPr>
      <w:tblPr/>
    </w:tblStylePr>
    <w:tblStylePr w:type="firstCol">
      <w:rPr>
        <w:b/>
        <w:color w:themeColor="accent3" w:themeTint="98" w:themeShade="95"/>
      </w:rPr>
      <w:tblPr/>
    </w:tblStylePr>
    <w:tblStylePr w:type="firstRow">
      <w:rPr>
        <w:b/>
        <w:color w:themeColor="accent3" w:themeTint="98" w:themeShade="95"/>
      </w:rPr>
      <w:tblPr/>
      <w:tcPr>
        <w:tcBorders>
          <w:bottom w:val="single" w:color="C3D69B" w:themeColor="accent3" w:sz="4" w:space="0"/>
        </w:tcBorders>
      </w:tcPr>
    </w:tblStylePr>
    <w:tblStylePr w:type="lastCol">
      <w:rPr>
        <w:b/>
        <w:color w:themeColor="accent3" w:themeTint="98" w:themeShade="95"/>
      </w:rPr>
      <w:tblPr/>
    </w:tblStylePr>
    <w:tblStylePr w:type="lastRow">
      <w:rPr>
        <w:b/>
        <w:color w:themeColor="accent3" w:themeTint="98" w:themeShade="95"/>
      </w:rPr>
      <w:tblPr/>
      <w:tcPr>
        <w:tcBorders>
          <w:top w:val="single" w:color="C3D69B" w:themeColor="accent3" w:sz="4" w:space="0"/>
        </w:tcBorders>
      </w:tcPr>
    </w:tblStylePr>
  </w:style>
  <w:style w:type="table" w:customStyle="1" w:styleId="890">
    <w:name w:val="List Table 6 Colorful - Accent 4"/>
    <w:uiPriority w:val="99"/>
    <w:tblPr>
      <w:tblStyleRowBandSize w:val="1"/>
      <w:tblStyleColBandSize w:val="1"/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themeColor="accent4" w:themeTint="9a" w:themeShade="95"/>
        <w:sz w:val="22"/>
      </w:rPr>
      <w:tblPr/>
      <w:tcPr>
        <w:shd w:val="clear" w:color="DFD8E7" w:fill="DFD8E7" w:themeFill="accent4" w:themeFillTint="40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a" w:themeShade="95"/>
        <w:sz w:val="22"/>
      </w:rPr>
      <w:tblPr/>
    </w:tblStylePr>
    <w:tblStylePr w:type="firstCol">
      <w:rPr>
        <w:b/>
        <w:color w:themeColor="accent4" w:themeTint="9a" w:themeShade="95"/>
      </w:rPr>
      <w:tblPr/>
    </w:tblStylePr>
    <w:tblStylePr w:type="firstRow">
      <w:rPr>
        <w:b/>
        <w:color w:themeColor="accent4" w:themeTint="9a" w:themeShade="95"/>
      </w:rPr>
      <w:tblPr/>
      <w:tcPr>
        <w:tcBorders>
          <w:bottom w:val="single" w:color="B2A1C6" w:themeColor="accent4" w:sz="4" w:space="0"/>
        </w:tcBorders>
      </w:tcPr>
    </w:tblStylePr>
    <w:tblStylePr w:type="lastCol">
      <w:rPr>
        <w:b/>
        <w:color w:themeColor="accent4" w:themeTint="9a" w:themeShade="95"/>
      </w:rPr>
      <w:tblPr/>
    </w:tblStylePr>
    <w:tblStylePr w:type="lastRow">
      <w:rPr>
        <w:b/>
        <w:color w:themeColor="accent4" w:themeTint="9a" w:themeShade="95"/>
      </w:rPr>
      <w:tblPr/>
      <w:tcPr>
        <w:tcBorders>
          <w:top w:val="single" w:color="B2A1C6" w:themeColor="accent4" w:sz="4" w:space="0"/>
        </w:tcBorders>
      </w:tcPr>
    </w:tblStylePr>
  </w:style>
  <w:style w:type="table" w:customStyle="1" w:styleId="891">
    <w:name w:val="List Table 6 Colorful - Accent 5"/>
    <w:uiPriority w:val="99"/>
    <w:tblPr>
      <w:tblStyleRowBandSize w:val="1"/>
      <w:tblStyleColBandSize w:val="1"/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themeColor="accent5" w:themeTint="9a" w:themeShade="95"/>
        <w:sz w:val="22"/>
      </w:rPr>
      <w:tblPr/>
      <w:tcPr>
        <w:shd w:val="clear" w:color="D1EAF0" w:fill="D1EAF0" w:themeFill="accent5" w:themeFillTint="40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a" w:themeShade="95"/>
        <w:sz w:val="22"/>
      </w:rPr>
      <w:tblPr/>
    </w:tblStylePr>
    <w:tblStylePr w:type="firstCol">
      <w:rPr>
        <w:b/>
        <w:color w:themeColor="accent5" w:themeTint="9a" w:themeShade="95"/>
      </w:rPr>
      <w:tblPr/>
    </w:tblStylePr>
    <w:tblStylePr w:type="firstRow">
      <w:rPr>
        <w:b/>
        <w:color w:themeColor="accent5" w:themeTint="9a" w:themeShade="95"/>
      </w:rPr>
      <w:tblPr/>
      <w:tcPr>
        <w:tcBorders>
          <w:bottom w:val="single" w:color="92CCDC" w:themeColor="accent5" w:sz="4" w:space="0"/>
        </w:tcBorders>
      </w:tcPr>
    </w:tblStylePr>
    <w:tblStylePr w:type="lastCol">
      <w:rPr>
        <w:b/>
        <w:color w:themeColor="accent5" w:themeTint="9a" w:themeShade="95"/>
      </w:rPr>
      <w:tblPr/>
    </w:tblStylePr>
    <w:tblStylePr w:type="lastRow">
      <w:rPr>
        <w:b/>
        <w:color w:themeColor="accent5" w:themeTint="9a" w:themeShade="95"/>
      </w:rPr>
      <w:tblPr/>
      <w:tcPr>
        <w:tcBorders>
          <w:top w:val="single" w:color="92CCDC" w:themeColor="accent5" w:sz="4" w:space="0"/>
        </w:tcBorders>
      </w:tcPr>
    </w:tblStylePr>
  </w:style>
  <w:style w:type="table" w:customStyle="1" w:styleId="892">
    <w:name w:val="List Table 6 Colorful - Accent 6"/>
    <w:uiPriority w:val="99"/>
    <w:tblPr>
      <w:tblStyleRowBandSize w:val="1"/>
      <w:tblStyleColBandSize w:val="1"/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themeColor="accent6" w:themeTint="98" w:themeShade="95"/>
        <w:sz w:val="22"/>
      </w:rPr>
      <w:tblPr/>
      <w:tcPr>
        <w:shd w:val="clear" w:color="FDE4D0" w:fill="FDE4D0" w:themeFill="accent6" w:themeFillTint="40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8" w:themeShade="95"/>
        <w:sz w:val="22"/>
      </w:rPr>
      <w:tblPr/>
    </w:tblStylePr>
    <w:tblStylePr w:type="firstCol">
      <w:rPr>
        <w:b/>
        <w:color w:themeColor="accent6" w:themeTint="98" w:themeShade="95"/>
      </w:rPr>
      <w:tblPr/>
    </w:tblStylePr>
    <w:tblStylePr w:type="firstRow">
      <w:rPr>
        <w:b/>
        <w:color w:themeColor="accent6" w:themeTint="98" w:themeShade="95"/>
      </w:rPr>
      <w:tblPr/>
      <w:tcPr>
        <w:tcBorders>
          <w:bottom w:val="single" w:color="FAC090" w:themeColor="accent6" w:sz="4" w:space="0"/>
        </w:tcBorders>
      </w:tcPr>
    </w:tblStylePr>
    <w:tblStylePr w:type="lastCol">
      <w:rPr>
        <w:b/>
        <w:color w:themeColor="accent6" w:themeTint="98" w:themeShade="95"/>
      </w:rPr>
      <w:tblPr/>
    </w:tblStylePr>
    <w:tblStylePr w:type="lastRow">
      <w:rPr>
        <w:b/>
        <w:color w:themeColor="accent6" w:themeTint="98" w:themeShade="95"/>
      </w:rPr>
      <w:tblPr/>
      <w:tcPr>
        <w:tcBorders>
          <w:top w:val="single" w:color="FAC090" w:themeColor="accent6" w:sz="4" w:space="0"/>
        </w:tcBorders>
      </w:tcPr>
    </w:tblStylePr>
  </w:style>
  <w:style w:type="table" w:customStyle="1" w:styleId="893">
    <w:name w:val="List Table 7 Colorful"/>
    <w:uiPriority w:val="99"/>
    <w:tblPr>
      <w:tblStyleRowBandSize w:val="1"/>
      <w:tblStyleColBandSize w:val="1"/>
      <w:tblBorders>
        <w:right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themeColor="text1" w:themeTint="80" w:themeShade="95"/>
        <w:sz w:val="22"/>
      </w:rPr>
      <w:tblPr/>
      <w:tcPr>
        <w:shd w:val="clear" w:color="BFBFBF" w:fill="BFBFBF" w:themeFill="text1" w:themeFillTint="40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 w:themeShade="95"/>
        <w:sz w:val="22"/>
      </w:rPr>
      <w:tblPr/>
    </w:tblStylePr>
    <w:tblStylePr w:type="firstCol">
      <w:pPr>
        <w:jc w:val="right"/>
      </w:pPr>
      <w:rPr>
        <w:i/>
        <w:color w:themeColor="text1" w:themeTint="80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sz="4" w:space="0"/>
        </w:tcBorders>
        <w:shd w:val="clear" w:color="FFFFFF" w:fill="auto"/>
      </w:tcPr>
    </w:tblStylePr>
    <w:tblStylePr w:type="firstRow">
      <w:rPr>
        <w:i/>
        <w:color w:themeColor="text1" w:themeTint="80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7F7F7F" w:themeColor="text1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themeColor="text1" w:themeTint="80" w:themeShade="95"/>
        <w:sz w:val="22"/>
      </w:rPr>
      <w:tblPr/>
      <w:tcPr>
        <w:tcBorders>
          <w:top w:val="none" w:color="000000" w:sz="4" w:space="0"/>
          <w:left w:val="single" w:color="7F7F7F" w:themeColor="text1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i/>
        <w:color w:themeColor="text1" w:themeTint="80" w:themeShade="95"/>
        <w:sz w:val="22"/>
      </w:rPr>
      <w:tblPr/>
      <w:tcPr>
        <w:tcBorders>
          <w:top w:val="single" w:color="7F7F7F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customStyle="1" w:styleId="894">
    <w:name w:val="List Table 7 Colorful - Accent 1"/>
    <w:uiPriority w:val="99"/>
    <w:tblPr>
      <w:tblStyleRowBandSize w:val="1"/>
      <w:tblStyleColBandSize w:val="1"/>
      <w:tblBorders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themeColor="accent1" w:themeShade="95"/>
        <w:sz w:val="22"/>
      </w:rPr>
      <w:tblPr/>
      <w:tcPr>
        <w:shd w:val="clear" w:color="D2DFEE" w:fill="D2DFEE" w:themeFill="accent1" w:themeFillTint="40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5"/>
        <w:sz w:val="22"/>
      </w:rPr>
      <w:tblPr/>
    </w:tblStylePr>
    <w:tblStylePr w:type="firstCol">
      <w:pPr>
        <w:jc w:val="right"/>
      </w:pPr>
      <w:rPr>
        <w:i/>
        <w:color w:themeColor="accent1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F81BD" w:themeColor="accent1" w:sz="4" w:space="0"/>
        </w:tcBorders>
        <w:shd w:val="clear" w:color="FFFFFF" w:fill="auto"/>
      </w:tcPr>
    </w:tblStylePr>
    <w:tblStylePr w:type="firstRow">
      <w:rPr>
        <w:i/>
        <w:color w:themeColor="accent1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themeColor="accent1" w:themeShade="95"/>
        <w:sz w:val="22"/>
      </w:rPr>
      <w:tblPr/>
      <w:tcPr>
        <w:tcBorders>
          <w:top w:val="none" w:color="000000" w:sz="4" w:space="0"/>
          <w:left w:val="single" w:color="4F81BD" w:themeColor="accent1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i/>
        <w:color w:themeColor="accent1" w:themeShade="95"/>
        <w:sz w:val="22"/>
      </w:rPr>
      <w:tblPr/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customStyle="1" w:styleId="895">
    <w:name w:val="List Table 7 Colorful - Accent 2"/>
    <w:uiPriority w:val="99"/>
    <w:tblPr>
      <w:tblStyleRowBandSize w:val="1"/>
      <w:tblStyleColBandSize w:val="1"/>
      <w:tblBorders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themeColor="accent2" w:themeTint="97" w:themeShade="95"/>
        <w:sz w:val="22"/>
      </w:rPr>
      <w:tblPr/>
      <w:tcPr>
        <w:shd w:val="clear" w:color="EFD2D2" w:fill="EFD2D2" w:themeFill="accent2" w:themeFillTint="40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7" w:themeShade="95"/>
        <w:sz w:val="22"/>
      </w:rPr>
      <w:tblPr/>
    </w:tblStylePr>
    <w:tblStylePr w:type="firstCol">
      <w:pPr>
        <w:jc w:val="right"/>
      </w:pPr>
      <w:rPr>
        <w:i/>
        <w:color w:themeColor="accent2" w:themeTint="97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sz="4" w:space="0"/>
        </w:tcBorders>
        <w:shd w:val="clear" w:color="FFFFFF" w:fill="auto"/>
      </w:tcPr>
    </w:tblStylePr>
    <w:tblStylePr w:type="firstRow">
      <w:rPr>
        <w:i/>
        <w:color w:themeColor="accent2" w:themeTint="97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D99695" w:themeColor="accent2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themeColor="accent2" w:themeTint="97" w:themeShade="95"/>
        <w:sz w:val="22"/>
      </w:rPr>
      <w:tblPr/>
      <w:tcPr>
        <w:tcBorders>
          <w:top w:val="none" w:color="000000" w:sz="4" w:space="0"/>
          <w:left w:val="single" w:color="D99695" w:themeColor="accent2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i/>
        <w:color w:themeColor="accent2" w:themeTint="97" w:themeShade="95"/>
        <w:sz w:val="22"/>
      </w:rPr>
      <w:tblPr/>
      <w:tcPr>
        <w:tcBorders>
          <w:top w:val="single" w:color="D99695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customStyle="1" w:styleId="896">
    <w:name w:val="List Table 7 Colorful - Accent 3"/>
    <w:uiPriority w:val="99"/>
    <w:tblPr>
      <w:tblStyleRowBandSize w:val="1"/>
      <w:tblStyleColBandSize w:val="1"/>
      <w:tblBorders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themeColor="accent3" w:themeTint="98" w:themeShade="95"/>
        <w:sz w:val="22"/>
      </w:rPr>
      <w:tblPr/>
      <w:tcPr>
        <w:shd w:val="clear" w:color="E5EED5" w:fill="E5EED5" w:themeFill="accent3" w:themeFillTint="40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8" w:themeShade="95"/>
        <w:sz w:val="22"/>
      </w:rPr>
      <w:tblPr/>
    </w:tblStylePr>
    <w:tblStylePr w:type="firstCol">
      <w:pPr>
        <w:jc w:val="right"/>
      </w:pPr>
      <w:rPr>
        <w:i/>
        <w:color w:themeColor="accent3" w:themeTint="98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3D69B" w:themeColor="accent3" w:sz="4" w:space="0"/>
        </w:tcBorders>
        <w:shd w:val="clear" w:color="FFFFFF" w:fill="auto"/>
      </w:tcPr>
    </w:tblStylePr>
    <w:tblStylePr w:type="firstRow">
      <w:rPr>
        <w:i/>
        <w:color w:themeColor="accent3" w:themeTint="98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C3D69B" w:themeColor="accent3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themeColor="accent3" w:themeTint="98" w:themeShade="95"/>
        <w:sz w:val="22"/>
      </w:rPr>
      <w:tblPr/>
      <w:tcPr>
        <w:tcBorders>
          <w:top w:val="none" w:color="000000" w:sz="4" w:space="0"/>
          <w:left w:val="single" w:color="C3D69B" w:themeColor="accent3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i/>
        <w:color w:themeColor="accent3" w:themeTint="98" w:themeShade="95"/>
        <w:sz w:val="22"/>
      </w:rPr>
      <w:tblPr/>
      <w:tcPr>
        <w:tcBorders>
          <w:top w:val="single" w:color="C3D69B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customStyle="1" w:styleId="897">
    <w:name w:val="List Table 7 Colorful - Accent 4"/>
    <w:uiPriority w:val="99"/>
    <w:tblPr>
      <w:tblStyleRowBandSize w:val="1"/>
      <w:tblStyleColBandSize w:val="1"/>
      <w:tblBorders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themeColor="accent4" w:themeTint="9a" w:themeShade="95"/>
        <w:sz w:val="22"/>
      </w:rPr>
      <w:tblPr/>
      <w:tcPr>
        <w:shd w:val="clear" w:color="DFD8E7" w:fill="DFD8E7" w:themeFill="accent4" w:themeFillTint="40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a" w:themeShade="95"/>
        <w:sz w:val="22"/>
      </w:rPr>
      <w:tblPr/>
    </w:tblStylePr>
    <w:tblStylePr w:type="firstCol">
      <w:pPr>
        <w:jc w:val="right"/>
      </w:pPr>
      <w:rPr>
        <w:i/>
        <w:color w:themeColor="accent4" w:themeTint="9a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sz="4" w:space="0"/>
        </w:tcBorders>
        <w:shd w:val="clear" w:color="FFFFFF" w:fill="auto"/>
      </w:tcPr>
    </w:tblStylePr>
    <w:tblStylePr w:type="firstRow">
      <w:rPr>
        <w:i/>
        <w:color w:themeColor="accent4" w:themeTint="9a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B2A1C6" w:themeColor="accent4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themeColor="accent4" w:themeTint="9a" w:themeShade="95"/>
        <w:sz w:val="22"/>
      </w:rPr>
      <w:tblPr/>
      <w:tcPr>
        <w:tcBorders>
          <w:top w:val="none" w:color="000000" w:sz="4" w:space="0"/>
          <w:left w:val="single" w:color="B2A1C6" w:themeColor="accent4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i/>
        <w:color w:themeColor="accent4" w:themeTint="9a" w:themeShade="95"/>
        <w:sz w:val="22"/>
      </w:rPr>
      <w:tblPr/>
      <w:tcPr>
        <w:tcBorders>
          <w:top w:val="single" w:color="B2A1C6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customStyle="1" w:styleId="898">
    <w:name w:val="List Table 7 Colorful - Accent 5"/>
    <w:uiPriority w:val="99"/>
    <w:tblPr>
      <w:tblStyleRowBandSize w:val="1"/>
      <w:tblStyleColBandSize w:val="1"/>
      <w:tblBorders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themeColor="accent5" w:themeTint="9a" w:themeShade="95"/>
        <w:sz w:val="22"/>
      </w:rPr>
      <w:tblPr/>
      <w:tcPr>
        <w:shd w:val="clear" w:color="D1EAF0" w:fill="D1EAF0" w:themeFill="accent5" w:themeFillTint="40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a" w:themeShade="95"/>
        <w:sz w:val="22"/>
      </w:rPr>
      <w:tblPr/>
    </w:tblStylePr>
    <w:tblStylePr w:type="firstCol">
      <w:pPr>
        <w:jc w:val="right"/>
      </w:pPr>
      <w:rPr>
        <w:i/>
        <w:color w:themeColor="accent5" w:themeTint="9a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2CCDC" w:themeColor="accent5" w:sz="4" w:space="0"/>
        </w:tcBorders>
        <w:shd w:val="clear" w:color="FFFFFF" w:fill="auto"/>
      </w:tcPr>
    </w:tblStylePr>
    <w:tblStylePr w:type="firstRow">
      <w:rPr>
        <w:i/>
        <w:color w:themeColor="accent5" w:themeTint="9a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92CCDC" w:themeColor="accent5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themeColor="accent5" w:themeTint="9a" w:themeShade="95"/>
        <w:sz w:val="22"/>
      </w:rPr>
      <w:tblPr/>
      <w:tcPr>
        <w:tcBorders>
          <w:top w:val="none" w:color="000000" w:sz="4" w:space="0"/>
          <w:left w:val="single" w:color="92CCDC" w:themeColor="accent5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i/>
        <w:color w:themeColor="accent5" w:themeTint="9a" w:themeShade="95"/>
        <w:sz w:val="22"/>
      </w:rPr>
      <w:tblPr/>
      <w:tcPr>
        <w:tcBorders>
          <w:top w:val="single" w:color="92CCDC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customStyle="1" w:styleId="899">
    <w:name w:val="List Table 7 Colorful - Accent 6"/>
    <w:uiPriority w:val="99"/>
    <w:tblPr>
      <w:tblStyleRowBandSize w:val="1"/>
      <w:tblStyleColBandSize w:val="1"/>
      <w:tblBorders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themeColor="accent6" w:themeTint="98" w:themeShade="95"/>
        <w:sz w:val="22"/>
      </w:rPr>
      <w:tblPr/>
      <w:tcPr>
        <w:shd w:val="clear" w:color="FDE4D0" w:fill="FDE4D0" w:themeFill="accent6" w:themeFillTint="40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8" w:themeShade="95"/>
        <w:sz w:val="22"/>
      </w:rPr>
      <w:tblPr/>
    </w:tblStylePr>
    <w:tblStylePr w:type="firstCol">
      <w:pPr>
        <w:jc w:val="right"/>
      </w:pPr>
      <w:rPr>
        <w:i/>
        <w:color w:themeColor="accent6" w:themeTint="98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090" w:themeColor="accent6" w:sz="4" w:space="0"/>
        </w:tcBorders>
        <w:shd w:val="clear" w:color="FFFFFF" w:fill="auto"/>
      </w:tcPr>
    </w:tblStylePr>
    <w:tblStylePr w:type="firstRow">
      <w:rPr>
        <w:i/>
        <w:color w:themeColor="accent6" w:themeTint="98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FAC090" w:themeColor="accent6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themeColor="accent6" w:themeTint="98" w:themeShade="95"/>
        <w:sz w:val="22"/>
      </w:rPr>
      <w:tblPr/>
      <w:tcPr>
        <w:tcBorders>
          <w:top w:val="none" w:color="000000" w:sz="4" w:space="0"/>
          <w:left w:val="single" w:color="FAC090" w:themeColor="accent6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i/>
        <w:color w:themeColor="accent6" w:themeTint="98" w:themeShade="95"/>
        <w:sz w:val="22"/>
      </w:rPr>
      <w:tblPr/>
      <w:tcPr>
        <w:tcBorders>
          <w:top w:val="single" w:color="FAC09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customStyle="1" w:styleId="900">
    <w:name w:val="Lined - Accent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</w:tblStylePr>
    <w:tblStylePr w:type="band1Vert">
      <w:rPr>
        <w:sz w:val="22"/>
      </w:rPr>
      <w:tblPr/>
    </w:tblStylePr>
    <w:tblStylePr w:type="band2Horz">
      <w:rPr>
        <w:sz w:val="22"/>
      </w:rPr>
      <w:tblPr/>
      <w:tcPr>
        <w:shd w:val="clear" w:color="F2F2F2" w:fill="F2F2F2" w:themeFill="text1" w:themeFillTint="0"/>
      </w:tcPr>
    </w:tblStylePr>
    <w:tblStylePr w:type="band2Vert">
      <w:rPr>
        <w:sz w:val="22"/>
      </w:rPr>
      <w:tblPr/>
      <w:tcPr>
        <w:shd w:val="clear" w:color="F2F2F2" w:fill="F2F2F2" w:themeFill="text1" w:themeFillTint="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</w:style>
  <w:style w:type="table" w:customStyle="1" w:styleId="901">
    <w:name w:val="Lined - Accent 1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</w:tblStylePr>
    <w:tblStylePr w:type="band1Vert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</w:style>
  <w:style w:type="table" w:customStyle="1" w:styleId="902">
    <w:name w:val="Lined - Accent 2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</w:tblStylePr>
    <w:tblStylePr w:type="band1Vert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</w:style>
  <w:style w:type="table" w:customStyle="1" w:styleId="903">
    <w:name w:val="Lined - Accent 3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</w:tblStylePr>
    <w:tblStylePr w:type="band1Vert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</w:style>
  <w:style w:type="table" w:customStyle="1" w:styleId="904">
    <w:name w:val="Lined - Accent 4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</w:tblStylePr>
    <w:tblStylePr w:type="band1Vert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</w:style>
  <w:style w:type="table" w:customStyle="1" w:styleId="905">
    <w:name w:val="Lined - Accent 5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</w:tblStylePr>
    <w:tblStylePr w:type="band1Vert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</w:style>
  <w:style w:type="table" w:customStyle="1" w:styleId="906">
    <w:name w:val="Lined - Accent 6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</w:tblStylePr>
    <w:tblStylePr w:type="band1Vert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</w:style>
  <w:style w:type="table" w:customStyle="1" w:styleId="907">
    <w:name w:val="Bordered &amp; Lined - Accent"/>
    <w:uiPriority w:val="99"/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</w:tblStylePr>
    <w:tblStylePr w:type="band1Vert">
      <w:rPr>
        <w:sz w:val="22"/>
      </w:rPr>
      <w:tblPr/>
    </w:tblStylePr>
    <w:tblStylePr w:type="band2Horz">
      <w:rPr>
        <w:sz w:val="22"/>
      </w:rPr>
      <w:tblPr/>
      <w:tcPr>
        <w:shd w:val="clear" w:color="F2F2F2" w:fill="F2F2F2" w:themeFill="text1" w:themeFillTint="0"/>
      </w:tcPr>
    </w:tblStylePr>
    <w:tblStylePr w:type="band2Vert">
      <w:rPr>
        <w:sz w:val="22"/>
      </w:rPr>
      <w:tblPr/>
      <w:tcPr>
        <w:shd w:val="clear" w:color="F2F2F2" w:fill="F2F2F2" w:themeFill="text1" w:themeFillTint="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</w:style>
  <w:style w:type="table" w:customStyle="1" w:styleId="908">
    <w:name w:val="Bordered &amp; Lined - Accent 1"/>
    <w:uiPriority w:val="99"/>
    <w:tblPr>
      <w:tblStyleRowBandSize w:val="1"/>
      <w:tblStyleColBandSize w:val="1"/>
      <w:tblBorders>
        <w:top w:val="single" w:color="2A4A71" w:themeColor="accent1" w:sz="4" w:space="0"/>
        <w:left w:val="single" w:color="2A4A71" w:themeColor="accent1" w:sz="4" w:space="0"/>
        <w:bottom w:val="single" w:color="2A4A71" w:themeColor="accent1" w:sz="4" w:space="0"/>
        <w:right w:val="single" w:color="2A4A71" w:themeColor="accent1" w:sz="4" w:space="0"/>
        <w:insideH w:val="single" w:color="2A4A71" w:themeColor="accent1" w:sz="4" w:space="0"/>
        <w:insideV w:val="single" w:color="2A4A71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</w:tblStylePr>
    <w:tblStylePr w:type="band1Vert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</w:style>
  <w:style w:type="table" w:customStyle="1" w:styleId="909">
    <w:name w:val="Bordered &amp; Lined - Accent 2"/>
    <w:uiPriority w:val="99"/>
    <w:tblPr>
      <w:tblStyleRowBandSize w:val="1"/>
      <w:tblStyleColBandSize w:val="1"/>
      <w:tblBorders>
        <w:top w:val="single" w:color="732A29" w:themeColor="accent2" w:sz="4" w:space="0"/>
        <w:left w:val="single" w:color="732A29" w:themeColor="accent2" w:sz="4" w:space="0"/>
        <w:bottom w:val="single" w:color="732A29" w:themeColor="accent2" w:sz="4" w:space="0"/>
        <w:right w:val="single" w:color="732A29" w:themeColor="accent2" w:sz="4" w:space="0"/>
        <w:insideH w:val="single" w:color="732A29" w:themeColor="accent2" w:sz="4" w:space="0"/>
        <w:insideV w:val="single" w:color="732A29" w:themeColor="accent2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</w:tblStylePr>
    <w:tblStylePr w:type="band1Vert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</w:style>
  <w:style w:type="table" w:customStyle="1" w:styleId="910">
    <w:name w:val="Bordered &amp; Lined - Accent 3"/>
    <w:uiPriority w:val="99"/>
    <w:tblPr>
      <w:tblStyleRowBandSize w:val="1"/>
      <w:tblStyleColBandSize w:val="1"/>
      <w:tblBorders>
        <w:top w:val="single" w:color="5B722E" w:themeColor="accent3" w:sz="4" w:space="0"/>
        <w:left w:val="single" w:color="5B722E" w:themeColor="accent3" w:sz="4" w:space="0"/>
        <w:bottom w:val="single" w:color="5B722E" w:themeColor="accent3" w:sz="4" w:space="0"/>
        <w:right w:val="single" w:color="5B722E" w:themeColor="accent3" w:sz="4" w:space="0"/>
        <w:insideH w:val="single" w:color="5B722E" w:themeColor="accent3" w:sz="4" w:space="0"/>
        <w:insideV w:val="single" w:color="5B722E" w:themeColor="accent3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</w:tblStylePr>
    <w:tblStylePr w:type="band1Vert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</w:style>
  <w:style w:type="table" w:customStyle="1" w:styleId="911">
    <w:name w:val="Bordered &amp; Lined - Accent 4"/>
    <w:uiPriority w:val="99"/>
    <w:tblPr>
      <w:tblStyleRowBandSize w:val="1"/>
      <w:tblStyleColBandSize w:val="1"/>
      <w:tblBorders>
        <w:top w:val="single" w:color="4A395F" w:themeColor="accent4" w:sz="4" w:space="0"/>
        <w:left w:val="single" w:color="4A395F" w:themeColor="accent4" w:sz="4" w:space="0"/>
        <w:bottom w:val="single" w:color="4A395F" w:themeColor="accent4" w:sz="4" w:space="0"/>
        <w:right w:val="single" w:color="4A395F" w:themeColor="accent4" w:sz="4" w:space="0"/>
        <w:insideH w:val="single" w:color="4A395F" w:themeColor="accent4" w:sz="4" w:space="0"/>
        <w:insideV w:val="single" w:color="4A395F" w:themeColor="accent4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</w:tblStylePr>
    <w:tblStylePr w:type="band1Vert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</w:style>
  <w:style w:type="table" w:customStyle="1" w:styleId="912">
    <w:name w:val="Bordered &amp; Lined - Accent 5"/>
    <w:uiPriority w:val="99"/>
    <w:tblPr>
      <w:tblStyleRowBandSize w:val="1"/>
      <w:tblStyleColBandSize w:val="1"/>
      <w:tblBorders>
        <w:top w:val="single" w:color="266779" w:themeColor="accent5" w:sz="4" w:space="0"/>
        <w:left w:val="single" w:color="266779" w:themeColor="accent5" w:sz="4" w:space="0"/>
        <w:bottom w:val="single" w:color="266779" w:themeColor="accent5" w:sz="4" w:space="0"/>
        <w:right w:val="single" w:color="266779" w:themeColor="accent5" w:sz="4" w:space="0"/>
        <w:insideH w:val="single" w:color="266779" w:themeColor="accent5" w:sz="4" w:space="0"/>
        <w:insideV w:val="single" w:color="266779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</w:tblStylePr>
    <w:tblStylePr w:type="band1Vert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</w:style>
  <w:style w:type="table" w:customStyle="1" w:styleId="913">
    <w:name w:val="Bordered &amp; Lined - Accent 6"/>
    <w:uiPriority w:val="99"/>
    <w:tblPr>
      <w:tblStyleRowBandSize w:val="1"/>
      <w:tblStyleColBandSize w:val="1"/>
      <w:tblBorders>
        <w:top w:val="single" w:color="B15407" w:themeColor="accent6" w:sz="4" w:space="0"/>
        <w:left w:val="single" w:color="B15407" w:themeColor="accent6" w:sz="4" w:space="0"/>
        <w:bottom w:val="single" w:color="B15407" w:themeColor="accent6" w:sz="4" w:space="0"/>
        <w:right w:val="single" w:color="B15407" w:themeColor="accent6" w:sz="4" w:space="0"/>
        <w:insideH w:val="single" w:color="B15407" w:themeColor="accent6" w:sz="4" w:space="0"/>
        <w:insideV w:val="single" w:color="B15407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</w:tblStylePr>
    <w:tblStylePr w:type="band1Vert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</w:style>
  <w:style w:type="table" w:customStyle="1" w:styleId="914">
    <w:name w:val="Bordered"/>
    <w:uiPriority w:val="99"/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tcBorders>
          <w:top w:val="single" w:color="D9D9D9" w:themeColor="text1" w:sz="4" w:space="0"/>
          <w:left w:val="single" w:color="D9D9D9" w:themeColor="text1" w:sz="4" w:space="0"/>
          <w:bottom w:val="single" w:color="D9D9D9" w:themeColor="text1" w:sz="4" w:space="0"/>
          <w:right w:val="single" w:color="D9D9D9" w:themeColor="text1" w:sz="4" w:space="0"/>
        </w:tcBorders>
      </w:tcPr>
    </w:tblStylePr>
    <w:tblStylePr w:type="firstCol">
      <w:rPr>
        <w:sz w:val="22"/>
      </w:rPr>
      <w:tblPr/>
    </w:tblStylePr>
    <w:tblStylePr w:type="firstRow">
      <w:rPr>
        <w:sz w:val="22"/>
      </w:rPr>
      <w:tblPr/>
      <w:tcPr>
        <w:tcBorders>
          <w:bottom w:val="single" w:color="7F7F7F" w:themeColor="text1" w:sz="12" w:space="0"/>
        </w:tcBorders>
      </w:tcPr>
    </w:tblStylePr>
    <w:tblStylePr w:type="lastCol">
      <w:rPr>
        <w:sz w:val="22"/>
      </w:rPr>
      <w:tblPr/>
      <w:tcPr>
        <w:tcBorders>
          <w:left w:val="single" w:color="7F7F7F" w:themeColor="text1" w:sz="12" w:space="0"/>
        </w:tcBorders>
      </w:tcPr>
    </w:tblStylePr>
    <w:tblStylePr w:type="lastRow">
      <w:rPr>
        <w:sz w:val="22"/>
      </w:rPr>
      <w:tblPr/>
      <w:tcPr>
        <w:tcBorders>
          <w:top w:val="single" w:color="7F7F7F" w:themeColor="text1" w:sz="12" w:space="0"/>
        </w:tcBorders>
      </w:tcPr>
    </w:tblStylePr>
  </w:style>
  <w:style w:type="table" w:customStyle="1" w:styleId="915">
    <w:name w:val="Bordered - Accent 1"/>
    <w:uiPriority w:val="99"/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tcBorders>
          <w:top w:val="single" w:color="B7CBE4" w:themeColor="accent1" w:sz="4" w:space="0"/>
          <w:left w:val="single" w:color="B7CBE4" w:themeColor="accent1" w:sz="4" w:space="0"/>
          <w:bottom w:val="single" w:color="B7CBE4" w:themeColor="accent1" w:sz="4" w:space="0"/>
          <w:right w:val="single" w:color="B7CBE4" w:themeColor="accent1" w:sz="4" w:space="0"/>
        </w:tcBorders>
      </w:tcPr>
    </w:tblStylePr>
    <w:tblStylePr w:type="firstCol">
      <w:rPr>
        <w:sz w:val="22"/>
      </w:rPr>
      <w:tblPr/>
    </w:tblStylePr>
    <w:tblStylePr w:type="firstRow">
      <w:rPr>
        <w:sz w:val="22"/>
      </w:rPr>
      <w:tblPr/>
      <w:tcPr>
        <w:tcBorders>
          <w:bottom w:val="single" w:color="4F81BD" w:themeColor="accent1" w:sz="12" w:space="0"/>
        </w:tcBorders>
      </w:tcPr>
    </w:tblStylePr>
    <w:tblStylePr w:type="lastCol">
      <w:rPr>
        <w:sz w:val="22"/>
      </w:rPr>
      <w:tblPr/>
      <w:tcPr>
        <w:tcBorders>
          <w:left w:val="single" w:color="4F81BD" w:themeColor="accent1" w:sz="12" w:space="0"/>
        </w:tcBorders>
      </w:tcPr>
    </w:tblStylePr>
    <w:tblStylePr w:type="lastRow">
      <w:rPr>
        <w:sz w:val="22"/>
      </w:rPr>
      <w:tblPr/>
      <w:tcPr>
        <w:tcBorders>
          <w:top w:val="single" w:color="4F81BD" w:themeColor="accent1" w:sz="12" w:space="0"/>
        </w:tcBorders>
      </w:tcPr>
    </w:tblStylePr>
  </w:style>
  <w:style w:type="table" w:customStyle="1" w:styleId="916">
    <w:name w:val="Bordered - Accent 2"/>
    <w:uiPriority w:val="99"/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tcBorders>
          <w:top w:val="single" w:color="E5B7B6" w:themeColor="accent2" w:sz="4" w:space="0"/>
          <w:left w:val="single" w:color="E5B7B6" w:themeColor="accent2" w:sz="4" w:space="0"/>
          <w:bottom w:val="single" w:color="E5B7B6" w:themeColor="accent2" w:sz="4" w:space="0"/>
          <w:right w:val="single" w:color="E5B7B6" w:themeColor="accent2" w:sz="4" w:space="0"/>
        </w:tcBorders>
      </w:tcPr>
    </w:tblStylePr>
    <w:tblStylePr w:type="firstCol">
      <w:rPr>
        <w:sz w:val="22"/>
      </w:rPr>
      <w:tblPr/>
    </w:tblStylePr>
    <w:tblStylePr w:type="firstRow">
      <w:rPr>
        <w:sz w:val="22"/>
      </w:rPr>
      <w:tblPr/>
      <w:tcPr>
        <w:tcBorders>
          <w:bottom w:val="single" w:color="D99695" w:themeColor="accent2" w:sz="12" w:space="0"/>
        </w:tcBorders>
      </w:tcPr>
    </w:tblStylePr>
    <w:tblStylePr w:type="lastCol">
      <w:rPr>
        <w:sz w:val="22"/>
      </w:rPr>
      <w:tblPr/>
      <w:tcPr>
        <w:tcBorders>
          <w:left w:val="single" w:color="D99695" w:themeColor="accent2" w:sz="12" w:space="0"/>
        </w:tcBorders>
      </w:tcPr>
    </w:tblStylePr>
    <w:tblStylePr w:type="lastRow">
      <w:rPr>
        <w:sz w:val="22"/>
      </w:rPr>
      <w:tblPr/>
      <w:tcPr>
        <w:tcBorders>
          <w:top w:val="single" w:color="D99695" w:themeColor="accent2" w:sz="12" w:space="0"/>
        </w:tcBorders>
      </w:tcPr>
    </w:tblStylePr>
  </w:style>
  <w:style w:type="table" w:customStyle="1" w:styleId="917">
    <w:name w:val="Bordered - Accent 3"/>
    <w:uiPriority w:val="99"/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tcBorders>
          <w:top w:val="single" w:color="D6E3BB" w:themeColor="accent3" w:sz="4" w:space="0"/>
          <w:left w:val="single" w:color="D6E3BB" w:themeColor="accent3" w:sz="4" w:space="0"/>
          <w:bottom w:val="single" w:color="D6E3BB" w:themeColor="accent3" w:sz="4" w:space="0"/>
          <w:right w:val="single" w:color="D6E3BB" w:themeColor="accent3" w:sz="4" w:space="0"/>
        </w:tcBorders>
      </w:tcPr>
    </w:tblStylePr>
    <w:tblStylePr w:type="firstCol">
      <w:rPr>
        <w:sz w:val="22"/>
      </w:rPr>
      <w:tblPr/>
    </w:tblStylePr>
    <w:tblStylePr w:type="firstRow">
      <w:rPr>
        <w:sz w:val="22"/>
      </w:rPr>
      <w:tblPr/>
      <w:tcPr>
        <w:tcBorders>
          <w:bottom w:val="single" w:color="C3D69B" w:themeColor="accent3" w:sz="12" w:space="0"/>
        </w:tcBorders>
      </w:tcPr>
    </w:tblStylePr>
    <w:tblStylePr w:type="lastCol">
      <w:rPr>
        <w:sz w:val="22"/>
      </w:rPr>
      <w:tblPr/>
      <w:tcPr>
        <w:tcBorders>
          <w:left w:val="single" w:color="C3D69B" w:themeColor="accent3" w:sz="12" w:space="0"/>
        </w:tcBorders>
      </w:tcPr>
    </w:tblStylePr>
    <w:tblStylePr w:type="lastRow">
      <w:rPr>
        <w:sz w:val="22"/>
      </w:rPr>
      <w:tblPr/>
      <w:tcPr>
        <w:tcBorders>
          <w:top w:val="single" w:color="C3D69B" w:themeColor="accent3" w:sz="12" w:space="0"/>
        </w:tcBorders>
      </w:tcPr>
    </w:tblStylePr>
  </w:style>
  <w:style w:type="table" w:customStyle="1" w:styleId="918">
    <w:name w:val="Bordered - Accent 4"/>
    <w:uiPriority w:val="99"/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tcBorders>
          <w:top w:val="single" w:color="CBC0D9" w:themeColor="accent4" w:sz="4" w:space="0"/>
          <w:left w:val="single" w:color="CBC0D9" w:themeColor="accent4" w:sz="4" w:space="0"/>
          <w:bottom w:val="single" w:color="CBC0D9" w:themeColor="accent4" w:sz="4" w:space="0"/>
          <w:right w:val="single" w:color="CBC0D9" w:themeColor="accent4" w:sz="4" w:space="0"/>
        </w:tcBorders>
      </w:tcPr>
    </w:tblStylePr>
    <w:tblStylePr w:type="firstCol">
      <w:rPr>
        <w:sz w:val="22"/>
      </w:rPr>
      <w:tblPr/>
    </w:tblStylePr>
    <w:tblStylePr w:type="firstRow">
      <w:rPr>
        <w:sz w:val="22"/>
      </w:rPr>
      <w:tblPr/>
      <w:tcPr>
        <w:tcBorders>
          <w:bottom w:val="single" w:color="B2A1C6" w:themeColor="accent4" w:sz="12" w:space="0"/>
        </w:tcBorders>
      </w:tcPr>
    </w:tblStylePr>
    <w:tblStylePr w:type="lastCol">
      <w:rPr>
        <w:sz w:val="22"/>
      </w:rPr>
      <w:tblPr/>
      <w:tcPr>
        <w:tcBorders>
          <w:left w:val="single" w:color="B2A1C6" w:themeColor="accent4" w:sz="12" w:space="0"/>
        </w:tcBorders>
      </w:tcPr>
    </w:tblStylePr>
    <w:tblStylePr w:type="lastRow">
      <w:rPr>
        <w:sz w:val="22"/>
      </w:rPr>
      <w:tblPr/>
      <w:tcPr>
        <w:tcBorders>
          <w:top w:val="single" w:color="B2A1C6" w:themeColor="accent4" w:sz="12" w:space="0"/>
        </w:tcBorders>
      </w:tcPr>
    </w:tblStylePr>
  </w:style>
  <w:style w:type="table" w:customStyle="1" w:styleId="919">
    <w:name w:val="Bordered - Accent 5"/>
    <w:uiPriority w:val="99"/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tcBorders>
          <w:top w:val="single" w:color="B6DDE8" w:themeColor="accent5" w:sz="4" w:space="0"/>
          <w:left w:val="single" w:color="B6DDE8" w:themeColor="accent5" w:sz="4" w:space="0"/>
          <w:bottom w:val="single" w:color="B6DDE8" w:themeColor="accent5" w:sz="4" w:space="0"/>
          <w:right w:val="single" w:color="B6DDE8" w:themeColor="accent5" w:sz="4" w:space="0"/>
        </w:tcBorders>
      </w:tcPr>
    </w:tblStylePr>
    <w:tblStylePr w:type="firstCol">
      <w:rPr>
        <w:sz w:val="22"/>
      </w:rPr>
      <w:tblPr/>
    </w:tblStylePr>
    <w:tblStylePr w:type="firstRow">
      <w:rPr>
        <w:sz w:val="22"/>
      </w:rPr>
      <w:tblPr/>
      <w:tcPr>
        <w:tcBorders>
          <w:bottom w:val="single" w:color="92CCDC" w:themeColor="accent5" w:sz="12" w:space="0"/>
        </w:tcBorders>
      </w:tcPr>
    </w:tblStylePr>
    <w:tblStylePr w:type="lastCol">
      <w:rPr>
        <w:sz w:val="22"/>
      </w:rPr>
      <w:tblPr/>
      <w:tcPr>
        <w:tcBorders>
          <w:left w:val="single" w:color="92CCDC" w:themeColor="accent5" w:sz="12" w:space="0"/>
        </w:tcBorders>
      </w:tcPr>
    </w:tblStylePr>
    <w:tblStylePr w:type="lastRow">
      <w:rPr>
        <w:sz w:val="22"/>
      </w:rPr>
      <w:tblPr/>
      <w:tcPr>
        <w:tcBorders>
          <w:top w:val="single" w:color="92CCDC" w:themeColor="accent5" w:sz="12" w:space="0"/>
        </w:tcBorders>
      </w:tcPr>
    </w:tblStylePr>
  </w:style>
  <w:style w:type="table" w:customStyle="1" w:styleId="920">
    <w:name w:val="Bordered - Accent 6"/>
    <w:uiPriority w:val="99"/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sz w:val="22"/>
      </w:rPr>
      <w:tblPr/>
      <w:tcPr>
        <w:tcBorders>
          <w:top w:val="single" w:color="FBD4B4" w:themeColor="accent6" w:sz="4" w:space="0"/>
          <w:left w:val="single" w:color="FBD4B4" w:themeColor="accent6" w:sz="4" w:space="0"/>
          <w:bottom w:val="single" w:color="FBD4B4" w:themeColor="accent6" w:sz="4" w:space="0"/>
          <w:right w:val="single" w:color="FBD4B4" w:themeColor="accent6" w:sz="4" w:space="0"/>
        </w:tcBorders>
      </w:tcPr>
    </w:tblStylePr>
    <w:tblStylePr w:type="firstCol">
      <w:rPr>
        <w:sz w:val="22"/>
      </w:rPr>
      <w:tblPr/>
    </w:tblStylePr>
    <w:tblStylePr w:type="firstRow">
      <w:rPr>
        <w:sz w:val="22"/>
      </w:rPr>
      <w:tblPr/>
      <w:tcPr>
        <w:tcBorders>
          <w:bottom w:val="single" w:color="FAC090" w:themeColor="accent6" w:sz="12" w:space="0"/>
        </w:tcBorders>
      </w:tcPr>
    </w:tblStylePr>
    <w:tblStylePr w:type="lastCol">
      <w:rPr>
        <w:sz w:val="22"/>
      </w:rPr>
      <w:tblPr/>
      <w:tcPr>
        <w:tcBorders>
          <w:left w:val="single" w:color="FAC090" w:themeColor="accent6" w:sz="12" w:space="0"/>
        </w:tcBorders>
      </w:tcPr>
    </w:tblStylePr>
    <w:tblStylePr w:type="lastRow">
      <w:rPr>
        <w:sz w:val="22"/>
      </w:rPr>
      <w:tblPr/>
      <w:tcPr>
        <w:tcBorders>
          <w:top w:val="single" w:color="FAC090" w:themeColor="accent6" w:sz="12" w:space="0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://www.torgi.gov.ru/" TargetMode="External"/><Relationship Id="rId3" Type="http://schemas.openxmlformats.org/officeDocument/2006/relationships/hyperlink" Target="http://www.gorodperm.ru/" TargetMode="External"/><Relationship Id="rId4" Type="http://schemas.openxmlformats.org/officeDocument/2006/relationships/hyperlink" Target="http://utp.sberbank-ast.ru/" TargetMode="External"/><Relationship Id="rId5" Type="http://schemas.openxmlformats.org/officeDocument/2006/relationships/hyperlink" Target="http://utp.sberbank-ast.ru/" TargetMode="External"/><Relationship Id="rId6" Type="http://schemas.openxmlformats.org/officeDocument/2006/relationships/hyperlink" Target="https://utp.sberbank-ast.ru/Main/Notice/988/Reglament" TargetMode="External"/><Relationship Id="rId7" Type="http://schemas.openxmlformats.org/officeDocument/2006/relationships/hyperlink" Target="https://utp.sberbank-ast.ru/AP/Notice/1027/Instructions" TargetMode="External"/><Relationship Id="rId8" Type="http://schemas.openxmlformats.org/officeDocument/2006/relationships/hyperlink" Target="https://utp.sberbank-ast.ru/AP/Notice/652/Instructions" TargetMode="External"/><Relationship Id="rId9" Type="http://schemas.openxmlformats.org/officeDocument/2006/relationships/hyperlink" Target="http://www.gorodperm.ru/" TargetMode="External"/><Relationship Id="rId10" Type="http://schemas.openxmlformats.org/officeDocument/2006/relationships/hyperlink" Target="mailto:perm-mail@ural.rt.ru" TargetMode="External"/><Relationship Id="rId11" Type="http://schemas.openxmlformats.org/officeDocument/2006/relationships/hyperlink" Target="http://www.torgi.gov.ru/" TargetMode="External"/><Relationship Id="rId12" Type="http://schemas.openxmlformats.org/officeDocument/2006/relationships/hyperlink" Target="http://www.gorodperm.ru/" TargetMode="External"/><Relationship Id="rId13" Type="http://schemas.openxmlformats.org/officeDocument/2006/relationships/hyperlink" Target="http://www.gorodperm.ru/" TargetMode="External"/><Relationship Id="rId14" Type="http://schemas.openxmlformats.org/officeDocument/2006/relationships/hyperlink" Target="http://www.torgi.gov.ru/" TargetMode="External"/><Relationship Id="rId15" Type="http://schemas.openxmlformats.org/officeDocument/2006/relationships/hyperlink" Target="http://www.torgi.gov.ru/" TargetMode="External"/><Relationship Id="rId16" Type="http://schemas.openxmlformats.org/officeDocument/2006/relationships/hyperlink" Target="http://utp.sberbank-ast.ru/AP/Notice/653/Requisites" TargetMode="External"/><Relationship Id="rId17" Type="http://schemas.openxmlformats.org/officeDocument/2006/relationships/header" Target="header1.xml"/><Relationship Id="rId18" Type="http://schemas.openxmlformats.org/officeDocument/2006/relationships/header" Target="header2.xml"/><Relationship Id="rId19" Type="http://schemas.openxmlformats.org/officeDocument/2006/relationships/footer" Target="footer1.xml"/><Relationship Id="rId20" Type="http://schemas.openxmlformats.org/officeDocument/2006/relationships/numbering" Target="numbering.xml"/><Relationship Id="rId21" Type="http://schemas.openxmlformats.org/officeDocument/2006/relationships/fontTable" Target="fontTable.xml"/><Relationship Id="rId22" Type="http://schemas.openxmlformats.org/officeDocument/2006/relationships/settings" Target="settings.xml"/><Relationship Id="rId23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 pitchFamily="0" charset="1"/>
        <a:ea typeface="Arial" pitchFamily="0" charset="1"/>
        <a:cs typeface="Arial" pitchFamily="0" charset="1"/>
      </a:majorFont>
      <a:minorFont>
        <a:latin typeface="Arial" pitchFamily="0" charset="1"/>
        <a:ea typeface="Arial" pitchFamily="0" charset="1"/>
        <a:cs typeface="Arial" pitchFamily="0" charset="1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1045</TotalTime>
  <Application>LibreOffice/7.6.7.2$Linux_X86_64 LibreOffice_project/60$Build-2</Application>
  <AppVersion>15.0000</AppVersion>
  <Pages>34</Pages>
  <Words>10311</Words>
  <Characters>75415</Characters>
  <CharactersWithSpaces>85551</CharactersWithSpaces>
  <Paragraphs>470</Paragraphs>
  <Company>HP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2024-09-02T08:08:00Z</dcterms:created>
  <dc:creator>Tatyannikova</dc:creator>
  <dc:description/>
  <dc:language>ru-RU</dc:language>
  <cp:lastModifiedBy/>
  <dcterms:modified xsi:type="dcterms:W3CDTF">2024-12-28T11:13:16Z</dcterms:modified>
  <cp:revision>60</cp:revision>
  <dc:subject/>
  <dc:title>Департамент имущественных отношений администрации города Перми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