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5"/>
        <w:numPr>
          <w:ilvl w:val="0"/>
          <w:numId w:val="0"/>
        </w:numPr>
        <w:ind w:hanging="0" w:left="0"/>
        <w:outlineLvl w:val="0"/>
        <w:rPr>
          <w:b w:val="false"/>
          <w:sz w:val="28"/>
          <w:szCs w:val="28"/>
        </w:rPr>
      </w:pPr>
      <w:r>
        <w:rPr>
          <w:b w:val="false"/>
          <w:sz w:val="28"/>
          <w:szCs w:val="28"/>
        </w:rPr>
        <w:t>Департамент имущественных отношений администрации города Перми</w:t>
      </w:r>
    </w:p>
    <w:p>
      <w:pPr>
        <w:pStyle w:val="Style15"/>
        <w:numPr>
          <w:ilvl w:val="0"/>
          <w:numId w:val="0"/>
        </w:numPr>
        <w:ind w:hanging="0" w:left="0"/>
        <w:outlineLvl w:val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numPr>
          <w:ilvl w:val="0"/>
          <w:numId w:val="0"/>
        </w:numPr>
        <w:ind w:hanging="4395" w:left="49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Протокол о результатах электронных аукционов </w:t>
      </w:r>
    </w:p>
    <w:p>
      <w:pPr>
        <w:pStyle w:val="21"/>
        <w:numPr>
          <w:ilvl w:val="0"/>
          <w:numId w:val="0"/>
        </w:numPr>
        <w:ind w:hanging="4395" w:left="49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продаже земельных участков </w:t>
      </w:r>
    </w:p>
    <w:p>
      <w:pPr>
        <w:pStyle w:val="21"/>
        <w:numPr>
          <w:ilvl w:val="0"/>
          <w:numId w:val="0"/>
        </w:numPr>
        <w:ind w:hanging="4395" w:left="49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hanging="2805" w:left="2805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hanging="2805" w:left="2805"/>
        <w:jc w:val="both"/>
        <w:rPr>
          <w:sz w:val="28"/>
          <w:szCs w:val="28"/>
        </w:rPr>
      </w:pPr>
      <w:r>
        <w:rPr>
          <w:sz w:val="28"/>
          <w:szCs w:val="28"/>
        </w:rPr>
        <w:t>г. Пермь, ул. Сибирская, д.14, каб.2                                                       16.01.2025, 09:00</w:t>
      </w:r>
    </w:p>
    <w:p>
      <w:pPr>
        <w:pStyle w:val="Normal"/>
        <w:ind w:hanging="2805" w:left="2805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2805" w:leader="none"/>
        </w:tabs>
        <w:spacing w:lineRule="auto" w:line="276"/>
        <w:ind w:firstLine="720"/>
        <w:jc w:val="both"/>
        <w:rPr/>
      </w:pPr>
      <w:r>
        <w:rPr>
          <w:sz w:val="28"/>
          <w:szCs w:val="28"/>
        </w:rPr>
        <w:t xml:space="preserve">Комиссия по проведению аукционов по продаже земельных участков, находящихся в муниципальной собственности города Перми, и участков, собственность на которые не разграничена, объектов незавершенного строительства, расположенных на земельных участках, находящихся в муниципальной собственности города Перми, и участках, собственность на которые                                  не разграничена, или на право заключения договоров аренды земельных участков, находящихся в муниципальной собственности города Перми, и участков, собственность на которые не разграничена, назначенная постановлением администрации города Перми от 20.11.2008 № 1089 (с последующими изменениями), в составе: 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highlight w:val="yellow"/>
        </w:rPr>
        <w:t xml:space="preserve">             </w:t>
      </w:r>
    </w:p>
    <w:p>
      <w:pPr>
        <w:pStyle w:val="Normal"/>
        <w:spacing w:lineRule="auto" w:line="276" w:before="0" w:after="119"/>
        <w:ind w:hanging="2523" w:left="2523" w:right="0"/>
        <w:jc w:val="both"/>
        <w:rPr/>
      </w:pPr>
      <w:r>
        <w:rPr>
          <w:sz w:val="28"/>
          <w:szCs w:val="28"/>
          <w:lang w:eastAsia="en-US"/>
        </w:rPr>
        <w:t xml:space="preserve">Председатель комиссии:  Хаткевич А.А., начальник департамента имущественных отношений администрации города Перми; </w:t>
      </w:r>
    </w:p>
    <w:p>
      <w:pPr>
        <w:pStyle w:val="Normal"/>
        <w:spacing w:lineRule="auto" w:line="276"/>
        <w:ind w:hanging="2517" w:left="2517"/>
        <w:rPr/>
      </w:pPr>
      <w:r>
        <w:rPr>
          <w:sz w:val="28"/>
          <w:szCs w:val="28"/>
          <w:lang w:eastAsia="en-US"/>
        </w:rPr>
        <w:t xml:space="preserve">Заместитель председателя комиссии: Шафранова Е.П., заместитель начальника департамента земельных отношений администрации города Перми;  </w:t>
      </w:r>
    </w:p>
    <w:p>
      <w:pPr>
        <w:pStyle w:val="Normal"/>
        <w:spacing w:lineRule="auto" w:line="276" w:before="0" w:after="0"/>
        <w:ind w:hanging="2517" w:left="2517" w:right="0"/>
        <w:jc w:val="both"/>
        <w:rPr/>
      </w:pPr>
      <w:r>
        <w:rPr>
          <w:rFonts w:eastAsia="Times New Roman" w:cs="Times New Roman"/>
          <w:color w:val="000000"/>
          <w:sz w:val="28"/>
        </w:rPr>
        <w:t>Секретарь комиссии: Павлова О.И., консультант отдела по распоряжению муниципальным имуществом управления по распоряжению муниципальным имуществом департамента имущественных отношений администрации города Перми;</w:t>
      </w:r>
    </w:p>
    <w:p>
      <w:pPr>
        <w:pStyle w:val="Normal"/>
        <w:spacing w:lineRule="auto" w:line="276"/>
        <w:ind w:hanging="2520" w:left="2517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</w:r>
    </w:p>
    <w:p>
      <w:pPr>
        <w:pStyle w:val="Normal"/>
        <w:spacing w:lineRule="auto" w:line="276"/>
        <w:ind w:hanging="1843" w:left="1843"/>
        <w:rPr/>
      </w:pPr>
      <w:r>
        <w:rPr>
          <w:sz w:val="28"/>
          <w:szCs w:val="28"/>
        </w:rPr>
        <w:t xml:space="preserve">Члены комиссии: Борцова Н.Н., начальник отдела сопровождения договоров юридического управления департамента земельных отношений администрации города Перми; </w:t>
      </w:r>
    </w:p>
    <w:p>
      <w:pPr>
        <w:pStyle w:val="Normal"/>
        <w:spacing w:lineRule="auto" w:line="276"/>
        <w:ind w:left="1843"/>
        <w:jc w:val="both"/>
        <w:rPr/>
      </w:pPr>
      <w:r>
        <w:rPr>
          <w:color w:val="000000"/>
          <w:sz w:val="28"/>
          <w:szCs w:val="28"/>
        </w:rPr>
        <w:t xml:space="preserve">Горшков О.С., начальник отдела градостроительства, земельных             и имущественных отношений администрации Свердловского района города Перми; </w:t>
      </w:r>
    </w:p>
    <w:p>
      <w:pPr>
        <w:pStyle w:val="BodyText"/>
        <w:spacing w:lineRule="auto" w:line="276" w:before="0" w:after="0"/>
        <w:ind w:left="1843"/>
        <w:contextualSpacing/>
        <w:jc w:val="both"/>
        <w:rPr/>
      </w:pP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 xml:space="preserve">Меренкова А.Н., начальник отдела градостроительства, земельных и имущественных отношений администрации Ленинского района </w:t>
        <w:br/>
        <w:t>города Перми;</w:t>
      </w:r>
    </w:p>
    <w:p>
      <w:pPr>
        <w:pStyle w:val="Normal"/>
        <w:spacing w:lineRule="auto" w:line="276"/>
        <w:ind w:left="1843"/>
        <w:jc w:val="both"/>
        <w:rPr/>
      </w:pPr>
      <w:r>
        <w:rPr>
          <w:sz w:val="28"/>
          <w:szCs w:val="28"/>
        </w:rPr>
        <w:t>Четина Ю.И., заместитель начальника отдела по распоряжению муниципальным имуществом управления по распоряжению муниципальным имуществом департамента имущественных отношений администрации города Перми.</w:t>
      </w:r>
    </w:p>
    <w:p>
      <w:pPr>
        <w:pStyle w:val="Normal"/>
        <w:spacing w:lineRule="auto" w:line="276" w:before="0"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276" w:before="0" w:after="120"/>
        <w:jc w:val="both"/>
        <w:rPr/>
      </w:pPr>
      <w:r>
        <w:rPr>
          <w:b/>
          <w:sz w:val="28"/>
          <w:szCs w:val="28"/>
        </w:rPr>
        <w:t xml:space="preserve">Адрес электронной площадки: </w:t>
      </w:r>
      <w:r>
        <w:rPr>
          <w:sz w:val="28"/>
          <w:szCs w:val="28"/>
        </w:rPr>
        <w:t>универсальная торговая платформа АО «Сбербанк-АСТ», размещенная на сайте http://utp.sberbank-ast.ru в сети Интернет (торговая секция «Приватизация, аренда и продажа прав»).</w:t>
      </w:r>
    </w:p>
    <w:p>
      <w:pPr>
        <w:pStyle w:val="Normal"/>
        <w:spacing w:lineRule="auto" w:line="276" w:before="0" w:after="120"/>
        <w:rPr/>
      </w:pPr>
      <w:r>
        <w:rPr>
          <w:b/>
          <w:sz w:val="28"/>
          <w:szCs w:val="28"/>
        </w:rPr>
        <w:t xml:space="preserve">Дата электронных аукционов: </w:t>
      </w:r>
      <w:r>
        <w:rPr>
          <w:b w:val="false"/>
          <w:bCs w:val="false"/>
          <w:sz w:val="28"/>
          <w:szCs w:val="28"/>
        </w:rPr>
        <w:t>16</w:t>
      </w:r>
      <w:r>
        <w:rPr>
          <w:sz w:val="28"/>
          <w:szCs w:val="28"/>
        </w:rPr>
        <w:t>.0</w:t>
      </w:r>
      <w:r>
        <w:rPr>
          <w:sz w:val="28"/>
          <w:szCs w:val="28"/>
        </w:rPr>
        <w:t>1</w:t>
      </w:r>
      <w:r>
        <w:rPr>
          <w:sz w:val="28"/>
          <w:szCs w:val="28"/>
        </w:rPr>
        <w:t>.2025</w:t>
      </w:r>
    </w:p>
    <w:p>
      <w:pPr>
        <w:pStyle w:val="Normal"/>
        <w:spacing w:lineRule="auto" w:line="276" w:before="0" w:after="120"/>
        <w:rPr/>
      </w:pPr>
      <w:r>
        <w:rPr>
          <w:b/>
          <w:sz w:val="28"/>
          <w:szCs w:val="28"/>
        </w:rPr>
        <w:t xml:space="preserve">Лот № 1. </w:t>
      </w:r>
    </w:p>
    <w:p>
      <w:pPr>
        <w:pStyle w:val="Normal"/>
        <w:spacing w:lineRule="auto" w:line="276"/>
        <w:ind w:firstLine="720" w:left="0" w:right="0"/>
        <w:jc w:val="both"/>
        <w:rPr/>
      </w:pPr>
      <w:r>
        <w:rPr>
          <w:rFonts w:eastAsia="Times New Roman" w:cs="Times New Roman"/>
          <w:color w:val="000000"/>
          <w:sz w:val="28"/>
        </w:rPr>
        <w:t xml:space="preserve">Земельный 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участок с кадастровым номером 59:01:5010064:27 площадью 1016 кв. м, расположенный по адресу: Российская Федерация, край Пермский,                       г.о. Пермский, г. Пермь, ж/р Ново-Бродовский, ул. Пасечная, зу 37, с целью строительства индивидуального жилого дома. Разрешенное использование земельного участка – под строительство индивидуального жилого дома.</w:t>
      </w:r>
    </w:p>
    <w:p>
      <w:pPr>
        <w:pStyle w:val="Normal"/>
        <w:spacing w:lineRule="auto" w:line="276" w:before="0" w:after="0"/>
        <w:ind w:firstLine="720" w:left="0" w:right="0"/>
        <w:jc w:val="both"/>
        <w:rPr/>
      </w:pP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Электронный аукцион</w:t>
      </w:r>
      <w:r>
        <w:rPr>
          <w:rFonts w:eastAsia="Droid Sans Fallback" w:cs="Lohit Devanagari"/>
          <w:color w:val="auto"/>
          <w:kern w:val="0"/>
          <w:sz w:val="28"/>
          <w:szCs w:val="28"/>
          <w:lang w:val="en-US" w:eastAsia="ru-RU" w:bidi="ar-SA"/>
        </w:rPr>
        <w:t xml:space="preserve"> по лоту </w:t>
      </w:r>
      <w:r>
        <w:rPr>
          <w:rFonts w:eastAsia="Droid Sans Fallback" w:cs="Lohit Devanagari"/>
          <w:b/>
          <w:bCs/>
          <w:color w:val="auto"/>
          <w:kern w:val="0"/>
          <w:sz w:val="28"/>
          <w:szCs w:val="28"/>
          <w:lang w:val="en-US" w:eastAsia="ru-RU" w:bidi="ar-SA"/>
        </w:rPr>
        <w:t>№ 1</w:t>
      </w:r>
      <w:r>
        <w:rPr>
          <w:rFonts w:eastAsia="Droid Sans Fallback" w:cs="Lohit Devanagari"/>
          <w:color w:val="auto"/>
          <w:kern w:val="0"/>
          <w:sz w:val="28"/>
          <w:szCs w:val="28"/>
          <w:lang w:val="en-US" w:eastAsia="ru-RU" w:bidi="ar-SA"/>
        </w:rPr>
        <w:t xml:space="preserve"> признан несостоявшимся в связи с тем, </w:t>
        <w:br/>
        <w:t xml:space="preserve">что на участие в торгах по данному лоту не поступило ни одной заявки. </w:t>
      </w:r>
    </w:p>
    <w:p>
      <w:pPr>
        <w:pStyle w:val="Normal"/>
        <w:spacing w:lineRule="auto" w:line="276" w:before="0" w:after="0"/>
        <w:ind w:firstLine="720" w:left="0" w:right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pPr>
      <w:r>
        <w:rPr>
          <w:rFonts w:eastAsia="Times New Roman" w:cs="Times New Roman"/>
          <w:color w:val="000000"/>
          <w:sz w:val="28"/>
          <w:szCs w:val="28"/>
        </w:rPr>
      </w:r>
    </w:p>
    <w:p>
      <w:pPr>
        <w:pStyle w:val="Normal"/>
        <w:spacing w:lineRule="auto" w:line="276" w:before="0" w:after="120"/>
        <w:rPr/>
      </w:pPr>
      <w:r>
        <w:rPr>
          <w:b/>
          <w:sz w:val="28"/>
          <w:szCs w:val="28"/>
        </w:rPr>
        <w:t xml:space="preserve">Лот № 2. </w:t>
      </w:r>
    </w:p>
    <w:p>
      <w:pPr>
        <w:pStyle w:val="Normal"/>
        <w:spacing w:lineRule="auto" w:line="276" w:before="0" w:after="0"/>
        <w:ind w:firstLine="720" w:left="0" w:right="0"/>
        <w:jc w:val="both"/>
        <w:rPr/>
      </w:pPr>
      <w:r>
        <w:rPr>
          <w:rFonts w:eastAsia="Times New Roman" w:cs="Times New Roman"/>
          <w:color w:val="000000"/>
          <w:sz w:val="28"/>
        </w:rPr>
        <w:t xml:space="preserve">Земельный 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участок с кадастровым номером 59:01:3812839:178 площадью 733 кв. м, расположенный по адресу: Российская Федерация, край Пермский,                     г.о. Пермский, г. Пермь, ул. 1-я Логовая, зу 1д, для индивидуального жилищного строительства. Разрешенное использование земельного участка – для индивидуального жилищного строительства (2.1).</w:t>
      </w:r>
    </w:p>
    <w:p>
      <w:pPr>
        <w:pStyle w:val="Normal"/>
        <w:spacing w:lineRule="auto" w:line="276" w:before="0" w:after="0"/>
        <w:ind w:firstLine="720" w:left="0" w:right="0"/>
        <w:jc w:val="both"/>
        <w:rPr/>
      </w:pPr>
      <w:r>
        <w:rPr>
          <w:sz w:val="28"/>
          <w:szCs w:val="28"/>
        </w:rPr>
        <w:t>Электронный аукцион</w:t>
      </w:r>
      <w:r>
        <w:rPr>
          <w:sz w:val="28"/>
          <w:szCs w:val="28"/>
          <w:lang w:val="en-US"/>
        </w:rPr>
        <w:t xml:space="preserve"> по лоту </w:t>
      </w:r>
      <w:r>
        <w:rPr>
          <w:b/>
          <w:bCs/>
          <w:sz w:val="28"/>
          <w:szCs w:val="28"/>
          <w:lang w:val="en-US"/>
        </w:rPr>
        <w:t>№ 2</w:t>
      </w:r>
      <w:r>
        <w:rPr>
          <w:sz w:val="28"/>
          <w:szCs w:val="28"/>
          <w:lang w:val="en-US"/>
        </w:rPr>
        <w:t xml:space="preserve"> признан несостоявшимся в связи с тем, </w:t>
        <w:br/>
        <w:t xml:space="preserve">что на участие в торгах по данному лоту не поступило ни одной заявки. </w:t>
      </w:r>
    </w:p>
    <w:p>
      <w:pPr>
        <w:pStyle w:val="Normal"/>
        <w:spacing w:lineRule="auto" w:line="276" w:before="0" w:after="0"/>
        <w:ind w:firstLine="720" w:left="0" w:righ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</w:p>
    <w:p>
      <w:pPr>
        <w:pStyle w:val="Normal"/>
        <w:spacing w:lineRule="auto" w:line="276" w:before="0" w:after="120"/>
        <w:rPr/>
      </w:pPr>
      <w:r>
        <w:rPr>
          <w:b/>
          <w:sz w:val="28"/>
          <w:szCs w:val="28"/>
        </w:rPr>
        <w:t xml:space="preserve">Лот № 3. </w:t>
      </w:r>
    </w:p>
    <w:p>
      <w:pPr>
        <w:pStyle w:val="Normal"/>
        <w:spacing w:lineRule="auto" w:line="276" w:before="0" w:after="0"/>
        <w:ind w:firstLine="720" w:left="0" w:right="0"/>
        <w:jc w:val="both"/>
        <w:rPr/>
      </w:pPr>
      <w:r>
        <w:rPr>
          <w:rFonts w:eastAsia="Times New Roman" w:cs="Times New Roman"/>
          <w:color w:val="000000"/>
          <w:sz w:val="28"/>
        </w:rPr>
        <w:t xml:space="preserve">Земельный 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 xml:space="preserve"> участок с кадастровым номером 59:01:3210111:124 площадью 833 кв. м, расположенный по адресу: Российская Федерация, Пермский край, городской округ Пермский, город Пермь, микрорайон Камская поляна, з/у 13а, для индивидуального жилищного строительства. Разрешенное использование земельного участка – для индивидуального жилищного строительства.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color w:val="000000"/>
          <w:kern w:val="0"/>
          <w:sz w:val="20"/>
          <w:szCs w:val="28"/>
          <w:lang w:val="en-US" w:eastAsia="en-US" w:bidi="ar-SA"/>
        </w:rPr>
        <w:t xml:space="preserve"> 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</w:rPr>
        <w:t>Время начала электронного аукциона: 09:00 по местному времени (07:00 МСК).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</w:rPr>
        <w:t xml:space="preserve">Время окончания электронного аукциона: </w:t>
      </w:r>
      <w:r>
        <w:rPr>
          <w:sz w:val="28"/>
          <w:szCs w:val="28"/>
          <w:shd w:fill="auto" w:val="clear"/>
        </w:rPr>
        <w:t>10:15 по местному времени (08:15 МСК).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</w:rPr>
        <w:t>На участие в аукционе поступили 4 заявки.</w:t>
      </w:r>
    </w:p>
    <w:p>
      <w:pPr>
        <w:pStyle w:val="Normal"/>
        <w:spacing w:lineRule="auto" w:line="276" w:before="0" w:after="0"/>
        <w:ind w:hanging="0" w:left="0" w:right="0"/>
        <w:jc w:val="both"/>
        <w:rPr/>
      </w:pPr>
      <w:r>
        <w:rPr>
          <w:sz w:val="28"/>
          <w:szCs w:val="28"/>
          <w:lang w:val="en-US" w:eastAsia="en-US"/>
        </w:rPr>
        <w:t xml:space="preserve">Сведения об участниках аукциона </w:t>
      </w:r>
      <w:r>
        <w:rPr>
          <w:sz w:val="28"/>
          <w:szCs w:val="28"/>
          <w:lang w:eastAsia="en-US"/>
        </w:rPr>
        <w:t>– Дучиц Максим Викторович, Шадричев Сергей Владимирович, Мудров Иван Юрьевич, Подгорнов Сергей Михайлович.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lang w:val="en-US" w:eastAsia="en-US"/>
        </w:rPr>
        <w:t>Начальная цена</w:t>
      </w:r>
      <w:r>
        <w:rPr>
          <w:sz w:val="28"/>
          <w:szCs w:val="28"/>
          <w:lang w:eastAsia="en-US"/>
        </w:rPr>
        <w:t xml:space="preserve"> предмета аукциона</w:t>
      </w:r>
      <w:r>
        <w:rPr>
          <w:sz w:val="28"/>
          <w:szCs w:val="28"/>
          <w:lang w:val="en-US" w:eastAsia="en-US"/>
        </w:rPr>
        <w:t xml:space="preserve"> –</w:t>
      </w:r>
      <w:r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val="en-US" w:eastAsia="en-US"/>
        </w:rPr>
        <w:t>1 666 000,00</w:t>
      </w:r>
      <w:r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val="en-US" w:eastAsia="en-US"/>
        </w:rPr>
        <w:t>руб.</w:t>
      </w:r>
    </w:p>
    <w:p>
      <w:pPr>
        <w:pStyle w:val="Normal"/>
        <w:spacing w:lineRule="auto" w:line="276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>
      <w:pPr>
        <w:pStyle w:val="Normal"/>
        <w:spacing w:lineRule="auto" w:line="276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>
      <w:pPr>
        <w:pStyle w:val="Normal"/>
        <w:spacing w:lineRule="auto" w:line="276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>
      <w:pPr>
        <w:pStyle w:val="Normal"/>
        <w:spacing w:lineRule="auto" w:line="276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>
      <w:pPr>
        <w:pStyle w:val="Normal"/>
        <w:spacing w:lineRule="auto" w:line="276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>
      <w:pPr>
        <w:pStyle w:val="Normal"/>
        <w:spacing w:lineRule="auto" w:line="276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tbl>
      <w:tblPr>
        <w:tblW w:w="990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6588"/>
        <w:gridCol w:w="3311"/>
      </w:tblGrid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spacing w:lineRule="auto" w:line="276"/>
              <w:jc w:val="center"/>
              <w:rPr/>
            </w:pPr>
            <w:r>
              <w:rPr>
                <w:sz w:val="28"/>
                <w:szCs w:val="28"/>
              </w:rPr>
              <w:t>Наименование участника</w:t>
            </w:r>
          </w:p>
        </w:tc>
        <w:tc>
          <w:tcPr>
            <w:tcW w:w="3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jc w:val="center"/>
              <w:rPr/>
            </w:pPr>
            <w:r>
              <w:rPr>
                <w:sz w:val="28"/>
                <w:szCs w:val="28"/>
              </w:rPr>
              <w:t>Максимальное предложение участника о цене предмета аукциона, руб.</w:t>
            </w:r>
          </w:p>
        </w:tc>
      </w:tr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left"/>
              <w:rPr/>
            </w:pPr>
            <w:r>
              <w:rPr>
                <w:rFonts w:eastAsia="Droid Sans Fallback" w:cs="Lohit Devanagari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ru-RU" w:eastAsia="ru-RU" w:bidi="ar-SA"/>
              </w:rPr>
              <w:t>Дучиц Максим Викторович</w:t>
            </w:r>
          </w:p>
        </w:tc>
        <w:tc>
          <w:tcPr>
            <w:tcW w:w="3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b/>
                <w:bCs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eastAsia="Times New Roman" w:cs="Times New Roman"/>
                <w:b/>
                <w:bCs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en-US" w:eastAsia="en-US" w:bidi="ar-SA"/>
              </w:rPr>
              <w:t>3 015 460,00</w:t>
            </w:r>
          </w:p>
        </w:tc>
      </w:tr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left"/>
              <w:rPr/>
            </w:pPr>
            <w:r>
              <w:rPr>
                <w:rFonts w:eastAsia="Droid Sans Fallback" w:cs="Lohit Devanagari"/>
                <w:color w:val="auto"/>
                <w:kern w:val="0"/>
                <w:sz w:val="28"/>
                <w:szCs w:val="28"/>
                <w:lang w:val="ru-RU" w:eastAsia="ru-RU" w:bidi="ar-SA"/>
              </w:rPr>
              <w:t>Шадричев Сергей Владимирович</w:t>
            </w:r>
          </w:p>
        </w:tc>
        <w:tc>
          <w:tcPr>
            <w:tcW w:w="3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en-US" w:eastAsia="en-US" w:bidi="ar-SA"/>
              </w:rPr>
              <w:t>2 265 760,00</w:t>
            </w:r>
          </w:p>
        </w:tc>
      </w:tr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left"/>
              <w:rPr/>
            </w:pPr>
            <w:r>
              <w:rPr>
                <w:rFonts w:eastAsia="Droid Sans Fallback" w:cs="Lohit Devanagari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ru-RU" w:eastAsia="ru-RU" w:bidi="ar-SA"/>
              </w:rPr>
              <w:t>Мудров Иван Юрьевич</w:t>
            </w:r>
          </w:p>
        </w:tc>
        <w:tc>
          <w:tcPr>
            <w:tcW w:w="3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en-US" w:eastAsia="en-US" w:bidi="ar-SA"/>
              </w:rPr>
              <w:t>2 365 720,00</w:t>
            </w:r>
          </w:p>
        </w:tc>
      </w:tr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left"/>
              <w:rPr/>
            </w:pPr>
            <w:r>
              <w:rPr>
                <w:rFonts w:eastAsia="Droid Sans Fallback" w:cs="Lohit Devanagari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ru-RU" w:eastAsia="ru-RU" w:bidi="ar-SA"/>
              </w:rPr>
              <w:t>Подгорнов Сергей Михайлович</w:t>
            </w:r>
          </w:p>
        </w:tc>
        <w:tc>
          <w:tcPr>
            <w:tcW w:w="3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en-US" w:eastAsia="en-US" w:bidi="ar-SA"/>
              </w:rPr>
              <w:t>2 965 480,00</w:t>
            </w:r>
          </w:p>
        </w:tc>
      </w:tr>
    </w:tbl>
    <w:p>
      <w:pPr>
        <w:pStyle w:val="Normal"/>
        <w:spacing w:lineRule="auto" w:line="276"/>
        <w:jc w:val="both"/>
        <w:rPr>
          <w:sz w:val="28"/>
          <w:szCs w:val="28"/>
          <w:highlight w:val="yellow"/>
          <w:lang w:val="en-US" w:eastAsia="en-US"/>
        </w:rPr>
      </w:pPr>
      <w:r>
        <w:rPr>
          <w:sz w:val="28"/>
          <w:szCs w:val="28"/>
          <w:highlight w:val="yellow"/>
          <w:lang w:val="en-US" w:eastAsia="en-US"/>
        </w:rPr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 xml:space="preserve">Последнее предложение о цене предмета аукциона – 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color w:val="000000"/>
          <w:kern w:val="0"/>
          <w:sz w:val="28"/>
          <w:szCs w:val="28"/>
          <w:shd w:fill="auto" w:val="clear"/>
          <w:lang w:val="en-US" w:eastAsia="en-US" w:bidi="ar-SA"/>
        </w:rPr>
        <w:t>3 015 460</w:t>
      </w:r>
      <w:r>
        <w:rPr>
          <w:sz w:val="28"/>
          <w:szCs w:val="28"/>
          <w:shd w:fill="auto" w:val="clear"/>
          <w:lang w:val="ru-RU" w:eastAsia="ru-RU" w:bidi="ar-SA"/>
        </w:rPr>
        <w:t>,00</w:t>
      </w:r>
      <w:r>
        <w:rPr>
          <w:sz w:val="28"/>
          <w:szCs w:val="28"/>
          <w:shd w:fill="auto" w:val="clear"/>
          <w:lang w:val="en-US" w:eastAsia="en-US"/>
        </w:rPr>
        <w:t xml:space="preserve"> руб.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>Предпоследнее предложение о цене предмета аукциона –</w:t>
      </w:r>
      <w:r>
        <w:rPr>
          <w:sz w:val="28"/>
          <w:szCs w:val="28"/>
          <w:shd w:fill="auto" w:val="clear"/>
          <w:lang w:eastAsia="en-US"/>
        </w:rPr>
        <w:t xml:space="preserve"> 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color w:val="000000"/>
          <w:kern w:val="0"/>
          <w:sz w:val="28"/>
          <w:szCs w:val="28"/>
          <w:shd w:fill="auto" w:val="clear"/>
          <w:lang w:val="en-US" w:eastAsia="en-US" w:bidi="ar-SA"/>
        </w:rPr>
        <w:t>2 965 480</w:t>
      </w:r>
      <w:r>
        <w:rPr>
          <w:sz w:val="28"/>
          <w:szCs w:val="28"/>
          <w:shd w:fill="auto" w:val="clear"/>
          <w:lang w:val="ru-RU" w:eastAsia="ru-RU" w:bidi="ar-SA"/>
        </w:rPr>
        <w:t xml:space="preserve">,00 </w:t>
      </w:r>
      <w:r>
        <w:rPr>
          <w:sz w:val="28"/>
          <w:szCs w:val="28"/>
          <w:shd w:fill="auto" w:val="clear"/>
          <w:lang w:eastAsia="en-US"/>
        </w:rPr>
        <w:t>руб.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 xml:space="preserve">Победитель аукциона </w:t>
      </w:r>
      <w:r>
        <w:rPr>
          <w:sz w:val="28"/>
          <w:szCs w:val="28"/>
          <w:shd w:fill="auto" w:val="clear"/>
          <w:lang w:eastAsia="en-US"/>
        </w:rPr>
        <w:t>– Дучиц Максим Викторович, 614031, Пермский край,                   г. Пермь, ул. Транспортная, д. 17, кв. 110.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 xml:space="preserve">Участник аукциона, который сделал предпоследнее предложение о цене </w:t>
      </w:r>
      <w:r>
        <w:rPr>
          <w:sz w:val="28"/>
          <w:szCs w:val="28"/>
          <w:shd w:fill="auto" w:val="clear"/>
          <w:lang w:eastAsia="en-US"/>
        </w:rPr>
        <w:t xml:space="preserve">предмета </w:t>
      </w:r>
      <w:r>
        <w:rPr>
          <w:sz w:val="28"/>
          <w:szCs w:val="28"/>
          <w:shd w:fill="auto" w:val="clear"/>
          <w:lang w:val="en-US" w:eastAsia="en-US"/>
        </w:rPr>
        <w:t xml:space="preserve">аукциона </w:t>
      </w:r>
      <w:r>
        <w:rPr>
          <w:sz w:val="28"/>
          <w:szCs w:val="28"/>
          <w:shd w:fill="auto" w:val="clear"/>
          <w:lang w:eastAsia="en-US"/>
        </w:rPr>
        <w:t xml:space="preserve">– </w:t>
      </w:r>
      <w:r>
        <w:rPr>
          <w:rFonts w:eastAsia="Droid Sans Fallback" w:cs="Lohit Devanagari"/>
          <w:b w:val="false"/>
          <w:bCs w:val="false"/>
          <w:i w:val="false"/>
          <w:iCs w:val="false"/>
          <w:caps w:val="false"/>
          <w:smallCaps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Подгорнов Сергей Михайлович, 614000, Пермский край, г. Пермь,                ул. Петропавловская, д. 41, кв. 9.</w:t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>Сведения о последнем предложении о цене предмета аукциона (</w:t>
      </w:r>
      <w:r>
        <w:rPr>
          <w:sz w:val="28"/>
          <w:szCs w:val="28"/>
          <w:shd w:fill="auto" w:val="clear"/>
          <w:lang w:eastAsia="en-US"/>
        </w:rPr>
        <w:t>стоимость земельного участка</w:t>
      </w:r>
      <w:r>
        <w:rPr>
          <w:sz w:val="28"/>
          <w:szCs w:val="28"/>
          <w:shd w:fill="auto" w:val="clear"/>
          <w:lang w:val="en-US" w:eastAsia="en-US"/>
        </w:rPr>
        <w:t xml:space="preserve">) – </w:t>
      </w:r>
      <w:r>
        <w:rPr>
          <w:rFonts w:eastAsia="Times New Roman" w:cs="Times New Roman"/>
          <w:b/>
          <w:bCs/>
          <w:i w:val="false"/>
          <w:iCs w:val="false"/>
          <w:caps w:val="false"/>
          <w:smallCaps w:val="false"/>
          <w:color w:val="000000"/>
          <w:kern w:val="0"/>
          <w:sz w:val="28"/>
          <w:szCs w:val="28"/>
          <w:shd w:fill="auto" w:val="clear"/>
          <w:lang w:val="en-US" w:eastAsia="en-US" w:bidi="ar-SA"/>
        </w:rPr>
        <w:t>3 015 460</w:t>
      </w:r>
      <w:r>
        <w:rPr>
          <w:b/>
          <w:bCs/>
          <w:sz w:val="28"/>
          <w:szCs w:val="28"/>
          <w:shd w:fill="auto" w:val="clear"/>
          <w:lang w:val="ru-RU" w:eastAsia="ru-RU" w:bidi="ar-SA"/>
        </w:rPr>
        <w:t>,00</w:t>
      </w:r>
      <w:r>
        <w:rPr>
          <w:b/>
          <w:sz w:val="28"/>
          <w:szCs w:val="28"/>
          <w:shd w:fill="auto" w:val="clear"/>
          <w:lang w:eastAsia="en-US"/>
        </w:rPr>
        <w:t xml:space="preserve"> р</w:t>
      </w:r>
      <w:r>
        <w:rPr>
          <w:b/>
          <w:sz w:val="28"/>
          <w:szCs w:val="28"/>
          <w:shd w:fill="auto" w:val="clear"/>
          <w:lang w:val="en-US" w:eastAsia="en-US"/>
        </w:rPr>
        <w:t>уб.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                                                                           А.А. Хаткевич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before="120" w:after="120"/>
        <w:ind w:hanging="5610" w:left="5610"/>
        <w:rPr>
          <w:sz w:val="28"/>
          <w:szCs w:val="28"/>
        </w:rPr>
      </w:pPr>
      <w:r>
        <w:rPr>
          <w:sz w:val="28"/>
          <w:szCs w:val="28"/>
          <w:lang w:eastAsia="en-US"/>
        </w:rPr>
        <w:t>Заместитель председателя комиссии</w:t>
      </w:r>
      <w:r>
        <w:rPr>
          <w:sz w:val="28"/>
          <w:szCs w:val="28"/>
        </w:rPr>
        <w:t xml:space="preserve"> </w:t>
        <w:tab/>
        <w:tab/>
        <w:tab/>
        <w:tab/>
        <w:t xml:space="preserve">               Е.П. Шафранова </w:t>
      </w:r>
    </w:p>
    <w:p>
      <w:pPr>
        <w:pStyle w:val="Normal"/>
        <w:spacing w:before="120" w:after="120"/>
        <w:ind w:hanging="5610" w:left="561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before="120" w:after="120"/>
        <w:ind w:hanging="5610" w:left="5610"/>
        <w:rPr>
          <w:sz w:val="28"/>
          <w:szCs w:val="28"/>
        </w:rPr>
      </w:pPr>
      <w:r>
        <w:rPr>
          <w:sz w:val="28"/>
          <w:szCs w:val="28"/>
        </w:rPr>
        <w:t>Секретарь комиссии</w:t>
      </w:r>
      <w:r>
        <w:rPr>
          <w:sz w:val="28"/>
          <w:szCs w:val="28"/>
          <w:lang w:val="ru-RU" w:eastAsia="ru-RU" w:bidi="ar-SA"/>
        </w:rPr>
        <w:t xml:space="preserve"> </w:t>
        <w:tab/>
        <w:tab/>
        <w:tab/>
        <w:tab/>
        <w:t xml:space="preserve">               О.И. Павлова</w:t>
      </w:r>
    </w:p>
    <w:p>
      <w:pPr>
        <w:pStyle w:val="Normal"/>
        <w:spacing w:before="120" w:after="1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Члены комиссии </w:t>
        <w:tab/>
        <w:tab/>
        <w:tab/>
        <w:tab/>
        <w:tab/>
        <w:tab/>
        <w:tab/>
        <w:tab/>
        <w:t xml:space="preserve">               Н.Н. Борцова  </w:t>
      </w:r>
    </w:p>
    <w:p>
      <w:pPr>
        <w:pStyle w:val="Normal"/>
        <w:spacing w:before="120" w:after="120"/>
        <w:ind w:firstLine="7655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76" w:before="120" w:after="120"/>
        <w:ind w:firstLine="8164" w:left="0" w:right="0"/>
        <w:jc w:val="left"/>
        <w:rPr/>
      </w:pPr>
      <w:r>
        <w:rPr>
          <w:sz w:val="28"/>
          <w:szCs w:val="28"/>
        </w:rPr>
        <w:t>О.С. Горшков</w:t>
      </w:r>
    </w:p>
    <w:p>
      <w:pPr>
        <w:pStyle w:val="Normal"/>
        <w:spacing w:before="120" w:after="120"/>
        <w:ind w:firstLine="7655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before="120" w:after="120"/>
        <w:ind w:firstLine="8164" w:left="0" w:right="0"/>
        <w:jc w:val="left"/>
        <w:rPr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>А.Н. Меренкова</w:t>
      </w:r>
    </w:p>
    <w:p>
      <w:pPr>
        <w:pStyle w:val="Normal"/>
        <w:spacing w:before="120" w:after="1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before="0" w:after="0"/>
        <w:ind w:firstLine="227" w:left="7937" w:right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Ю.И. Четина </w:t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134" w:right="567" w:gutter="0" w:header="0" w:top="357" w:footer="720" w:bottom="77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Verdana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3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9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3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504.1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3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9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3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504.1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3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keepNext w:val="true"/>
      <w:jc w:val="center"/>
      <w:outlineLvl w:val="0"/>
    </w:pPr>
    <w:rPr>
      <w:b/>
      <w:bCs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7">
    <w:name w:val="Основной шрифт абзаца"/>
    <w:semiHidden/>
    <w:qFormat/>
    <w:rPr/>
  </w:style>
  <w:style w:type="character" w:styleId="PageNumber">
    <w:name w:val="Page Number"/>
    <w:basedOn w:val="Style7"/>
    <w:rPr/>
  </w:style>
  <w:style w:type="character" w:styleId="3">
    <w:name w:val="Основной текст с отступом 3 Знак"/>
    <w:qFormat/>
    <w:rPr>
      <w:sz w:val="24"/>
      <w:szCs w:val="24"/>
    </w:rPr>
  </w:style>
  <w:style w:type="character" w:styleId="Style8">
    <w:name w:val="Текст Знак"/>
    <w:qFormat/>
    <w:rPr>
      <w:rFonts w:ascii="Courier New" w:hAnsi="Courier New"/>
    </w:rPr>
  </w:style>
  <w:style w:type="character" w:styleId="Style9">
    <w:name w:val="Основной текст с отступом Знак"/>
    <w:qFormat/>
    <w:rPr>
      <w:sz w:val="24"/>
      <w:szCs w:val="24"/>
    </w:rPr>
  </w:style>
  <w:style w:type="character" w:styleId="2">
    <w:name w:val="Основной текст 2 Знак"/>
    <w:qFormat/>
    <w:rPr>
      <w:sz w:val="24"/>
      <w:szCs w:val="24"/>
    </w:rPr>
  </w:style>
  <w:style w:type="character" w:styleId="Style10">
    <w:name w:val="Текст выноски Знак"/>
    <w:qFormat/>
    <w:rPr>
      <w:rFonts w:ascii="Tahoma" w:hAnsi="Tahoma" w:cs="Tahoma"/>
      <w:sz w:val="16"/>
      <w:szCs w:val="1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1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themeColor="accent1" w:val="4F81BD"/>
      <w:sz w:val="18"/>
      <w:szCs w:val="18"/>
    </w:rPr>
  </w:style>
  <w:style w:type="paragraph" w:styleId="Style12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3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11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21">
    <w:name w:val="Основной текст с отступом 2"/>
    <w:basedOn w:val="Normal"/>
    <w:qFormat/>
    <w:pPr>
      <w:ind w:hanging="4395" w:left="4962"/>
      <w:jc w:val="both"/>
    </w:pPr>
    <w:rPr>
      <w:szCs w:val="20"/>
    </w:rPr>
  </w:style>
  <w:style w:type="paragraph" w:styleId="Style14">
    <w:name w:val="Текст"/>
    <w:basedOn w:val="Normal"/>
    <w:qFormat/>
    <w:pPr/>
    <w:rPr>
      <w:rFonts w:ascii="Courier New" w:hAnsi="Courier New"/>
      <w:sz w:val="20"/>
      <w:szCs w:val="20"/>
      <w:lang w:val="en-US" w:eastAsia="en-US"/>
    </w:rPr>
  </w:style>
  <w:style w:type="paragraph" w:styleId="31">
    <w:name w:val="Основной текст с отступом 3"/>
    <w:basedOn w:val="Normal"/>
    <w:qFormat/>
    <w:pPr>
      <w:ind w:left="5610"/>
    </w:pPr>
    <w:rPr>
      <w:lang w:val="en-US" w:eastAsia="en-US"/>
    </w:rPr>
  </w:style>
  <w:style w:type="paragraph" w:styleId="BodyTextIndent">
    <w:name w:val="Body Text Indent"/>
    <w:basedOn w:val="Normal"/>
    <w:pPr>
      <w:spacing w:before="0" w:after="120"/>
      <w:ind w:left="283"/>
    </w:pPr>
    <w:rPr>
      <w:lang w:val="en-US" w:eastAsia="en-US"/>
    </w:rPr>
  </w:style>
  <w:style w:type="paragraph" w:styleId="22">
    <w:name w:val="Основной текст 2"/>
    <w:basedOn w:val="Normal"/>
    <w:qFormat/>
    <w:pPr>
      <w:spacing w:lineRule="auto" w:line="480" w:before="0" w:after="120"/>
    </w:pPr>
    <w:rPr>
      <w:lang w:val="en-US" w:eastAsia="en-US"/>
    </w:rPr>
  </w:style>
  <w:style w:type="paragraph" w:styleId="32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Style15">
    <w:name w:val="Заголовок,Название"/>
    <w:basedOn w:val="Normal"/>
    <w:qFormat/>
    <w:pPr>
      <w:ind w:firstLine="567"/>
      <w:jc w:val="center"/>
    </w:pPr>
    <w:rPr>
      <w:b/>
      <w:szCs w:val="20"/>
    </w:rPr>
  </w:style>
  <w:style w:type="paragraph" w:styleId="ConsPlusNonformat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Droid Sans Fallback" w:cs="Courier New"/>
      <w:color w:val="auto"/>
      <w:kern w:val="0"/>
      <w:sz w:val="20"/>
      <w:szCs w:val="20"/>
      <w:lang w:val="ru-RU" w:eastAsia="ru-RU" w:bidi="ar-SA"/>
    </w:rPr>
  </w:style>
  <w:style w:type="paragraph" w:styleId="Style16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Style17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Style18">
    <w:name w:val="Содержимое врезки"/>
    <w:basedOn w:val="Normal"/>
    <w:qFormat/>
    <w:pPr/>
    <w:rPr/>
  </w:style>
  <w:style w:type="paragraph" w:styleId="Style19">
    <w:name w:val="Содержимое таблицы"/>
    <w:basedOn w:val="Normal"/>
    <w:qFormat/>
    <w:pPr>
      <w:widowControl w:val="false"/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  <w:style w:type="numbering" w:styleId="Style21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Application>LibreOffice/7.6.7.2$Linux_X86_64 LibreOffice_project/60$Build-2</Application>
  <AppVersion>15.0000</AppVersion>
  <Pages>3</Pages>
  <Words>600</Words>
  <Characters>4267</Characters>
  <CharactersWithSpaces>5169</CharactersWithSpaces>
  <Paragraphs>54</Paragraphs>
  <Company>Деп. имущественных отношений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2023-09-08T05:38:00Z</dcterms:created>
  <dc:creator>bna</dc:creator>
  <dc:description/>
  <dc:language>ru-RU</dc:language>
  <cp:lastModifiedBy/>
  <cp:lastPrinted>2025-01-16T11:15:25Z</cp:lastPrinted>
  <dcterms:modified xsi:type="dcterms:W3CDTF">2025-01-16T11:14:50Z</dcterms:modified>
  <cp:revision>122</cp:revision>
  <dc:subject/>
  <dc:title/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