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lineRule="auto" w:line="480" w:before="0" w:after="120"/>
        <w:ind w:hanging="0" w:left="283"/>
        <w:jc w:val="right"/>
        <w:outlineLvl w:val="0"/>
        <w:rPr>
          <w:rFonts w:eastAsia="Times New Roman"/>
          <w:sz w:val="18"/>
          <w:szCs w:val="18"/>
          <w:lang w:eastAsia="ru-RU"/>
        </w:rPr>
      </w:pPr>
      <w:r>
        <w:rPr>
          <w:rFonts w:eastAsia="Times New Roman"/>
          <w:sz w:val="18"/>
          <w:szCs w:val="18"/>
          <w:lang w:val="en-US" w:eastAsia="ru-RU"/>
        </w:rPr>
        <w:t>id</w:t>
      </w:r>
      <w:r>
        <w:rPr>
          <w:rFonts w:eastAsia="Times New Roman"/>
          <w:sz w:val="18"/>
          <w:szCs w:val="18"/>
          <w:lang w:eastAsia="ru-RU"/>
        </w:rPr>
        <w:t xml:space="preserve">  78491</w:t>
      </w:r>
    </w:p>
    <w:p>
      <w:pPr>
        <w:pStyle w:val="Normal"/>
        <w:ind w:firstLine="720"/>
        <w:jc w:val="right"/>
        <w:rPr>
          <w:rFonts w:eastAsia="Times New Roman"/>
          <w:szCs w:val="22"/>
          <w:lang w:eastAsia="ru-RU"/>
        </w:rPr>
      </w:pPr>
      <w:r>
        <w:rPr>
          <w:rFonts w:eastAsia="Times New Roman"/>
          <w:szCs w:val="22"/>
          <w:lang w:eastAsia="ru-RU"/>
        </w:rPr>
        <w:t>Приложение  к договору</w:t>
      </w:r>
    </w:p>
    <w:p>
      <w:pPr>
        <w:pStyle w:val="Normal"/>
        <w:ind w:firstLine="720"/>
        <w:jc w:val="right"/>
        <w:rPr>
          <w:rFonts w:eastAsia="Times New Roman"/>
          <w:szCs w:val="22"/>
          <w:lang w:eastAsia="ru-RU"/>
        </w:rPr>
      </w:pPr>
      <w:r>
        <w:rPr>
          <w:rFonts w:eastAsia="Times New Roman"/>
          <w:szCs w:val="22"/>
          <w:lang w:eastAsia="ru-RU"/>
        </w:rPr>
        <w:t>купли-продажи земельного участка</w:t>
      </w:r>
    </w:p>
    <w:p>
      <w:pPr>
        <w:pStyle w:val="Normal"/>
        <w:ind w:firstLine="720"/>
        <w:jc w:val="right"/>
        <w:rPr>
          <w:rFonts w:eastAsia="Times New Roman"/>
          <w:sz w:val="18"/>
          <w:szCs w:val="18"/>
          <w:lang w:eastAsia="ru-RU"/>
        </w:rPr>
      </w:pPr>
      <w:r>
        <w:rPr>
          <w:rFonts w:eastAsia="Times New Roman"/>
          <w:szCs w:val="22"/>
          <w:lang w:eastAsia="ru-RU"/>
        </w:rPr>
        <w:t>от _____ №</w:t>
      </w:r>
      <w:r>
        <w:rPr>
          <w:rFonts w:eastAsia="Times New Roman"/>
          <w:sz w:val="28"/>
          <w:szCs w:val="24"/>
          <w:lang w:eastAsia="ru-RU"/>
        </w:rPr>
        <w:t xml:space="preserve"> </w:t>
      </w:r>
      <w:r>
        <w:rPr>
          <w:b/>
          <w:u w:val="single"/>
        </w:rPr>
        <w:t>________</w:t>
      </w:r>
    </w:p>
    <w:p>
      <w:pPr>
        <w:pStyle w:val="Normal"/>
        <w:numPr>
          <w:ilvl w:val="0"/>
          <w:numId w:val="0"/>
        </w:numPr>
        <w:spacing w:lineRule="auto" w:line="480" w:before="0" w:after="120"/>
        <w:ind w:hanging="0" w:left="283"/>
        <w:jc w:val="right"/>
        <w:outlineLvl w:val="0"/>
        <w:rPr>
          <w:rFonts w:eastAsia="Times New Roman"/>
          <w:sz w:val="18"/>
          <w:szCs w:val="18"/>
          <w:lang w:eastAsia="ru-RU"/>
        </w:rPr>
      </w:pPr>
      <w:r>
        <w:rPr>
          <w:rFonts w:eastAsia="Times New Roman"/>
          <w:sz w:val="18"/>
          <w:szCs w:val="18"/>
          <w:lang w:eastAsia="ru-RU"/>
        </w:rPr>
      </w:r>
    </w:p>
    <w:p>
      <w:pPr>
        <w:pStyle w:val="Normal"/>
        <w:widowControl w:val="false"/>
        <w:spacing w:lineRule="auto" w:line="276"/>
        <w:ind w:firstLine="709"/>
        <w:jc w:val="center"/>
        <w:rPr>
          <w:rFonts w:eastAsia="Times New Roman"/>
          <w:b/>
          <w:bCs/>
          <w:sz w:val="24"/>
          <w:szCs w:val="24"/>
          <w:lang w:eastAsia="ru-RU"/>
        </w:rPr>
      </w:pPr>
      <w:r>
        <w:rPr>
          <w:rFonts w:eastAsia="Times New Roman"/>
          <w:b/>
          <w:bCs/>
          <w:sz w:val="24"/>
          <w:szCs w:val="24"/>
          <w:lang w:eastAsia="ru-RU"/>
        </w:rPr>
        <w:t>Акт приема – передачи</w:t>
      </w:r>
    </w:p>
    <w:p>
      <w:pPr>
        <w:pStyle w:val="Normal"/>
        <w:widowControl w:val="false"/>
        <w:spacing w:lineRule="auto" w:line="276"/>
        <w:ind w:firstLine="709"/>
        <w:jc w:val="center"/>
        <w:rPr>
          <w:rFonts w:eastAsia="Times New Roman"/>
          <w:b/>
          <w:bCs/>
          <w:sz w:val="24"/>
          <w:szCs w:val="24"/>
          <w:lang w:eastAsia="ru-RU"/>
        </w:rPr>
      </w:pPr>
      <w:r>
        <w:rPr>
          <w:rFonts w:eastAsia="Times New Roman"/>
          <w:b/>
          <w:sz w:val="24"/>
          <w:szCs w:val="24"/>
          <w:lang w:eastAsia="ru-RU"/>
        </w:rPr>
        <w:t xml:space="preserve">земельного участка </w:t>
      </w:r>
      <w:r>
        <w:rPr>
          <w:rFonts w:eastAsia="Times New Roman"/>
          <w:b/>
          <w:bCs/>
          <w:sz w:val="24"/>
          <w:szCs w:val="24"/>
          <w:lang w:eastAsia="ru-RU"/>
        </w:rPr>
        <w:t>общей площадью 1937</w:t>
      </w:r>
      <w:r>
        <w:rPr>
          <w:rFonts w:eastAsia="Times New Roman"/>
          <w:b/>
          <w:sz w:val="24"/>
          <w:szCs w:val="24"/>
          <w:lang w:eastAsia="ru-RU"/>
        </w:rPr>
        <w:t xml:space="preserve"> </w:t>
      </w:r>
      <w:r>
        <w:rPr>
          <w:rFonts w:eastAsia="Times New Roman"/>
          <w:b/>
          <w:bCs/>
          <w:sz w:val="24"/>
          <w:szCs w:val="24"/>
          <w:lang w:eastAsia="ru-RU"/>
        </w:rPr>
        <w:t>кв.м</w:t>
      </w:r>
    </w:p>
    <w:p>
      <w:pPr>
        <w:pStyle w:val="Normal"/>
        <w:ind w:firstLine="720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</w:r>
    </w:p>
    <w:p>
      <w:pPr>
        <w:pStyle w:val="Normal"/>
        <w:tabs>
          <w:tab w:val="clear" w:pos="708"/>
          <w:tab w:val="left" w:pos="9214" w:leader="none"/>
          <w:tab w:val="left" w:pos="9923" w:leader="none"/>
        </w:tabs>
        <w:spacing w:lineRule="auto" w:line="276"/>
        <w:ind w:firstLine="567"/>
        <w:rPr>
          <w:rFonts w:eastAsia="Times New Roman"/>
          <w:bCs/>
          <w:sz w:val="24"/>
          <w:szCs w:val="24"/>
          <w:u w:val="single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 xml:space="preserve">г. Пермь                                                                                                              </w:t>
      </w:r>
      <w:r>
        <w:rPr>
          <w:rFonts w:eastAsia="Times New Roman"/>
          <w:bCs/>
          <w:sz w:val="24"/>
          <w:szCs w:val="24"/>
          <w:u w:val="single"/>
          <w:lang w:eastAsia="ru-RU"/>
        </w:rPr>
        <w:tab/>
      </w:r>
    </w:p>
    <w:p>
      <w:pPr>
        <w:pStyle w:val="Normal"/>
        <w:widowControl w:val="false"/>
        <w:spacing w:lineRule="auto" w:line="276"/>
        <w:ind w:firstLine="567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Комиссией в составе:</w:t>
      </w:r>
    </w:p>
    <w:p>
      <w:pPr>
        <w:pStyle w:val="Normal"/>
        <w:widowControl w:val="false"/>
        <w:spacing w:lineRule="auto" w:line="276"/>
        <w:ind w:firstLine="567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</w:r>
    </w:p>
    <w:p>
      <w:pPr>
        <w:pStyle w:val="Normal"/>
        <w:widowControl w:val="false"/>
        <w:numPr>
          <w:ilvl w:val="0"/>
          <w:numId w:val="1"/>
        </w:numPr>
        <w:tabs>
          <w:tab w:val="clear" w:pos="708"/>
          <w:tab w:val="left" w:pos="600" w:leader="none"/>
        </w:tabs>
        <w:spacing w:lineRule="auto" w:line="276" w:before="0" w:after="200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от Продавца:</w:t>
      </w:r>
      <w:r>
        <w:rPr>
          <w:sz w:val="24"/>
          <w:szCs w:val="24"/>
        </w:rPr>
        <w:t xml:space="preserve"> __________________________________________________________</w:t>
      </w:r>
      <w:r>
        <w:rPr>
          <w:rFonts w:eastAsia="Times New Roman"/>
          <w:sz w:val="24"/>
          <w:szCs w:val="24"/>
          <w:lang w:eastAsia="ru-RU"/>
        </w:rPr>
        <w:t>,</w:t>
      </w:r>
    </w:p>
    <w:p>
      <w:pPr>
        <w:pStyle w:val="Normal"/>
        <w:widowControl w:val="false"/>
        <w:tabs>
          <w:tab w:val="clear" w:pos="708"/>
          <w:tab w:val="left" w:pos="600" w:leader="none"/>
        </w:tabs>
        <w:spacing w:lineRule="auto" w:line="276"/>
        <w:ind w:hanging="0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</w:r>
    </w:p>
    <w:p>
      <w:pPr>
        <w:pStyle w:val="Normal"/>
        <w:widowControl w:val="false"/>
        <w:numPr>
          <w:ilvl w:val="0"/>
          <w:numId w:val="1"/>
        </w:numPr>
        <w:tabs>
          <w:tab w:val="clear" w:pos="708"/>
          <w:tab w:val="left" w:pos="600" w:leader="none"/>
        </w:tabs>
        <w:spacing w:lineRule="auto" w:line="276" w:before="0" w:after="200"/>
        <w:jc w:val="left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от Покупателя: __________________________________________________________,</w:t>
      </w:r>
    </w:p>
    <w:p>
      <w:pPr>
        <w:pStyle w:val="Normal"/>
        <w:widowControl w:val="false"/>
        <w:spacing w:lineRule="auto" w:line="276"/>
        <w:ind w:firstLine="535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</w:r>
    </w:p>
    <w:p>
      <w:pPr>
        <w:pStyle w:val="Normal"/>
        <w:widowControl w:val="false"/>
        <w:spacing w:lineRule="auto" w:line="276"/>
        <w:ind w:hanging="0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произведены прием – передача земельного участка, расположенного на землях населенных пунктов, имеющего кадастровый номер</w:t>
      </w:r>
      <w:r>
        <w:rPr>
          <w:rFonts w:eastAsia="Times New Roman"/>
          <w:b/>
          <w:sz w:val="24"/>
          <w:szCs w:val="24"/>
          <w:lang w:eastAsia="ru-RU"/>
        </w:rPr>
        <w:t xml:space="preserve"> </w:t>
      </w:r>
      <w:r>
        <w:rPr>
          <w:b/>
          <w:sz w:val="24"/>
          <w:szCs w:val="24"/>
        </w:rPr>
        <w:t>59:01:3812845:162</w:t>
      </w:r>
      <w:r>
        <w:rPr>
          <w:rFonts w:eastAsia="Times New Roman"/>
          <w:sz w:val="24"/>
          <w:szCs w:val="24"/>
          <w:lang w:eastAsia="ru-RU"/>
        </w:rPr>
        <w:t>, общей площадью</w:t>
      </w:r>
      <w:r>
        <w:rPr>
          <w:rFonts w:eastAsia="Times New Roman"/>
          <w:b/>
          <w:sz w:val="24"/>
          <w:szCs w:val="24"/>
          <w:lang w:eastAsia="ru-RU"/>
        </w:rPr>
        <w:t xml:space="preserve"> 1937 кв.м</w:t>
      </w:r>
      <w:r>
        <w:rPr>
          <w:rFonts w:eastAsia="Times New Roman"/>
          <w:sz w:val="24"/>
          <w:szCs w:val="24"/>
          <w:lang w:eastAsia="ru-RU"/>
        </w:rPr>
        <w:t>, находящегося по адресу:</w:t>
      </w:r>
      <w:r>
        <w:rPr>
          <w:rFonts w:eastAsia="Times New Roman"/>
          <w:b/>
          <w:sz w:val="24"/>
          <w:szCs w:val="24"/>
          <w:lang w:eastAsia="ru-RU"/>
        </w:rPr>
        <w:t xml:space="preserve"> </w:t>
      </w:r>
      <w:r>
        <w:rPr>
          <w:b/>
          <w:sz w:val="24"/>
          <w:szCs w:val="24"/>
        </w:rPr>
        <w:t>Российская Федерация, край Пермский, городской округ Пермский, город Пермь, улица Токарная, з/у 7а</w:t>
      </w:r>
      <w:r>
        <w:rPr>
          <w:rFonts w:eastAsia="Times New Roman"/>
          <w:b/>
          <w:sz w:val="24"/>
          <w:szCs w:val="24"/>
          <w:lang w:eastAsia="ru-RU"/>
        </w:rPr>
        <w:t>.</w:t>
      </w:r>
    </w:p>
    <w:p>
      <w:pPr>
        <w:pStyle w:val="Normal"/>
        <w:widowControl w:val="false"/>
        <w:spacing w:lineRule="auto" w:line="276"/>
        <w:ind w:firstLine="567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Земельный участок предоставляется </w:t>
      </w:r>
      <w:r>
        <w:rPr>
          <w:rFonts w:eastAsia="Times New Roman"/>
          <w:b/>
          <w:sz w:val="24"/>
          <w:szCs w:val="24"/>
          <w:lang w:eastAsia="ru-RU"/>
        </w:rPr>
        <w:t>для индивидуального жилищного строительства</w:t>
      </w:r>
      <w:r>
        <w:rPr>
          <w:rFonts w:eastAsia="Times New Roman"/>
          <w:sz w:val="24"/>
          <w:szCs w:val="24"/>
          <w:lang w:eastAsia="ru-RU"/>
        </w:rPr>
        <w:t>.</w:t>
      </w:r>
    </w:p>
    <w:p>
      <w:pPr>
        <w:pStyle w:val="Normal"/>
        <w:spacing w:lineRule="auto" w:line="276"/>
        <w:rPr>
          <w:sz w:val="24"/>
          <w:szCs w:val="24"/>
        </w:rPr>
      </w:pPr>
      <w:r>
        <w:rPr>
          <w:sz w:val="24"/>
          <w:szCs w:val="24"/>
        </w:rPr>
        <w:t xml:space="preserve">В границах земельного участка расположены следующие объекты </w:t>
      </w:r>
      <w:bookmarkStart w:id="0" w:name="_GoBack"/>
      <w:bookmarkEnd w:id="0"/>
      <w:r>
        <w:rPr>
          <w:sz w:val="24"/>
          <w:szCs w:val="24"/>
        </w:rPr>
        <w:t xml:space="preserve">капитального типа: </w:t>
      </w:r>
      <w:r>
        <w:rPr>
          <w:sz w:val="24"/>
        </w:rPr>
        <w:t>железобетонная электрическая опора, нависание электрических проводов.</w:t>
      </w:r>
    </w:p>
    <w:p>
      <w:pPr>
        <w:pStyle w:val="Normal"/>
        <w:widowControl w:val="false"/>
        <w:spacing w:lineRule="auto" w:line="276"/>
        <w:ind w:firstLine="567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Претензий по состоянию и качеству участка у Покупателя не имеется. </w:t>
      </w:r>
    </w:p>
    <w:p>
      <w:pPr>
        <w:pStyle w:val="Normal"/>
        <w:ind w:hanging="0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</w:r>
    </w:p>
    <w:p>
      <w:pPr>
        <w:pStyle w:val="Normal"/>
        <w:ind w:hanging="0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</w:r>
    </w:p>
    <w:tbl>
      <w:tblPr>
        <w:tblpPr w:vertAnchor="text" w:horzAnchor="margin" w:leftFromText="180" w:rightFromText="180" w:tblpX="0" w:tblpY="89"/>
        <w:tblW w:w="10031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 w:noHBand="0" w:noVBand="0" w:firstColumn="1" w:lastRow="0" w:lastColumn="0" w:firstRow="1"/>
      </w:tblPr>
      <w:tblGrid>
        <w:gridCol w:w="4510"/>
        <w:gridCol w:w="559"/>
        <w:gridCol w:w="4962"/>
      </w:tblGrid>
      <w:tr>
        <w:trPr>
          <w:trHeight w:val="1984" w:hRule="atLeast"/>
        </w:trPr>
        <w:tc>
          <w:tcPr>
            <w:tcW w:w="4510" w:type="dxa"/>
            <w:tcBorders/>
          </w:tcPr>
          <w:p>
            <w:pPr>
              <w:pStyle w:val="Normal"/>
              <w:ind w:hanging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Участок сдал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ind w:hanging="0"/>
              <w:outlineLvl w:val="2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</w:r>
          </w:p>
          <w:p>
            <w:pPr>
              <w:pStyle w:val="Normal"/>
              <w:spacing w:lineRule="auto" w:line="276"/>
              <w:ind w:hanging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____________________</w:t>
            </w:r>
          </w:p>
          <w:p>
            <w:pPr>
              <w:pStyle w:val="Normal"/>
              <w:ind w:hanging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559" w:type="dxa"/>
            <w:tcBorders/>
          </w:tcPr>
          <w:p>
            <w:pPr>
              <w:pStyle w:val="Normal"/>
              <w:ind w:firstLine="72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</w:r>
          </w:p>
        </w:tc>
        <w:tc>
          <w:tcPr>
            <w:tcW w:w="4962" w:type="dxa"/>
            <w:tcBorders/>
          </w:tcPr>
          <w:p>
            <w:pPr>
              <w:pStyle w:val="Normal"/>
              <w:ind w:hanging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Участок принял</w:t>
            </w:r>
          </w:p>
          <w:p>
            <w:pPr>
              <w:pStyle w:val="Normal"/>
              <w:ind w:firstLine="72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spacing w:lineRule="auto" w:line="276"/>
              <w:ind w:hanging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________________</w:t>
            </w: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______________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br/>
              <w:br/>
            </w:r>
          </w:p>
          <w:p>
            <w:pPr>
              <w:pStyle w:val="Normal"/>
              <w:ind w:hanging="0"/>
              <w:jc w:val="left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widowControl w:val="false"/>
        <w:ind w:firstLine="709"/>
        <w:jc w:val="center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Open Sans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autoRedefine/>
    <w:qFormat/>
    <w:rsid w:val="000963ae"/>
    <w:pPr>
      <w:widowControl/>
      <w:bidi w:val="0"/>
      <w:spacing w:lineRule="auto" w:line="240" w:before="0" w:after="0"/>
      <w:ind w:firstLine="708"/>
      <w:jc w:val="both"/>
    </w:pPr>
    <w:rPr>
      <w:rFonts w:ascii="Times New Roman" w:hAnsi="Times New Roman" w:cs="Times New Roman" w:eastAsia="Calibri" w:eastAsiaTheme="minorHAnsi"/>
      <w:color w:val="auto"/>
      <w:kern w:val="0"/>
      <w:sz w:val="22"/>
      <w:szCs w:val="20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Lohit Devanagari"/>
    </w:rPr>
  </w:style>
  <w:style w:type="paragraph" w:styleId="Style16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Application>LibreOffice/7.6.7.2$Linux_X86_64 LibreOffice_project/60$Build-2</Application>
  <AppVersion>15.0000</AppVersion>
  <Pages>1</Pages>
  <Words>108</Words>
  <Characters>895</Characters>
  <CharactersWithSpaces>1100</CharactersWithSpaces>
  <Paragraphs>19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2024-08-01T04:29:00Z</dcterms:created>
  <dc:creator>Тураева Анна Сергеевна</dc:creator>
  <dc:description/>
  <dc:language>ru-RU</dc:language>
  <cp:lastModifiedBy>Тураева Анна Сергеевна</cp:lastModifiedBy>
  <cp:lastPrinted>2024-08-01T04:47:00Z</cp:lastPrinted>
  <dcterms:modified xsi:type="dcterms:W3CDTF">2025-01-20T06:38:00Z</dcterms:modified>
  <cp:revision>29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