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20.01.2025 № 059-19-01-11-1</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20.02.2025 электронных аукционов по продаже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по продаже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w:t>
      </w:r>
      <w:r>
        <w:rPr>
          <w:rFonts w:eastAsia="Droid Sans Fallback" w:cs="Lohit Devanagari"/>
          <w:color w:val="000000"/>
          <w:kern w:val="0"/>
          <w:sz w:val="24"/>
          <w:szCs w:val="24"/>
          <w:shd w:fill="FFFFFF" w:val="clear"/>
          <w:lang w:val="ru-RU" w:eastAsia="zh-CN" w:bidi="ar-SA"/>
        </w:rPr>
        <w:t>и участков, собственность на которые не разграничена» (далее – комиссия), 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sz w:val="24"/>
          <w:szCs w:val="24"/>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
          <w:bCs/>
        </w:rPr>
        <w:t xml:space="preserve"> </w:t>
      </w:r>
      <w:r>
        <w:rPr>
          <w:sz w:val="24"/>
          <w:szCs w:val="24"/>
          <w:lang w:val="en-US"/>
        </w:rPr>
        <w:t>dio</w:t>
      </w:r>
      <w:r>
        <w:rPr>
          <w:sz w:val="24"/>
          <w:szCs w:val="24"/>
        </w:rPr>
        <w:t>@</w:t>
      </w:r>
      <w:r>
        <w:rPr>
          <w:sz w:val="24"/>
          <w:szCs w:val="24"/>
          <w:lang w:val="en-US"/>
        </w:rPr>
        <w:t>perm</w:t>
      </w:r>
      <w:r>
        <w:rPr>
          <w:sz w:val="24"/>
          <w:szCs w:val="24"/>
        </w:rPr>
        <w:t>.</w:t>
      </w:r>
      <w:r>
        <w:rPr>
          <w:sz w:val="24"/>
          <w:szCs w:val="24"/>
          <w:lang w:val="en-US"/>
        </w:rPr>
        <w:t>permkrai</w:t>
      </w:r>
      <w:r>
        <w:rPr>
          <w:sz w:val="24"/>
          <w:szCs w:val="24"/>
        </w:rPr>
        <w:t>.</w:t>
      </w:r>
      <w:r>
        <w:rPr>
          <w:sz w:val="24"/>
          <w:szCs w:val="24"/>
          <w:lang w:val="en-US"/>
        </w:rPr>
        <w:t>ru</w:t>
      </w:r>
      <w:r>
        <w:rPr>
          <w:b/>
          <w:bCs/>
          <w:sz w:val="24"/>
          <w:szCs w:val="24"/>
        </w:rPr>
        <w:t>.</w:t>
      </w:r>
    </w:p>
    <w:p>
      <w:pPr>
        <w:pStyle w:val="Normal"/>
        <w:numPr>
          <w:ilvl w:val="0"/>
          <w:numId w:val="0"/>
        </w:numPr>
        <w:tabs>
          <w:tab w:val="clear" w:pos="708"/>
          <w:tab w:val="left" w:pos="9355" w:leader="none"/>
        </w:tabs>
        <w:ind w:firstLine="567" w:left="-567"/>
        <w:jc w:val="both"/>
        <w:outlineLvl w:val="0"/>
        <w:rPr>
          <w:sz w:val="24"/>
          <w:szCs w:val="24"/>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4"/>
        </w:rPr>
        <w:t>20.01.2025 № 059-19-01-11-1.</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на официальном сайте Российской Федерации для размещения информации о проведении торгов </w:t>
      </w:r>
      <w:hyperlink r:id="rId2" w:tgtFrame="http://www.torgi.gov.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torgi</w:t>
        </w:r>
        <w:r>
          <w:rPr>
            <w:rStyle w:val="Hyperlink"/>
            <w:color w:val="000000"/>
            <w:sz w:val="24"/>
            <w:szCs w:val="24"/>
            <w:u w:val="none"/>
            <w:lang w:val="ru-RU"/>
          </w:rPr>
          <w:t>.</w:t>
        </w:r>
        <w:r>
          <w:rPr>
            <w:rStyle w:val="Hyperlink"/>
            <w:color w:val="000000"/>
            <w:sz w:val="24"/>
            <w:szCs w:val="24"/>
            <w:u w:val="none"/>
          </w:rPr>
          <w:t>gov</w:t>
        </w:r>
        <w:r>
          <w:rPr>
            <w:rStyle w:val="Hyperlink"/>
            <w:color w:val="000000"/>
            <w:sz w:val="24"/>
            <w:szCs w:val="24"/>
            <w:u w:val="none"/>
            <w:lang w:val="ru-RU"/>
          </w:rPr>
          <w:t>.</w:t>
        </w:r>
        <w:r>
          <w:rPr>
            <w:rStyle w:val="Hyperlink"/>
            <w:color w:val="000000"/>
            <w:sz w:val="24"/>
            <w:szCs w:val="24"/>
            <w:u w:val="none"/>
          </w:rPr>
          <w:t>ru</w:t>
        </w:r>
      </w:hyperlink>
      <w:r>
        <w:rPr>
          <w:b/>
          <w:sz w:val="24"/>
          <w:szCs w:val="24"/>
          <w:lang w:val="ru-RU"/>
        </w:rPr>
        <w:t>,</w:t>
      </w:r>
      <w:r>
        <w:rPr>
          <w:b/>
          <w:lang w:val="ru-RU"/>
        </w:rPr>
        <w:t xml:space="preserve"> </w:t>
      </w:r>
      <w:r>
        <w:rPr>
          <w:sz w:val="24"/>
          <w:szCs w:val="24"/>
          <w:lang w:val="ru-RU"/>
        </w:rPr>
        <w:t xml:space="preserve">официальном сайте муниципального образования город Пермь в информационно-телекоммуникационной сети «Интернет» </w:t>
      </w:r>
      <w:hyperlink r:id="rId3" w:tgtFrame="http://www.gorodperm.ru/">
        <w:r>
          <w:rPr>
            <w:rStyle w:val="Hyperlink"/>
            <w:color w:val="000000"/>
            <w:sz w:val="24"/>
            <w:szCs w:val="24"/>
            <w:u w:val="none"/>
          </w:rPr>
          <w:t>www</w:t>
        </w:r>
        <w:r>
          <w:rPr>
            <w:rStyle w:val="Hyperlink"/>
            <w:color w:val="000000"/>
            <w:sz w:val="24"/>
            <w:szCs w:val="24"/>
            <w:u w:val="none"/>
            <w:lang w:val="ru-RU"/>
          </w:rPr>
          <w:t>.</w:t>
        </w:r>
        <w:r>
          <w:rPr>
            <w:rStyle w:val="Hyperlink"/>
            <w:color w:val="000000"/>
            <w:sz w:val="24"/>
            <w:szCs w:val="24"/>
            <w:u w:val="none"/>
          </w:rPr>
          <w:t>gorodperm</w:t>
        </w:r>
        <w:r>
          <w:rPr>
            <w:rStyle w:val="Hyperlink"/>
            <w:color w:val="000000"/>
            <w:sz w:val="24"/>
            <w:szCs w:val="24"/>
            <w:u w:val="none"/>
            <w:lang w:val="ru-RU"/>
          </w:rPr>
          <w:t>.</w:t>
        </w:r>
        <w:r>
          <w:rPr>
            <w:rStyle w:val="Hyperlink"/>
            <w:color w:val="000000"/>
            <w:sz w:val="24"/>
            <w:szCs w:val="24"/>
            <w:u w:val="non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r>
        <w:rPr>
          <w:rFonts w:eastAsia="Calibri"/>
          <w:lang w:eastAsia="en-US"/>
        </w:rPr>
        <w:br w:type="textWrapping" w:clear="all"/>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rFonts w:eastAsia="Courier New"/>
          <w:lang w:bidi="ru-RU"/>
        </w:rPr>
        <w:br w:type="textWrapping" w:clear="all"/>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highlight w:val="none"/>
        </w:rPr>
      </w:pPr>
      <w:r>
        <w:rPr>
          <w:b/>
          <w:bCs/>
        </w:rPr>
        <w:t xml:space="preserve">Орган, уполномоченный на заключение договора купли-продажи земельного участка, либо на право заключения договора аренды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ind w:firstLine="567" w:left="-567"/>
        <w:jc w:val="both"/>
        <w:rPr>
          <w:b/>
          <w:bCs/>
        </w:rPr>
      </w:pPr>
      <w:r>
        <w:rPr>
          <w:b/>
          <w:bCs/>
        </w:rPr>
      </w:r>
    </w:p>
    <w:p>
      <w:pPr>
        <w:pStyle w:val="Normal"/>
        <w:widowControl w:val="false"/>
        <w:ind w:firstLine="567" w:left="-567"/>
        <w:jc w:val="both"/>
        <w:rPr>
          <w:b/>
          <w:bCs/>
        </w:rPr>
      </w:pPr>
      <w:r>
        <w:rPr>
          <w:b/>
          <w:bCs/>
        </w:rPr>
      </w:r>
    </w:p>
    <w:p>
      <w:pPr>
        <w:pStyle w:val="PlainText"/>
        <w:spacing w:lineRule="exact" w:line="240"/>
        <w:ind w:hanging="1134" w:left="1134"/>
        <w:jc w:val="center"/>
        <w:rPr>
          <w:b/>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rPr>
      </w:pPr>
      <w:r>
        <w:rPr>
          <w:b/>
        </w:rPr>
      </w:r>
    </w:p>
    <w:p>
      <w:pPr>
        <w:pStyle w:val="Normal"/>
        <w:tabs>
          <w:tab w:val="clear" w:pos="708"/>
          <w:tab w:val="left" w:pos="5103" w:leader="none"/>
        </w:tabs>
        <w:ind w:right="-263"/>
        <w:rPr>
          <w:sz w:val="20"/>
          <w:szCs w:val="20"/>
          <w:highlight w:val="none"/>
        </w:rPr>
      </w:pPr>
      <w:r>
        <w:rPr>
          <w:b/>
          <w:lang w:val="en-US"/>
        </w:rPr>
        <w:t>Лот № 1</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58"/>
        <w:gridCol w:w="3269"/>
        <w:gridCol w:w="6294"/>
      </w:tblGrid>
      <w:tr>
        <w:trPr>
          <w:trHeight w:val="877"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69"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06 ноября 2024 г. № 21-01-03-9728                             «О проведении аукциона по продаже земельного участка               в Орджоникидзевском районе города Перми»</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58"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jc w:val="both"/>
              <w:rPr>
                <w:sz w:val="24"/>
                <w:szCs w:val="24"/>
              </w:rPr>
            </w:pPr>
            <w:r>
              <w:rPr>
                <w:sz w:val="24"/>
                <w:szCs w:val="24"/>
              </w:rPr>
              <w:t>местоположение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Токарная, з/у 7а</w:t>
            </w:r>
          </w:p>
        </w:tc>
      </w:tr>
      <w:tr>
        <w:trPr>
          <w:trHeight w:val="148"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площадь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1937 кв. м</w:t>
            </w:r>
          </w:p>
        </w:tc>
      </w:tr>
      <w:tr>
        <w:trPr>
          <w:trHeight w:val="155"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кадастровый номер</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59:01:3812845:162</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права на земельный участок</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разрешенное использование</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для индивидуального жилищного строительства</w:t>
            </w:r>
          </w:p>
        </w:tc>
      </w:tr>
      <w:tr>
        <w:trPr>
          <w:trHeight w:val="576"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принадлежность к определенной  </w:t>
              <w:br/>
              <w:t>категории земель</w:t>
            </w:r>
          </w:p>
        </w:tc>
        <w:tc>
          <w:tcPr>
            <w:tcW w:w="6294"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ограничение прав</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14:ligatures w14:val="none"/>
              </w:rPr>
            </w:pPr>
            <w:r>
              <w:rPr>
                <w:sz w:val="24"/>
                <w:szCs w:val="24"/>
              </w:rPr>
              <w:t>в выписке из Единого государственного реестра недвижимости об объекте недвижимости от 13.12.2024г. № КУВИ-001/2024-302893641;</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rPr>
            </w:pPr>
            <w:r>
              <w:rPr>
                <w:sz w:val="24"/>
                <w:szCs w:val="24"/>
              </w:rPr>
              <w:t>от 23.10.2024 № РФ-59-2-03-0-00-2024-2230-0 (далее – ГПЗУ).</w:t>
            </w:r>
          </w:p>
          <w:p>
            <w:pPr>
              <w:pStyle w:val="Normal"/>
              <w:jc w:val="both"/>
              <w:rPr>
                <w:sz w:val="24"/>
                <w:szCs w:val="24"/>
              </w:rPr>
            </w:pPr>
            <w:r>
              <w:rPr>
                <w:sz w:val="24"/>
                <w:szCs w:val="24"/>
              </w:rPr>
            </w:r>
          </w:p>
          <w:p>
            <w:pPr>
              <w:pStyle w:val="BodyText"/>
              <w:ind w:firstLine="362"/>
              <w:jc w:val="both"/>
              <w:rPr>
                <w:sz w:val="24"/>
                <w:szCs w:val="24"/>
              </w:rPr>
            </w:pPr>
            <w:r>
              <w:rPr>
                <w:color w:val="000000"/>
                <w:sz w:val="24"/>
                <w:szCs w:val="24"/>
              </w:rPr>
              <w:t>Согласно сведениям, содержащимся в ЕГРН, в границах Участка расположен объект капитального строительства с кадастровым номером 59:01:0000000:77564 – электросетевой комплекс «Подстанция 110/6 кВ «Северная» с линиями электропередачи, трансформаторными подстанциями и распределительными пунктами», находящийся в собственности ОАО «МРСК Урала».</w:t>
            </w:r>
          </w:p>
          <w:p>
            <w:pPr>
              <w:pStyle w:val="BodyText"/>
              <w:spacing w:before="0" w:after="0"/>
              <w:ind w:firstLine="412" w:left="0" w:right="0"/>
              <w:jc w:val="both"/>
              <w:rPr/>
            </w:pPr>
            <w:r>
              <w:rPr>
                <w:color w:val="000000"/>
                <w:sz w:val="24"/>
              </w:rPr>
              <w:t xml:space="preserve">Согласно подпункту 8 пункта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br/>
              <w:t> со статьей 39.36 Кодекса.</w:t>
            </w:r>
          </w:p>
          <w:p>
            <w:pPr>
              <w:pStyle w:val="BodyText"/>
              <w:spacing w:before="0" w:after="0"/>
              <w:ind w:firstLine="412" w:left="0" w:right="0"/>
              <w:jc w:val="both"/>
              <w:rPr/>
            </w:pPr>
            <w:r>
              <w:rPr>
                <w:color w:val="000000"/>
                <w:sz w:val="24"/>
              </w:rPr>
              <w:t xml:space="preserve">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w:t>
              <w:br/>
              <w:t> не является основанием для отказа в предоставлении земельного участка на торгах.</w:t>
            </w:r>
          </w:p>
          <w:p>
            <w:pPr>
              <w:pStyle w:val="BodyText"/>
              <w:spacing w:before="0" w:after="0"/>
              <w:ind w:firstLine="412" w:left="0" w:right="0"/>
              <w:jc w:val="both"/>
              <w:rPr>
                <w:rFonts w:ascii="Times New Roman" w:hAnsi="Times New Roman"/>
                <w:color w:val="000000"/>
                <w:sz w:val="24"/>
              </w:rPr>
            </w:pPr>
            <w:r>
              <w:rPr>
                <w:color w:val="000000"/>
                <w:sz w:val="24"/>
              </w:rPr>
              <w:t>По данным геодезической съемки в границах Участка расположена сеть электроснабжения.</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color w:val="000000"/>
              </w:rPr>
            </w:pPr>
            <w:r>
              <w:rPr>
                <w:color w:val="000000"/>
                <w:sz w:val="24"/>
              </w:rPr>
              <w:t xml:space="preserve">В ходе обследования установлено: Участок не огорожен, доступ не ограничен, рельеф ровный, капитальных/некапитальных строений не выявлено. На земельном участке произрастают лиственные деревья и низкорослые кустарники. </w:t>
            </w:r>
            <w:r>
              <w:rPr>
                <w:b/>
                <w:color w:val="000000"/>
                <w:sz w:val="24"/>
              </w:rPr>
              <w:t>В границах Участка установлена железобетонная электрическая опора, происходит нависание электрических проводов.</w:t>
            </w:r>
          </w:p>
          <w:p>
            <w:pPr>
              <w:pStyle w:val="BodyText"/>
              <w:spacing w:before="0" w:after="0"/>
              <w:ind w:firstLine="412" w:left="0" w:right="0"/>
              <w:jc w:val="both"/>
              <w:rPr/>
            </w:pPr>
            <w:r>
              <w:rPr>
                <w:color w:val="000000"/>
                <w:sz w:val="24"/>
              </w:rPr>
              <w:t xml:space="preserve">Согласно сведениям, предоставленным отделением надзорной деятельности и профилактической работы </w:t>
              <w:br/>
              <w:t xml:space="preserve"> г. Перми по Орджоникидзевскому району 1 ОНПР </w:t>
              <w:br/>
              <w:t xml:space="preserve"> по городу Перми УНПР Главного управления МЧС России по Пермскому краю, близлежащие пожарные гидранты относительно вышеуказанного земельного участка расположены по адресам: Пермский край, </w:t>
              <w:br/>
              <w:t xml:space="preserve"> г. Пермь, Орджоникидзевский район, ул. Александра Пархоменко, 8, существующие пожарные водоемы: ул. Новогодняя, 11, ул. Соликамская. Ведется строительство пожарного водоема напротив жилого дома № 39 </w:t>
              <w:br/>
              <w:t> по ул. Токарная.</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письмом администрации Орджоникидзевского района города Перми</w:t>
            </w:r>
            <w:r>
              <w:rPr>
                <w:color w:val="000000"/>
                <w:sz w:val="24"/>
              </w:rPr>
              <w:t> от 25.10.2024 № 059-37-01-32/3-4431).</w:t>
            </w:r>
          </w:p>
          <w:p>
            <w:pPr>
              <w:pStyle w:val="BodyText"/>
              <w:spacing w:before="0" w:after="0"/>
              <w:ind w:firstLine="412" w:left="0" w:right="0"/>
              <w:jc w:val="both"/>
              <w:rPr>
                <w:rFonts w:ascii="Times New Roman" w:hAnsi="Times New Roman"/>
                <w:b/>
                <w:color w:val="000000"/>
                <w:sz w:val="24"/>
              </w:rPr>
            </w:pPr>
            <w:r>
              <w:rPr>
                <w:b/>
                <w:color w:val="000000"/>
                <w:sz w:val="24"/>
              </w:rPr>
            </w:r>
          </w:p>
          <w:p>
            <w:pPr>
              <w:pStyle w:val="BodyText"/>
              <w:spacing w:before="0" w:after="0"/>
              <w:ind w:firstLine="412" w:left="0" w:right="0"/>
              <w:jc w:val="both"/>
              <w:rPr/>
            </w:pPr>
            <w:r>
              <w:rPr>
                <w:color w:val="000000"/>
                <w:sz w:val="24"/>
              </w:rPr>
              <w:t>Согласно сведениям, содержащимся в ГПЗУ, ЕГРН</w:t>
            </w:r>
            <w:r>
              <w:rPr>
                <w:color w:val="000000"/>
              </w:rPr>
              <w:t xml:space="preserve"> </w:t>
            </w:r>
            <w:r>
              <w:rPr>
                <w:color w:val="000000"/>
                <w:sz w:val="24"/>
              </w:rPr>
              <w:t>и справке по градостроительным условиям от 13.12.2024 № 616520, Участок расположен в границах зон с особыми условиями использования территории:</w:t>
            </w:r>
          </w:p>
          <w:p>
            <w:pPr>
              <w:pStyle w:val="BodyText"/>
              <w:spacing w:before="0" w:after="0"/>
              <w:ind w:firstLine="412" w:left="0" w:right="0"/>
              <w:jc w:val="both"/>
              <w:rPr/>
            </w:pPr>
            <w:r>
              <w:rPr>
                <w:color w:val="000000"/>
                <w:sz w:val="24"/>
              </w:rPr>
              <w:t>в приаэродромной территории аэродрома аэропорта Большое Савино, реестровый номер границы 59:32-6.553. 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412" w:left="0" w:right="0"/>
              <w:jc w:val="both"/>
              <w:rPr>
                <w:rFonts w:ascii="Times New Roman" w:hAnsi="Times New Roman"/>
                <w:color w:val="000000"/>
                <w:sz w:val="24"/>
              </w:rPr>
            </w:pPr>
            <w:r>
              <w:rPr>
                <w:color w:val="000000"/>
                <w:sz w:val="24"/>
              </w:rPr>
              <w:t>в части охранной зоны газопровода высокого давления. Реестровый номер границы 59:01-6.8597;</w:t>
            </w:r>
          </w:p>
          <w:p>
            <w:pPr>
              <w:pStyle w:val="BodyText"/>
              <w:spacing w:before="0" w:after="0"/>
              <w:ind w:firstLine="412" w:left="0" w:right="0"/>
              <w:jc w:val="both"/>
              <w:rPr/>
            </w:pPr>
            <w:r>
              <w:rPr>
                <w:color w:val="000000"/>
                <w:sz w:val="24"/>
              </w:rPr>
              <w:t>в части охранной зоны газопровода высокого  и среднего давления. Реестровый номер границы 59:01-6.3231;</w:t>
            </w:r>
          </w:p>
          <w:p>
            <w:pPr>
              <w:pStyle w:val="BodyText"/>
              <w:spacing w:before="0" w:after="0"/>
              <w:ind w:firstLine="412" w:left="0" w:right="0"/>
              <w:jc w:val="both"/>
              <w:rPr/>
            </w:pPr>
            <w:r>
              <w:rPr>
                <w:color w:val="000000"/>
                <w:sz w:val="24"/>
              </w:rPr>
              <w:t>Проектирование и строительство вести в соответствии с Постановлением Правительства РФ № 878 от 20.11.2000 «Об утверждении правил охраны газораспределительных сетей».</w:t>
            </w:r>
          </w:p>
          <w:p>
            <w:pPr>
              <w:pStyle w:val="BodyText"/>
              <w:spacing w:before="0" w:after="0"/>
              <w:ind w:firstLine="412" w:left="0" w:right="0"/>
              <w:jc w:val="both"/>
              <w:rPr>
                <w:rFonts w:ascii="Times New Roman" w:hAnsi="Times New Roman"/>
                <w:color w:val="000000"/>
                <w:sz w:val="24"/>
              </w:rPr>
            </w:pPr>
            <w:r>
              <w:rPr>
                <w:color w:val="000000"/>
                <w:sz w:val="24"/>
              </w:rPr>
              <w:t>в части зоны публичного сервитута для размещения объекта электросетевого хозяйства «ВЛ-0,4кВ КТП-4126 Токарная». Реестровый номер границы 59:01-6.9330;</w:t>
            </w:r>
          </w:p>
          <w:p>
            <w:pPr>
              <w:pStyle w:val="BodyText"/>
              <w:spacing w:before="0" w:after="0"/>
              <w:ind w:firstLine="412" w:left="0" w:right="0"/>
              <w:jc w:val="both"/>
              <w:rPr/>
            </w:pPr>
            <w:r>
              <w:rPr>
                <w:color w:val="000000"/>
                <w:sz w:val="24"/>
              </w:rPr>
              <w:t>в части санитарно-защитной зоны 1-го, 2-го и 3-го водоводов Технологического комплекса «Сети водоводов города Перми» от напорных резервуаров Кислотные дачи до насосной станции Центральной подзоны. Реестровый номер границы 59:01-6.800;</w:t>
            </w:r>
          </w:p>
          <w:p>
            <w:pPr>
              <w:pStyle w:val="BodyText"/>
              <w:spacing w:before="0" w:after="0"/>
              <w:ind w:firstLine="412" w:left="0" w:right="0"/>
              <w:jc w:val="both"/>
              <w:rPr>
                <w:rFonts w:ascii="Times New Roman" w:hAnsi="Times New Roman"/>
                <w:color w:val="000000"/>
                <w:sz w:val="24"/>
              </w:rPr>
            </w:pPr>
            <w:r>
              <w:rPr>
                <w:color w:val="000000"/>
                <w:sz w:val="24"/>
              </w:rPr>
              <w:t>в части охранной зоны ВЛ-0,4кВ КТП-4126 Токарная. Реестровый номер границы 59:01-6.5957;</w:t>
            </w:r>
          </w:p>
          <w:p>
            <w:pPr>
              <w:pStyle w:val="BodyText"/>
              <w:spacing w:before="0" w:after="0"/>
              <w:ind w:firstLine="412" w:left="0" w:right="0"/>
              <w:jc w:val="both"/>
              <w:rPr>
                <w:rFonts w:ascii="Times New Roman" w:hAnsi="Times New Roman"/>
                <w:color w:val="000000"/>
                <w:sz w:val="24"/>
              </w:rPr>
            </w:pPr>
            <w:r>
              <w:rPr>
                <w:color w:val="000000"/>
                <w:sz w:val="24"/>
              </w:rPr>
              <w:t>в части охранной зоны ВЛ-6кВ ф.К.Дачи-2 ПС Северная - ТП-4386, 4377-4383. Реестровый номер границы 59:01-6.5595;</w:t>
            </w:r>
          </w:p>
          <w:p>
            <w:pPr>
              <w:pStyle w:val="BodyText"/>
              <w:spacing w:before="0" w:after="0"/>
              <w:ind w:firstLine="412" w:left="0" w:right="0"/>
              <w:jc w:val="both"/>
              <w:rPr/>
            </w:pPr>
            <w:r>
              <w:rPr>
                <w:color w:val="000000"/>
                <w:sz w:val="24"/>
              </w:rPr>
              <w:t>Проектирование и строительство вести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pPr>
            <w:r>
              <w:rPr>
                <w:color w:val="000000"/>
                <w:sz w:val="24"/>
              </w:rPr>
              <w:t>На Участке произрастает 49 шт. деревьев пород – осина 3 шт., береза 30 шт., ива 16 шт.</w:t>
            </w:r>
          </w:p>
          <w:p>
            <w:pPr>
              <w:pStyle w:val="BodyText"/>
              <w:spacing w:before="0" w:after="0"/>
              <w:ind w:firstLine="412"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412" w:left="0" w:right="0"/>
              <w:jc w:val="both"/>
              <w:rPr/>
            </w:pPr>
            <w:r>
              <w:rPr>
                <w:color w:val="000000"/>
                <w:sz w:val="24"/>
              </w:rPr>
              <w:t>1. Нанесение существующих деревьев на стройгенплане;</w:t>
            </w:r>
          </w:p>
          <w:p>
            <w:pPr>
              <w:pStyle w:val="BodyText"/>
              <w:spacing w:before="0" w:after="0"/>
              <w:ind w:firstLine="412" w:left="0" w:right="0"/>
              <w:jc w:val="both"/>
              <w:rPr/>
            </w:pPr>
            <w:r>
              <w:rPr>
                <w:color w:val="000000"/>
                <w:sz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412" w:left="0" w:right="0"/>
              <w:jc w:val="both"/>
              <w:rPr/>
            </w:pPr>
            <w:r>
              <w:rPr>
                <w:color w:val="000000"/>
                <w:sz w:val="24"/>
              </w:rPr>
              <w:t>3. Восстановление зеленых насаждений вести  в соответствии с решением Пермской городской Думы от 15.12.2020 № 277;</w:t>
            </w:r>
          </w:p>
          <w:p>
            <w:pPr>
              <w:pStyle w:val="BodyText"/>
              <w:spacing w:before="0" w:after="0"/>
              <w:ind w:firstLine="412" w:left="0" w:right="0"/>
              <w:jc w:val="both"/>
              <w:rPr>
                <w:rFonts w:ascii="Times New Roman" w:hAnsi="Times New Roman"/>
                <w:color w:val="000000"/>
                <w:sz w:val="24"/>
              </w:rPr>
            </w:pPr>
            <w:r>
              <w:rPr>
                <w:color w:val="000000"/>
                <w:sz w:val="24"/>
              </w:rPr>
              <w:t>4. Сбор и отвод ливневых вод с использованием вариантов решений в зависимости от:</w:t>
            </w:r>
          </w:p>
          <w:p>
            <w:pPr>
              <w:pStyle w:val="BodyText"/>
              <w:spacing w:before="0" w:after="0"/>
              <w:ind w:firstLine="412" w:left="0" w:right="0"/>
              <w:jc w:val="both"/>
              <w:rPr>
                <w:rFonts w:ascii="Times New Roman" w:hAnsi="Times New Roman"/>
                <w:color w:val="000000"/>
                <w:sz w:val="24"/>
              </w:rPr>
            </w:pPr>
            <w:r>
              <w:rPr>
                <w:color w:val="000000"/>
                <w:sz w:val="24"/>
              </w:rPr>
              <w:t>- наличия централизованной системы ливневой канализации;</w:t>
            </w:r>
          </w:p>
          <w:p>
            <w:pPr>
              <w:pStyle w:val="BodyText"/>
              <w:spacing w:before="0" w:after="0"/>
              <w:ind w:firstLine="412" w:left="0" w:right="0"/>
              <w:jc w:val="both"/>
              <w:rPr/>
            </w:pPr>
            <w:r>
              <w:rPr>
                <w:color w:val="000000"/>
                <w:sz w:val="24"/>
              </w:rPr>
              <w:t>- площади водосбора с учетом транзитных вод с прилегающей территории;</w:t>
            </w:r>
          </w:p>
          <w:p>
            <w:pPr>
              <w:pStyle w:val="BodyText"/>
              <w:spacing w:before="0" w:after="0"/>
              <w:ind w:firstLine="412" w:left="0" w:right="0"/>
              <w:jc w:val="both"/>
              <w:rPr>
                <w:rFonts w:ascii="Times New Roman" w:hAnsi="Times New Roman"/>
                <w:color w:val="000000"/>
                <w:sz w:val="24"/>
              </w:rPr>
            </w:pPr>
            <w:r>
              <w:rPr>
                <w:color w:val="000000"/>
                <w:sz w:val="24"/>
              </w:rPr>
              <w:t>- угла наклона рельефа, включающий прилегающие территории;</w:t>
            </w:r>
          </w:p>
          <w:p>
            <w:pPr>
              <w:pStyle w:val="BodyText"/>
              <w:spacing w:before="0" w:after="0"/>
              <w:ind w:firstLine="412" w:left="0" w:right="0"/>
              <w:jc w:val="both"/>
              <w:rPr/>
            </w:pPr>
            <w:r>
              <w:rPr>
                <w:color w:val="000000"/>
                <w:sz w:val="24"/>
              </w:rPr>
              <w:t>- применения иных решений равномерного отвода поверхностного стока с запрашиваемой территории на прилегающей территории;</w:t>
            </w:r>
          </w:p>
          <w:p>
            <w:pPr>
              <w:pStyle w:val="BodyText"/>
              <w:spacing w:before="0" w:after="0"/>
              <w:ind w:firstLine="412" w:left="0" w:right="0"/>
              <w:jc w:val="both"/>
              <w:rPr>
                <w:rFonts w:ascii="Times New Roman" w:hAnsi="Times New Roman"/>
                <w:color w:val="000000"/>
                <w:sz w:val="24"/>
              </w:rPr>
            </w:pPr>
            <w:r>
              <w:rPr>
                <w:color w:val="000000"/>
                <w:sz w:val="24"/>
              </w:rPr>
              <w:t>5. Определение видов образующих отходов и мест их размещения на период эксплуатации;</w:t>
            </w:r>
          </w:p>
          <w:p>
            <w:pPr>
              <w:pStyle w:val="BodyText"/>
              <w:spacing w:before="0" w:after="0"/>
              <w:ind w:firstLine="412" w:left="0" w:right="0"/>
              <w:jc w:val="both"/>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412" w:left="0" w:right="0"/>
              <w:jc w:val="both"/>
              <w:rPr>
                <w:rFonts w:ascii="Times New Roman" w:hAnsi="Times New Roman"/>
                <w:color w:val="000000"/>
                <w:sz w:val="24"/>
              </w:rPr>
            </w:pPr>
            <w:r>
              <w:rPr>
                <w:color w:val="000000"/>
                <w:sz w:val="24"/>
              </w:rPr>
              <w:t>- установку временного защитного ограждения строительной площадки;</w:t>
            </w:r>
          </w:p>
          <w:p>
            <w:pPr>
              <w:pStyle w:val="BodyText"/>
              <w:spacing w:before="0" w:after="0"/>
              <w:ind w:firstLine="412" w:left="0" w:right="0"/>
              <w:jc w:val="both"/>
              <w:rPr>
                <w:rFonts w:ascii="Times New Roman" w:hAnsi="Times New Roman"/>
                <w:color w:val="000000"/>
                <w:sz w:val="24"/>
              </w:rPr>
            </w:pPr>
            <w:r>
              <w:rPr>
                <w:color w:val="000000"/>
                <w:sz w:val="24"/>
              </w:rPr>
              <w:t>- ограждение существующих зеленых насаждений, не попадающих под пятно застройки;</w:t>
            </w:r>
          </w:p>
          <w:p>
            <w:pPr>
              <w:pStyle w:val="BodyText"/>
              <w:spacing w:before="0" w:after="0"/>
              <w:ind w:firstLine="412" w:left="0" w:right="0"/>
              <w:jc w:val="both"/>
              <w:rPr/>
            </w:pPr>
            <w:r>
              <w:rPr>
                <w:color w:val="000000"/>
                <w:sz w:val="24"/>
              </w:rPr>
              <w:t>- прокладку коммуникаций осуществлять на расстоянии не менее 2 м. от ствола дерева, чтобы не повредить корневую систему;</w:t>
            </w:r>
          </w:p>
          <w:p>
            <w:pPr>
              <w:pStyle w:val="BodyText"/>
              <w:spacing w:before="0" w:after="0"/>
              <w:ind w:firstLine="412" w:left="0" w:right="0"/>
              <w:jc w:val="both"/>
              <w:rPr/>
            </w:pPr>
            <w:r>
              <w:rPr>
                <w:color w:val="000000"/>
                <w:sz w:val="24"/>
              </w:rPr>
              <w:t>- не использовать приствольные круги существующих деревьев (диаметром 1м) под складирование материалов и установки временных сооружений;</w:t>
            </w:r>
          </w:p>
          <w:p>
            <w:pPr>
              <w:pStyle w:val="BodyText"/>
              <w:spacing w:before="0" w:after="0"/>
              <w:ind w:firstLine="412" w:left="0" w:right="0"/>
              <w:jc w:val="both"/>
              <w:rPr/>
            </w:pPr>
            <w:r>
              <w:rPr>
                <w:color w:val="000000"/>
                <w:sz w:val="24"/>
              </w:rPr>
              <w:t>- определение видов и объемов образующихся отходов и мест их размещения;</w:t>
            </w:r>
          </w:p>
          <w:p>
            <w:pPr>
              <w:pStyle w:val="BodyText"/>
              <w:spacing w:before="0" w:after="0"/>
              <w:ind w:firstLine="412"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412" w:left="0" w:right="0"/>
              <w:jc w:val="both"/>
              <w:rPr>
                <w:rFonts w:ascii="Times New Roman" w:hAnsi="Times New Roman"/>
                <w:color w:val="000000"/>
                <w:sz w:val="24"/>
              </w:rPr>
            </w:pPr>
            <w:r>
              <w:rPr>
                <w:color w:val="000000"/>
                <w:sz w:val="24"/>
              </w:rPr>
              <w:t>- недопущение загрязнения атмосферы, почвы и подземных вод;</w:t>
            </w:r>
          </w:p>
          <w:p>
            <w:pPr>
              <w:pStyle w:val="BodyText"/>
              <w:spacing w:before="0" w:after="0"/>
              <w:ind w:firstLine="412" w:left="0" w:right="0"/>
              <w:jc w:val="both"/>
              <w:rPr>
                <w:rFonts w:ascii="Times New Roman" w:hAnsi="Times New Roman"/>
                <w:color w:val="000000"/>
                <w:sz w:val="24"/>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412" w:left="0" w:right="0"/>
              <w:jc w:val="both"/>
              <w:rPr>
                <w:rFonts w:ascii="Times New Roman" w:hAnsi="Times New Roman"/>
                <w:color w:val="000000"/>
                <w:sz w:val="24"/>
              </w:rPr>
            </w:pPr>
            <w:r>
              <w:rPr>
                <w:color w:val="000000"/>
                <w:sz w:val="24"/>
              </w:rPr>
              <w:t>Средняя стоимость в ценах 2024 года одного дерева лиственной породы от 17 тыс. руб., а хвойной – от 20 тыс. руб.</w:t>
            </w:r>
          </w:p>
          <w:p>
            <w:pPr>
              <w:pStyle w:val="BodyText"/>
              <w:spacing w:before="0" w:after="0"/>
              <w:ind w:firstLine="412" w:left="0" w:right="0"/>
              <w:jc w:val="both"/>
              <w:rPr/>
            </w:pPr>
            <w:r>
              <w:rPr>
                <w:sz w:val="24"/>
                <w:szCs w:val="24"/>
              </w:rPr>
              <w:t>(Аналогичная информация отражена в письме</w:t>
            </w:r>
            <w:r>
              <w:rPr/>
              <w:t xml:space="preserve">  </w:t>
            </w:r>
            <w:r>
              <w:rPr>
                <w:b/>
                <w:color w:val="000000"/>
                <w:sz w:val="24"/>
              </w:rPr>
              <w:t>управления по экологии и природопользованию администрации города Перми</w:t>
            </w:r>
            <w:r>
              <w:rPr>
                <w:color w:val="000000"/>
                <w:sz w:val="24"/>
              </w:rPr>
              <w:t> от 18.10.2024 № 059-33-01-10/3-679).</w:t>
            </w:r>
          </w:p>
          <w:p>
            <w:pPr>
              <w:pStyle w:val="BodyText"/>
              <w:spacing w:before="0" w:after="0"/>
              <w:ind w:firstLine="412" w:left="0" w:right="0"/>
              <w:jc w:val="both"/>
              <w:rPr/>
            </w:pPr>
            <w:r>
              <w:rPr/>
            </w:r>
          </w:p>
          <w:p>
            <w:pPr>
              <w:pStyle w:val="BodyText"/>
              <w:spacing w:before="0" w:after="0"/>
              <w:ind w:firstLine="412" w:left="0" w:right="0"/>
              <w:jc w:val="both"/>
              <w:rPr/>
            </w:pPr>
            <w:r>
              <w:rPr>
                <w:color w:val="000000"/>
                <w:sz w:val="24"/>
              </w:rPr>
              <w:t>На территории, где расположен Участок, схемами с 2024 года предусмотрено строительство сетей водоснабжения и водоотведения в мкр. Чапаевский, мероприятие финансированием не обеспечено.</w:t>
            </w:r>
          </w:p>
          <w:p>
            <w:pPr>
              <w:pStyle w:val="BodyText"/>
              <w:spacing w:before="0" w:after="0"/>
              <w:ind w:firstLine="412" w:left="0" w:right="0"/>
              <w:jc w:val="both"/>
              <w:rPr/>
            </w:pPr>
            <w:r>
              <w:rPr>
                <w:color w:val="000000"/>
                <w:sz w:val="24"/>
              </w:rPr>
              <w:t>Для определения технической возможности подключения объекта капитального строительства к сетям водоснабжения и водоотведения необходимо обратиться к гарантирующей организации для проведения гидравлического расчета.</w:t>
            </w:r>
          </w:p>
          <w:p>
            <w:pPr>
              <w:pStyle w:val="BodyText"/>
              <w:spacing w:before="0" w:after="0"/>
              <w:ind w:firstLine="41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жилищно-коммунального хозяйства</w:t>
            </w:r>
            <w:r>
              <w:rPr>
                <w:color w:val="000000"/>
                <w:sz w:val="24"/>
              </w:rPr>
              <w:t xml:space="preserve"> от 15.10.2024 № 059-04-17/3-1034-ри).</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412"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w:t>
            </w:r>
          </w:p>
          <w:p>
            <w:pPr>
              <w:pStyle w:val="BodyText"/>
              <w:spacing w:before="0" w:after="0"/>
              <w:ind w:firstLine="412" w:left="0" w:right="0"/>
              <w:jc w:val="both"/>
              <w:rPr/>
            </w:pPr>
            <w:r>
              <w:rPr>
                <w:color w:val="000000"/>
                <w:sz w:val="24"/>
              </w:rPr>
              <w:t>разработать проект организации дорожного движения и согласовать в установленном порядке с ГКУ «Центр безопасности дорожного движения Пермского края» (ул. Пермская, 164, тел. 236-21-84);</w:t>
            </w:r>
          </w:p>
          <w:p>
            <w:pPr>
              <w:pStyle w:val="BodyText"/>
              <w:spacing w:before="0" w:after="0"/>
              <w:ind w:firstLine="412" w:left="0" w:right="0"/>
              <w:jc w:val="both"/>
              <w:rPr/>
            </w:pPr>
            <w:r>
              <w:rPr>
                <w:color w:val="000000"/>
                <w:sz w:val="24"/>
              </w:rPr>
              <w:t xml:space="preserve">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 пользования местного значения к другой автомобильной дороге, </w:t>
              <w:br/>
              <w:t>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412" w:left="0" w:right="0"/>
              <w:jc w:val="both"/>
              <w:rPr/>
            </w:pPr>
            <w:r>
              <w:rPr>
                <w:color w:val="000000"/>
                <w:sz w:val="24"/>
              </w:rPr>
              <w:t>Дополнительно направлена информация о соблюдении при строительстве объекта недвижимости на Участке, предоставленном на аукционе, Правил благоустройства территории города Перми, утвержденных решением Пермской городской Думы от 15.12.2020 № 277:</w:t>
            </w:r>
          </w:p>
          <w:p>
            <w:pPr>
              <w:pStyle w:val="BodyText"/>
              <w:spacing w:before="0" w:after="0"/>
              <w:ind w:firstLine="412"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412"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412" w:left="0" w:right="0"/>
              <w:jc w:val="both"/>
              <w:rPr/>
            </w:pPr>
            <w:r>
              <w:rPr>
                <w:color w:val="000000"/>
                <w:sz w:val="24"/>
              </w:rPr>
              <w:t>стоянку временного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412" w:left="0" w:right="0"/>
              <w:jc w:val="both"/>
              <w:rPr/>
            </w:pPr>
            <w:r>
              <w:rPr>
                <w:color w:val="000000"/>
                <w:sz w:val="24"/>
              </w:rPr>
              <w:t>предусмотреть устройство подъезда к Участку или ликвидацию разрушений, повреждений дорожного покрытия существующих проездов от границ Участка до существующей улично-дорожной сети, а также наружное освещение подъездов.</w:t>
            </w:r>
          </w:p>
          <w:p>
            <w:pPr>
              <w:pStyle w:val="BodyText"/>
              <w:spacing w:before="0" w:after="0"/>
              <w:ind w:firstLine="412" w:left="0" w:right="0"/>
              <w:jc w:val="both"/>
              <w:rPr/>
            </w:pPr>
            <w:r>
              <w:rPr>
                <w:color w:val="000000"/>
                <w:sz w:val="24"/>
              </w:rPr>
              <w:t>При планировке 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w:t>
            </w:r>
          </w:p>
          <w:p>
            <w:pPr>
              <w:pStyle w:val="BodyText"/>
              <w:spacing w:before="0" w:after="0"/>
              <w:ind w:firstLine="412" w:left="0" w:right="0"/>
              <w:jc w:val="both"/>
              <w:rPr/>
            </w:pPr>
            <w:r>
              <w:rPr>
                <w:color w:val="000000"/>
                <w:sz w:val="24"/>
              </w:rPr>
              <w:t xml:space="preserve">(Аналогичная информация отражена в письме </w:t>
            </w:r>
            <w:r>
              <w:rPr>
                <w:b/>
                <w:bCs/>
                <w:color w:val="000000"/>
                <w:sz w:val="24"/>
              </w:rPr>
              <w:t>де</w:t>
            </w:r>
            <w:r>
              <w:rPr>
                <w:b/>
                <w:color w:val="000000"/>
                <w:sz w:val="24"/>
              </w:rPr>
              <w:t>партамента дорог и благоустройства администрации города Перми</w:t>
            </w:r>
            <w:r>
              <w:rPr>
                <w:color w:val="000000"/>
                <w:sz w:val="24"/>
              </w:rPr>
              <w:t xml:space="preserve">  от 16.10.2024 № 059-24-01-36/3-3777).</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pPr>
            <w:r>
              <w:rPr>
                <w:color w:val="000000"/>
                <w:sz w:val="24"/>
              </w:rPr>
              <w:t>На Участке источники противопожарного водоснабжения отсутствуют. Строительство пожарного водоема на указанной территории не запланировано. Ближайшее подразделение пожарной охраны расположено по адресу: ул. Васнецова, 7 (ПСЧ-7 10-ПСО);</w:t>
            </w:r>
          </w:p>
          <w:p>
            <w:pPr>
              <w:pStyle w:val="BodyText"/>
              <w:spacing w:before="0" w:after="0"/>
              <w:ind w:firstLine="412" w:left="0" w:right="0"/>
              <w:jc w:val="both"/>
              <w:rPr/>
            </w:pPr>
            <w:r>
              <w:rPr>
                <w:color w:val="000000"/>
                <w:sz w:val="24"/>
              </w:rPr>
              <w:t>помещения для аварийно-спасательных формирований на территории где расположен Участок отсутствуют (потребность в обеспечении отсутствует);</w:t>
            </w:r>
          </w:p>
          <w:p>
            <w:pPr>
              <w:pStyle w:val="BodyText"/>
              <w:spacing w:before="0" w:after="0"/>
              <w:ind w:firstLine="412" w:left="0" w:right="0"/>
              <w:jc w:val="both"/>
              <w:rPr/>
            </w:pPr>
            <w:r>
              <w:rPr>
                <w:color w:val="000000"/>
                <w:sz w:val="24"/>
              </w:rPr>
              <w:t>объект общественной безопасности, отнесенные к объектам полиции (участковые пункты полиции), в данном микрорайоне (Чапаево) отсутствуют. Ближайший участковый пункт расположен по адресу: г. Пермь, ул. Переулок Талицкий, 8, (микрорайон Кислотные Дачи, Орджоникидзевский района).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412" w:left="0" w:right="0"/>
              <w:jc w:val="both"/>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ул. Ольховская, 2 – 1500 метров.</w:t>
            </w:r>
          </w:p>
          <w:p>
            <w:pPr>
              <w:pStyle w:val="BodyText"/>
              <w:spacing w:before="0" w:after="0"/>
              <w:ind w:firstLine="412" w:left="0" w:right="0"/>
              <w:jc w:val="both"/>
              <w:rPr/>
            </w:pPr>
            <w:r>
              <w:rPr>
                <w:color w:val="000000"/>
                <w:sz w:val="24"/>
              </w:rPr>
              <w:t>По информации, предоставленной Министерством территориальной безопасности Пермского края, рассматриваемый земельный участок попадает в зону возможного химического заражения в особый период.</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14.10.2024 № 059-10-01-27/3-1692).</w:t>
            </w:r>
          </w:p>
          <w:p>
            <w:pPr>
              <w:pStyle w:val="BodyText"/>
              <w:ind w:firstLine="362"/>
              <w:jc w:val="both"/>
              <w:rPr>
                <w:sz w:val="24"/>
                <w:szCs w:val="24"/>
              </w:rPr>
            </w:pPr>
            <w:r>
              <w:rPr>
                <w:sz w:val="24"/>
                <w:szCs w:val="24"/>
              </w:rPr>
            </w:r>
          </w:p>
        </w:tc>
      </w:tr>
      <w:tr>
        <w:trPr>
          <w:trHeight w:val="1087"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360" w:left="720" w:right="-263"/>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62"/>
              <w:jc w:val="both"/>
              <w:rPr>
                <w:sz w:val="24"/>
                <w:szCs w:val="24"/>
              </w:rPr>
            </w:pPr>
            <w:r>
              <w:rPr>
                <w:sz w:val="24"/>
                <w:szCs w:val="24"/>
              </w:rPr>
            </w:r>
          </w:p>
          <w:p>
            <w:pPr>
              <w:pStyle w:val="BodyText"/>
              <w:ind w:firstLine="362"/>
              <w:jc w:val="both"/>
              <w:rPr>
                <w:sz w:val="24"/>
                <w:szCs w:val="24"/>
              </w:rPr>
            </w:pPr>
            <w:r>
              <w:rPr>
                <w:color w:val="000000"/>
                <w:sz w:val="24"/>
                <w:szCs w:val="24"/>
                <w:lang w:val="en-US"/>
              </w:rPr>
              <w:t>Согласно градостроительному плану Земельного участка от 23.10.2024 № РФ-59-2-03-0-00-2024-2230-0 (далее – ГПЗУ): Минимальный отступ от границ земельного участка – 3 м, до места допустимого размещения зданий, строений (за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границ смежных земельных участков при блокированной жилой застройке).</w:t>
            </w:r>
          </w:p>
          <w:p>
            <w:pPr>
              <w:pStyle w:val="BodyText"/>
              <w:spacing w:before="0" w:after="0"/>
              <w:ind w:firstLine="311" w:left="0" w:right="0"/>
              <w:jc w:val="both"/>
              <w:rPr/>
            </w:pPr>
            <w:r>
              <w:rPr>
                <w:color w:val="000000"/>
                <w:sz w:val="24"/>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Pr>
                <w:color w:val="000000"/>
              </w:rPr>
              <w:t xml:space="preserve">– </w:t>
            </w:r>
            <w:r>
              <w:rPr>
                <w:color w:val="000000"/>
                <w:sz w:val="24"/>
              </w:rPr>
              <w:t>30 %.</w:t>
            </w:r>
          </w:p>
          <w:p>
            <w:pPr>
              <w:pStyle w:val="BodyText"/>
              <w:spacing w:before="0" w:after="0"/>
              <w:ind w:firstLine="311" w:left="0" w:right="0"/>
              <w:jc w:val="both"/>
              <w:rPr>
                <w:rFonts w:ascii="Times New Roman" w:hAnsi="Times New Roman"/>
                <w:color w:val="000000"/>
                <w:sz w:val="24"/>
              </w:rPr>
            </w:pPr>
            <w:r>
              <w:rPr>
                <w:color w:val="000000"/>
                <w:sz w:val="24"/>
              </w:rPr>
              <w:t>Предельная высота зданий, сооружений – не более 10,5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w:t>
            </w:r>
            <w:r>
              <w:rPr>
                <w:color w:val="000000"/>
              </w:rPr>
              <w:t> </w:t>
            </w:r>
            <w:r>
              <w:rPr>
                <w:color w:val="000000"/>
                <w:sz w:val="24"/>
              </w:rPr>
              <w:t>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pPr>
            <w:r>
              <w:rPr>
                <w:color w:val="000000"/>
                <w:sz w:val="24"/>
              </w:rPr>
              <w:t xml:space="preserve">В случае если в границах территориальной зоны предусматривается осуществление деятельности </w:t>
              <w:br/>
              <w:t> по комплексному развитию территории, расчет показателей минимально допустимого уровня обеспеченности территории объектами коммунальной, транспортной,</w:t>
            </w:r>
            <w:r>
              <w:rPr>
                <w:color w:val="000000"/>
              </w:rPr>
              <w:t> </w:t>
            </w:r>
            <w:r>
              <w:rPr>
                <w:color w:val="000000"/>
                <w:sz w:val="24"/>
              </w:rPr>
              <w:t>социальной инфраструктур и расчет  показателей максимально допустимого уровня территориальной доступности указанных объектов для населения осуществляются в соответствии с утвержденными нормативами градостроительного проектирования.</w:t>
            </w:r>
          </w:p>
          <w:p>
            <w:pPr>
              <w:pStyle w:val="BodyText"/>
              <w:spacing w:before="0" w:after="0"/>
              <w:ind w:firstLine="311" w:left="0" w:right="0"/>
              <w:jc w:val="both"/>
              <w:rPr/>
            </w:pPr>
            <w:r>
              <w:rPr>
                <w:color w:val="000000"/>
                <w:sz w:val="24"/>
              </w:rPr>
              <w:t xml:space="preserve">Проектирование и строительство необходимо вести </w:t>
              <w:br/>
              <w:t> в соответствии с пунктом 4.5 СП 55.13330.2016 Свода Правил. Дома жилые одноквартирные.</w:t>
            </w:r>
            <w:r>
              <w:rPr>
                <w:color w:val="000000"/>
              </w:rPr>
              <w:t xml:space="preserve"> </w:t>
            </w:r>
            <w:r>
              <w:rPr>
                <w:color w:val="000000"/>
                <w:sz w:val="24"/>
              </w:rPr>
              <w:t>СНиП 31-02-2001, утвержденным и введенным в действие Приказом Министерства строительства и жилищно-коммунального хозяйства Российской Федерации от 20.10.2016 № 725/пр.</w:t>
            </w:r>
            <w:r>
              <w:rPr>
                <w:color w:val="000000"/>
              </w:rPr>
              <w:t xml:space="preserve"> </w:t>
            </w:r>
            <w:r>
              <w:rPr>
                <w:color w:val="000000"/>
                <w:sz w:val="24"/>
              </w:rPr>
              <w:t>Дом должен включать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 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w:t>
            </w:r>
          </w:p>
          <w:p>
            <w:pPr>
              <w:pStyle w:val="BodyText"/>
              <w:spacing w:before="0" w:after="0"/>
              <w:ind w:firstLine="311" w:left="0" w:right="0"/>
              <w:jc w:val="both"/>
              <w:rPr/>
            </w:pP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 xml:space="preserve">Высота (от пола до потолка) комнат и кухни (кухни-столовой) в климатических районах строительства IА, IБ, IГ, IД, определяемых по </w:t>
            </w:r>
            <w:r>
              <w:rPr>
                <w:color w:val="000000"/>
                <w:sz w:val="24"/>
                <w:u w:val="single"/>
              </w:rPr>
              <w:t>СП 131.13330</w:t>
            </w:r>
            <w:r>
              <w:rPr>
                <w:color w:val="000000"/>
                <w:sz w:val="24"/>
              </w:rPr>
              <w:t>,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w:t>
            </w:r>
            <w:r>
              <w:rPr>
                <w:color w:val="000000"/>
              </w:rPr>
              <w:t> </w:t>
            </w:r>
            <w:r>
              <w:rPr>
                <w:color w:val="000000"/>
                <w:sz w:val="24"/>
              </w:rPr>
              <w:br/>
              <w:t xml:space="preserve"> не менее 2,2 м. 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w:t>
              <w:br/>
              <w:t> не превышающей 50%.</w:t>
            </w:r>
          </w:p>
          <w:p>
            <w:pPr>
              <w:pStyle w:val="BodyText"/>
              <w:spacing w:before="0" w:after="0"/>
              <w:ind w:firstLine="311" w:left="0" w:right="0"/>
              <w:jc w:val="both"/>
              <w:rPr/>
            </w:pPr>
            <w:r>
              <w:rPr>
                <w:color w:val="000000"/>
                <w:sz w:val="24"/>
              </w:rPr>
              <w:t>В жилых комнатах и</w:t>
            </w:r>
            <w:r>
              <w:rPr>
                <w:color w:val="000000"/>
              </w:rPr>
              <w:t xml:space="preserve"> </w:t>
            </w:r>
            <w:r>
              <w:rPr>
                <w:color w:val="000000"/>
                <w:sz w:val="24"/>
              </w:rPr>
              <w:t xml:space="preserve">кухнях, расположенных </w:t>
              <w:br/>
              <w:t>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w:t>
            </w:r>
            <w:r>
              <w:rPr>
                <w:color w:val="000000"/>
              </w:rPr>
              <w:t> </w:t>
            </w:r>
            <w:r>
              <w:rPr>
                <w:color w:val="000000"/>
                <w:sz w:val="24"/>
              </w:rPr>
              <w:t>не превышающей 50%.</w:t>
            </w:r>
          </w:p>
          <w:p>
            <w:pPr>
              <w:pStyle w:val="BodyText"/>
              <w:spacing w:before="0" w:after="0"/>
              <w:ind w:firstLine="311" w:left="0" w:right="0"/>
              <w:jc w:val="both"/>
              <w:rPr/>
            </w:pPr>
            <w:r>
              <w:rPr>
                <w:color w:val="000000"/>
                <w:sz w:val="24"/>
              </w:rPr>
              <w:t>Победителю аукциона (единственному участнику) рекомендовано обратиться в уполномоченный орган  с уведомлением о планируемом строительстве жилого дома.</w:t>
            </w:r>
          </w:p>
          <w:p>
            <w:pPr>
              <w:pStyle w:val="BodyText"/>
              <w:ind w:firstLine="362"/>
              <w:jc w:val="both"/>
              <w:rPr>
                <w:sz w:val="24"/>
                <w:szCs w:val="24"/>
              </w:rPr>
            </w:pPr>
            <w:r>
              <w:rPr>
                <w:sz w:val="24"/>
                <w:szCs w:val="24"/>
              </w:rPr>
            </w:r>
          </w:p>
        </w:tc>
      </w:tr>
      <w:tr>
        <w:trPr>
          <w:trHeight w:val="144" w:hRule="atLeast"/>
        </w:trPr>
        <w:tc>
          <w:tcPr>
            <w:tcW w:w="358"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69"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294"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О 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412" w:left="0" w:right="0"/>
              <w:jc w:val="both"/>
              <w:rPr/>
            </w:pP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w:t>
              <w:br/>
              <w:t> на энергосбережение объекта разрабатываются в составе договора о технологическом присоединении.</w:t>
            </w:r>
          </w:p>
          <w:p>
            <w:pPr>
              <w:pStyle w:val="BodyText"/>
              <w:spacing w:before="0" w:after="0"/>
              <w:ind w:firstLine="412" w:left="0" w:right="0"/>
              <w:jc w:val="both"/>
              <w:rPr/>
            </w:pPr>
            <w:r>
              <w:rPr>
                <w:color w:val="000000"/>
                <w:sz w:val="24"/>
              </w:rPr>
              <w:t xml:space="preserve">Плата за технологическое присоединение энергопринимающих устройств устанавливается исходя из стоимости мероприятий по технологическому присоединению, размер платы определяется </w:t>
              <w:br/>
              <w:t> 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412" w:left="0" w:right="0"/>
              <w:jc w:val="both"/>
              <w:rPr/>
            </w:pPr>
            <w:r>
              <w:rPr>
                <w:color w:val="000000"/>
                <w:sz w:val="24"/>
              </w:rPr>
              <w:t xml:space="preserve">Для заключения договора на технологическое присоединение необходимо представить письменную заявку с приложением необходимых документов </w:t>
              <w:br/>
              <w:t> и сведений, указанных в п. 10 Правил.</w:t>
            </w:r>
          </w:p>
          <w:p>
            <w:pPr>
              <w:pStyle w:val="BodyText"/>
              <w:spacing w:before="0" w:after="0"/>
              <w:ind w:firstLine="412"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w:t>
              <w:br/>
              <w:t xml:space="preserve"> на сайте: </w:t>
            </w:r>
            <w:r>
              <w:rPr>
                <w:color w:val="000000"/>
                <w:sz w:val="24"/>
                <w:u w:val="single"/>
              </w:rPr>
              <w:t>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szCs w:val="24"/>
              </w:rPr>
              <w:t xml:space="preserve">Филиала ПАО «Россети Урал» - «Пермэнерго» </w:t>
            </w:r>
            <w:r>
              <w:rPr>
                <w:color w:val="000000"/>
                <w:sz w:val="24"/>
                <w:szCs w:val="24"/>
              </w:rPr>
              <w:t>(ранее – ОАО «МРСК Урала – филиал Пермэнерго») от 24.10.2024 № ПЭ/ПГЭС/01/22/11597).</w:t>
            </w:r>
          </w:p>
          <w:p>
            <w:pPr>
              <w:pStyle w:val="BodyText"/>
              <w:spacing w:before="0" w:after="0"/>
              <w:ind w:firstLine="412" w:left="0" w:right="0"/>
              <w:jc w:val="both"/>
              <w:rPr>
                <w:rFonts w:ascii="Times New Roman" w:hAnsi="Times New Roman"/>
                <w:color w:val="000000"/>
                <w:sz w:val="24"/>
                <w:szCs w:val="24"/>
              </w:rPr>
            </w:pPr>
            <w:r>
              <w:rPr>
                <w:color w:val="000000"/>
                <w:sz w:val="24"/>
                <w:szCs w:val="24"/>
              </w:rPr>
            </w:r>
          </w:p>
          <w:p>
            <w:pPr>
              <w:pStyle w:val="BodyText"/>
              <w:spacing w:before="0" w:after="0"/>
              <w:ind w:firstLine="412"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412"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заявку о заключении договора по типовой форме с приложением необходимых документов и сведений, указанных в пунктах 11 и 16 Правил подключения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16.10.2024 № ПФ-6849).</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pPr>
            <w:r>
              <w:rPr>
                <w:color w:val="000000"/>
                <w:sz w:val="24"/>
              </w:rPr>
              <w:t xml:space="preserve">О наличии технической возможности подключения объекта капитального строительства с планируемой величиной подключаемой нагрузки по водоснабжению </w:t>
              <w:br/>
              <w:t> и водоотведению – 1,0 м3/сут. к централизованным системам водоснабжения и водоотведения сообщается следующее.</w:t>
            </w:r>
          </w:p>
          <w:p>
            <w:pPr>
              <w:pStyle w:val="BodyText"/>
              <w:spacing w:before="0" w:after="0"/>
              <w:ind w:firstLine="412" w:left="0" w:right="0"/>
              <w:jc w:val="both"/>
              <w:rPr/>
            </w:pPr>
            <w:r>
              <w:rPr>
                <w:color w:val="000000"/>
                <w:sz w:val="24"/>
              </w:rPr>
              <w:t>Ближайший точкой подключения к сетям водоснабжения эксплуатируемой ООО «НОВОГОР-Прикамье» является водовод Д-1000 мм внутри квартала.</w:t>
            </w:r>
          </w:p>
          <w:p>
            <w:pPr>
              <w:pStyle w:val="BodyText"/>
              <w:spacing w:before="0" w:after="0"/>
              <w:ind w:firstLine="412" w:left="0" w:right="0"/>
              <w:jc w:val="both"/>
              <w:rPr/>
            </w:pPr>
            <w:r>
              <w:rPr>
                <w:color w:val="000000"/>
                <w:sz w:val="24"/>
              </w:rPr>
              <w:t>В связи с тем, что в месте расположения земельного участка отсутствуют сети канализации, может быть применен альтернативный способ канализования, без подключения к централизованной системе канализации г. Пермь (отвод стоков возможен на локальные очистные сооружения либо в ввыгребную яму, с последующим вызовом стоков спец. Машинами), при этом состав канализационных стоков должен соответствовать всем нормативным требованиям Российской Федерации.</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14.10.2024 № 110-16836).</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pPr>
            <w:r>
              <w:rPr>
                <w:color w:val="000000"/>
                <w:sz w:val="24"/>
              </w:rPr>
              <w:t>О возможности технологического присоединения к системе теплоснабжения объекта сообщается, что Участок находится вне зоны теплоснабжения  ПАО «Т плюс».</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15.10.2024 № 51000-32-03568).</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pPr>
            <w:r>
              <w:rPr>
                <w:color w:val="000000"/>
                <w:sz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 дрова, пеллеты.</w:t>
            </w:r>
          </w:p>
          <w:p>
            <w:pPr>
              <w:pStyle w:val="BodyText"/>
              <w:spacing w:before="0" w:after="0"/>
              <w:ind w:firstLine="41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жилищно-коммунального хозяйства администрации города Перми</w:t>
            </w:r>
            <w:r>
              <w:rPr>
                <w:color w:val="000000"/>
                <w:sz w:val="24"/>
              </w:rPr>
              <w:t xml:space="preserve"> от 18.10.2024 № 059-04-25/3-122-ри).</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pPr>
            <w:r>
              <w:rPr>
                <w:color w:val="000000"/>
                <w:sz w:val="24"/>
              </w:rPr>
              <w:t>Ближайший источник теплоснабжения по ул. Чапаева, 6 и сети теплоснабжения находятся на обслуживании ПАО  «Т Плюс» (г. Пермь, Комсомольский проспект, 48, телефон 243-61-58).</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администрации Орджоникидзевского района города Перми</w:t>
            </w:r>
            <w:r>
              <w:rPr>
                <w:color w:val="000000"/>
                <w:sz w:val="24"/>
              </w:rPr>
              <w:t> от 25.10.2024 № 059-37-01-32/3-4444).</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 узел ВОЛС (ул. Кронита, д. 8),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412" w:left="0" w:right="0"/>
              <w:jc w:val="both"/>
              <w:rPr/>
            </w:pPr>
            <w:r>
              <w:rPr>
                <w:color w:val="000000"/>
                <w:sz w:val="24"/>
              </w:rPr>
              <w:t>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о подключении в порядке, определенном действующим законодательством.</w:t>
            </w:r>
          </w:p>
          <w:p>
            <w:pPr>
              <w:pStyle w:val="BodyText"/>
              <w:spacing w:before="0" w:after="0"/>
              <w:ind w:firstLine="412" w:left="0" w:right="0"/>
              <w:jc w:val="both"/>
              <w:rPr/>
            </w:pPr>
            <w:r>
              <w:rPr>
                <w:color w:val="000000"/>
                <w:sz w:val="24"/>
              </w:rPr>
              <w:t>Срок действия технических условий составляет 3 года (при комплексном развитии территории 5 лет) со дня выдачи технических условий.</w:t>
            </w:r>
          </w:p>
          <w:p>
            <w:pPr>
              <w:pStyle w:val="BodyText"/>
              <w:spacing w:before="0" w:after="0"/>
              <w:ind w:firstLine="412" w:left="0" w:right="0"/>
              <w:jc w:val="both"/>
              <w:rPr/>
            </w:pPr>
            <w:r>
              <w:rPr>
                <w:color w:val="000000"/>
                <w:sz w:val="24"/>
              </w:rPr>
              <w:t>В случае, если в течение 1 года (при комплексном развитии территории – 3 лет) со дня выдачи технических условий заявителем не будет подана заявка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к сетям электросвязи», утвержденные постановлением Правительства Российской Федерации от 01.07.2022 № 1196).</w:t>
            </w:r>
          </w:p>
          <w:p>
            <w:pPr>
              <w:pStyle w:val="BodyText"/>
              <w:spacing w:before="0" w:after="0"/>
              <w:ind w:firstLine="412" w:left="0" w:right="0"/>
              <w:jc w:val="both"/>
              <w:rPr/>
            </w:pPr>
            <w:r>
              <w:rPr>
                <w:color w:val="000000"/>
                <w:sz w:val="24"/>
              </w:rPr>
              <w:t xml:space="preserve">Для получения ТУ на подключение к сетям связи ПАО «Ростелеком» необходимо обратиться в Отдел продаж и обслуживания по адресу: г. Пермь, ул. Крупской, 2, тел.: +7 (342) 235-57-34 или направить запрос на </w:t>
            </w:r>
            <w:hyperlink r:id="rId9">
              <w:r>
                <w:rPr>
                  <w:rStyle w:val="Hyperlink"/>
                  <w:color w:val="000000"/>
                  <w:sz w:val="24"/>
                  <w:u w:val="single"/>
                </w:rPr>
                <w:t>perm-mail@ural.rt.ru</w:t>
              </w:r>
            </w:hyperlink>
            <w:r>
              <w:rPr>
                <w:color w:val="000000"/>
                <w:sz w:val="24"/>
              </w:rPr>
              <w:t>.</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18.10.2024 № 01/05/157610/24).</w:t>
            </w:r>
          </w:p>
          <w:p>
            <w:pPr>
              <w:pStyle w:val="BodyText"/>
              <w:ind w:firstLine="312"/>
              <w:jc w:val="both"/>
              <w:rPr>
                <w:sz w:val="24"/>
                <w:szCs w:val="24"/>
              </w:rPr>
            </w:pPr>
            <w:r>
              <w:rPr>
                <w:sz w:val="24"/>
                <w:szCs w:val="24"/>
              </w:rPr>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b/>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2 324 400 руб.</w:t>
            </w:r>
          </w:p>
        </w:tc>
      </w:tr>
      <w:tr>
        <w:trPr>
          <w:trHeight w:val="225"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69 732 руб.</w:t>
            </w:r>
          </w:p>
        </w:tc>
      </w:tr>
      <w:tr>
        <w:trPr>
          <w:trHeight w:val="41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1 162 200 руб.</w:t>
            </w:r>
          </w:p>
        </w:tc>
      </w:tr>
      <w:tr>
        <w:trPr>
          <w:trHeight w:val="188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купли-продажи земельного участка</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2 к настоящему извещению и </w:t>
            </w:r>
            <w:r>
              <w:rPr>
                <w:sz w:val="24"/>
                <w:szCs w:val="24"/>
                <w:lang w:val="en-US" w:eastAsia="en-US"/>
              </w:rPr>
              <w:t xml:space="preserve">размещен на сайтах www.torgi.gov.ru, www.gorodperm.ru (раздел Деятельность/ </w:t>
              <w:br/>
              <w:t>Муниципальная собственность/ Торговая площадка</w:t>
              <w:br/>
              <w:t>Вид торгов Продажа и аренда земельных участков)</w:t>
            </w:r>
          </w:p>
        </w:tc>
      </w:tr>
      <w:tr>
        <w:trPr>
          <w:trHeight w:val="144" w:hRule="atLeast"/>
        </w:trPr>
        <w:tc>
          <w:tcPr>
            <w:tcW w:w="358"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69"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294"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sz w:val="20"/>
          <w:szCs w:val="20"/>
        </w:rPr>
      </w:r>
    </w:p>
    <w:p>
      <w:pPr>
        <w:pStyle w:val="Normal"/>
        <w:tabs>
          <w:tab w:val="clear" w:pos="708"/>
          <w:tab w:val="left" w:pos="5103" w:leader="none"/>
        </w:tabs>
        <w:ind w:right="-263"/>
        <w:rPr>
          <w:sz w:val="20"/>
          <w:szCs w:val="20"/>
          <w:highlight w:val="none"/>
        </w:rPr>
      </w:pPr>
      <w:r>
        <w:rPr>
          <w:b/>
          <w:lang w:val="en-US"/>
        </w:rPr>
        <w:t>Лот № 2</w:t>
      </w:r>
    </w:p>
    <w:tbl>
      <w:tblPr>
        <w:tblW w:w="5000" w:type="pct"/>
        <w:jc w:val="left"/>
        <w:tblInd w:w="-473" w:type="dxa"/>
        <w:tblLayout w:type="fixed"/>
        <w:tblCellMar>
          <w:top w:w="0" w:type="dxa"/>
          <w:left w:w="108" w:type="dxa"/>
          <w:bottom w:w="0" w:type="dxa"/>
          <w:right w:w="108" w:type="dxa"/>
        </w:tblCellMar>
        <w:tblLook w:val="01e0" w:noHBand="0" w:noVBand="0" w:firstColumn="1" w:lastRow="1" w:lastColumn="1" w:firstRow="1"/>
      </w:tblPr>
      <w:tblGrid>
        <w:gridCol w:w="345"/>
        <w:gridCol w:w="3275"/>
        <w:gridCol w:w="6301"/>
      </w:tblGrid>
      <w:tr>
        <w:trPr>
          <w:trHeight w:val="877"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3275" w:type="dxa"/>
            <w:tcBorders>
              <w:top w:val="single" w:sz="4" w:space="0" w:color="000000"/>
              <w:left w:val="single" w:sz="4" w:space="0" w:color="000000"/>
              <w:bottom w:val="single" w:sz="4" w:space="0" w:color="000000"/>
              <w:right w:val="single" w:sz="4" w:space="0" w:color="000000"/>
            </w:tcBorders>
          </w:tcPr>
          <w:p>
            <w:pPr>
              <w:pStyle w:val="Normal"/>
              <w:spacing w:before="0" w:after="0"/>
              <w:ind w:right="0"/>
              <w:jc w:val="left"/>
              <w:rPr>
                <w:sz w:val="24"/>
                <w:szCs w:val="24"/>
              </w:rPr>
            </w:pPr>
            <w:r>
              <w:rPr>
                <w:sz w:val="24"/>
                <w:szCs w:val="24"/>
              </w:rPr>
              <w:t>Наименование органа местного самоуправления, принявшего решение о проведении аукциона, реквизиты указанного решения</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20 ноября 2024 г.  № 21-01-03-10249                 «О проведении аукциона по продаже земельного участка в Орджоникидзевском районе города Перми»</w:t>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Предмет аукциона по продаже земельного участка</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493" w:hRule="atLeast"/>
        </w:trPr>
        <w:tc>
          <w:tcPr>
            <w:tcW w:w="345"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jc w:val="both"/>
              <w:rPr>
                <w:sz w:val="24"/>
                <w:szCs w:val="24"/>
              </w:rPr>
            </w:pPr>
            <w:r>
              <w:rPr>
                <w:sz w:val="24"/>
                <w:szCs w:val="24"/>
              </w:rPr>
              <w:t>местоположение</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Пермский край, городской округ Пермский, город Пермь, улица Новогодняя, з/у 2д</w:t>
            </w:r>
          </w:p>
        </w:tc>
      </w:tr>
      <w:tr>
        <w:trPr>
          <w:trHeight w:val="155"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площадь</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591 кв. м</w:t>
            </w:r>
          </w:p>
        </w:tc>
      </w:tr>
      <w:tr>
        <w:trPr>
          <w:trHeight w:val="155"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кадастровый номер</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59:01:3812828:131</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права на земельный участок</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разрешенное использование</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для индивидуального жилищного строительства</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 xml:space="preserve">принадлежность к определенной  </w:t>
              <w:br/>
              <w:t>категории земель</w:t>
            </w:r>
          </w:p>
        </w:tc>
        <w:tc>
          <w:tcPr>
            <w:tcW w:w="6301"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263"/>
              <w:rPr>
                <w:sz w:val="24"/>
                <w:szCs w:val="24"/>
              </w:rPr>
            </w:pPr>
            <w:r>
              <w:rPr>
                <w:sz w:val="24"/>
                <w:szCs w:val="24"/>
              </w:rPr>
              <w:t>ограничение прав</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25.12.2024г. No КУВИ-001/2024-312271257;</w:t>
            </w:r>
          </w:p>
          <w:p>
            <w:pPr>
              <w:pStyle w:val="Normal"/>
              <w:ind w:firstLine="311"/>
              <w:jc w:val="both"/>
              <w:rPr>
                <w:sz w:val="24"/>
                <w:szCs w:val="24"/>
              </w:rPr>
            </w:pPr>
            <w:r>
              <w:rPr>
                <w:sz w:val="24"/>
                <w:szCs w:val="24"/>
              </w:rPr>
              <w:t>в градостроительном плане земельного участка</w:t>
            </w:r>
          </w:p>
          <w:p>
            <w:pPr>
              <w:pStyle w:val="Normal"/>
              <w:jc w:val="both"/>
              <w:rPr>
                <w:sz w:val="24"/>
                <w:szCs w:val="24"/>
                <w:highlight w:val="none"/>
              </w:rPr>
            </w:pPr>
            <w:r>
              <w:rPr>
                <w:sz w:val="24"/>
                <w:szCs w:val="24"/>
              </w:rPr>
              <w:t>от 19.01.2024 № РФ-59-2-03-0-00-2024-0056-0 (далее – ГПЗУ).</w:t>
            </w:r>
          </w:p>
          <w:p>
            <w:pPr>
              <w:pStyle w:val="Normal"/>
              <w:ind w:firstLine="311"/>
              <w:jc w:val="both"/>
              <w:rPr>
                <w:sz w:val="24"/>
                <w:szCs w:val="24"/>
              </w:rPr>
            </w:pPr>
            <w:r>
              <w:rPr>
                <w:sz w:val="24"/>
                <w:szCs w:val="24"/>
              </w:rPr>
            </w:r>
          </w:p>
          <w:p>
            <w:pPr>
              <w:pStyle w:val="BodyText"/>
              <w:ind w:firstLine="311"/>
              <w:jc w:val="both"/>
              <w:rPr>
                <w:sz w:val="24"/>
                <w:szCs w:val="24"/>
              </w:rPr>
            </w:pPr>
            <w:r>
              <w:rPr>
                <w:color w:val="000000"/>
                <w:sz w:val="24"/>
                <w:szCs w:val="24"/>
                <w:highlight w:val="white"/>
              </w:rPr>
              <w:t>Согласно сведениям ЕГРН объекты капитального строительства в границах Участка отсутствуют.</w:t>
            </w:r>
          </w:p>
          <w:p>
            <w:pPr>
              <w:pStyle w:val="BodyText"/>
              <w:spacing w:before="0" w:after="0"/>
              <w:ind w:firstLine="311" w:left="0" w:right="0"/>
              <w:jc w:val="both"/>
              <w:rPr>
                <w:rFonts w:ascii="Times New Roman" w:hAnsi="Times New Roman"/>
                <w:color w:val="000000"/>
                <w:sz w:val="24"/>
              </w:rPr>
            </w:pPr>
            <w:r>
              <w:rPr>
                <w:color w:val="000000"/>
                <w:sz w:val="24"/>
              </w:rPr>
              <w:t>По данным геодезической съемки в границах Участка объекты капитального строительства отсутствуют.</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Доступ на земельный участок</w:t>
            </w:r>
            <w:r>
              <w:rPr>
                <w:color w:val="000000"/>
              </w:rPr>
              <w:t xml:space="preserve"> </w:t>
            </w:r>
            <w:r>
              <w:rPr>
                <w:color w:val="000000"/>
                <w:sz w:val="24"/>
              </w:rPr>
              <w:t>не ограничен. На Участке возведены объекты некапитального строительства: деревянный сарай, деревянное строение, назначении которого установить не предоставляется возможным, на части Участка размещен строительный материал. Из-за наличия снежного покрова установить наличие захламление Участка не предоставляется возможным.</w:t>
            </w:r>
          </w:p>
          <w:p>
            <w:pPr>
              <w:pStyle w:val="BodyText"/>
              <w:spacing w:before="0" w:after="0"/>
              <w:ind w:firstLine="311" w:left="0" w:right="0"/>
              <w:jc w:val="both"/>
              <w:rPr/>
            </w:pPr>
            <w:r>
              <w:rPr>
                <w:color w:val="000000"/>
                <w:sz w:val="24"/>
              </w:rPr>
              <w:t xml:space="preserve">Согласно сведениям, предоставленным отделением надзорной деятельности и профилактической работы </w:t>
              <w:br/>
              <w:t xml:space="preserve"> г. Перми по Орджоникидзевскому району 1 ОНПР </w:t>
              <w:br/>
              <w:t> по городу Перми УНПР Главного управления МЧС России по Пермскому краю, близлежащий пожарный резервуар расположен по адресу: Пермский край, г. Пермь, Орджоникидзевский район, ул. Новогодняя, 11, пожарные гидранты - ул. Александра Пархоменко, 8, ул. Чапаева, 6. Сформированы земельные участки с кадастровыми номерами 59:01:3812824:127 и 59:01:3812824:128 по ул. Трактористов в Орджоникидзевском районе г. Перми с видом разрешенного использования: объекты наружного противопожарного водоснабжения (пожарные резервуары, водоемы, пирсы и прочие).</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 xml:space="preserve">администрации Орджоникидзевского района города Перми </w:t>
            </w:r>
            <w:r>
              <w:rPr>
                <w:color w:val="000000"/>
                <w:sz w:val="24"/>
              </w:rPr>
              <w:t>от 21.11.2024</w:t>
            </w:r>
            <w:r>
              <w:rPr>
                <w:color w:val="FF0000"/>
                <w:sz w:val="24"/>
              </w:rPr>
              <w:t> </w:t>
            </w:r>
            <w:r>
              <w:rPr>
                <w:color w:val="000000"/>
                <w:sz w:val="24"/>
              </w:rPr>
              <w:t>№ 059-37-01-32/3-4894,</w:t>
            </w:r>
            <w:r>
              <w:rPr>
                <w:color w:val="FF0000"/>
                <w:sz w:val="24"/>
              </w:rPr>
              <w:t> </w:t>
            </w:r>
            <w:r>
              <w:rPr>
                <w:color w:val="000000"/>
                <w:sz w:val="24"/>
              </w:rPr>
              <w:t>акту обследования  от 19.11.2024 № 319).</w:t>
            </w:r>
          </w:p>
          <w:p>
            <w:pPr>
              <w:pStyle w:val="BodyText"/>
              <w:spacing w:before="0" w:after="0"/>
              <w:ind w:firstLine="311" w:left="0" w:right="0"/>
              <w:jc w:val="both"/>
              <w:rPr>
                <w:b/>
                <w:bCs/>
              </w:rPr>
            </w:pPr>
            <w:r>
              <w:rPr>
                <w:b/>
                <w:bCs/>
              </w:rPr>
            </w:r>
          </w:p>
          <w:p>
            <w:pPr>
              <w:pStyle w:val="BodyText"/>
              <w:spacing w:before="0" w:after="0"/>
              <w:ind w:firstLine="311" w:left="0" w:right="0"/>
              <w:jc w:val="both"/>
              <w:rPr/>
            </w:pPr>
            <w:r>
              <w:rPr>
                <w:color w:val="000000"/>
                <w:sz w:val="24"/>
              </w:rPr>
              <w:t>Согласно сведениям, содержащимся в ГПЗУ, ЕГРН</w:t>
            </w:r>
            <w:r>
              <w:rPr>
                <w:color w:val="000000"/>
              </w:rPr>
              <w:t> </w:t>
            </w:r>
            <w:r>
              <w:rPr>
                <w:color w:val="000000"/>
                <w:sz w:val="24"/>
              </w:rPr>
              <w:t>и справке по градостроительным условиям от 25.12.2024 № 617826, Участок расположен в границах зон с особыми условиями использования территории:</w:t>
            </w:r>
          </w:p>
          <w:p>
            <w:pPr>
              <w:pStyle w:val="BodyText"/>
              <w:spacing w:before="0" w:after="0"/>
              <w:ind w:firstLine="311" w:left="0" w:right="0"/>
              <w:jc w:val="both"/>
              <w:rPr>
                <w:color w:val="000000"/>
              </w:rPr>
            </w:pPr>
            <w:r>
              <w:rPr>
                <w:color w:val="000000"/>
                <w:sz w:val="24"/>
              </w:rPr>
              <w:t xml:space="preserve">в приаэродромной территории аэродрома аэропорта Большое Савино, реестровый номер границы 59:32-6.553. Проектирование и строительство вести в соответствии </w:t>
              <w:br/>
              <w:t>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w:t>
            </w:r>
          </w:p>
          <w:p>
            <w:pPr>
              <w:pStyle w:val="BodyText"/>
              <w:spacing w:before="0" w:after="0"/>
              <w:ind w:firstLine="311" w:left="0" w:right="0"/>
              <w:jc w:val="both"/>
              <w:rPr>
                <w:color w:val="000000"/>
              </w:rPr>
            </w:pPr>
            <w:r>
              <w:rPr>
                <w:color w:val="000000"/>
              </w:rPr>
            </w:r>
          </w:p>
          <w:p>
            <w:pPr>
              <w:pStyle w:val="BodyText"/>
              <w:spacing w:before="0" w:after="0"/>
              <w:ind w:firstLine="311" w:left="0" w:right="0"/>
              <w:jc w:val="both"/>
              <w:rPr/>
            </w:pPr>
            <w:r>
              <w:rPr>
                <w:color w:val="000000"/>
                <w:sz w:val="24"/>
              </w:rPr>
              <w:t>На Участке произрастает 2 дерева породы – береза.</w:t>
            </w:r>
          </w:p>
          <w:p>
            <w:pPr>
              <w:pStyle w:val="BodyText"/>
              <w:spacing w:before="0" w:after="0"/>
              <w:ind w:firstLine="311" w:left="0" w:right="0"/>
              <w:jc w:val="both"/>
              <w:rPr/>
            </w:pPr>
            <w:r>
              <w:rPr>
                <w:color w:val="000000"/>
                <w:sz w:val="24"/>
              </w:rPr>
              <w:t>Победителю аукциона необходимо соблюдать условия строительства, перечисленные в перечне мероприятий по охране окружающей среды от 17.10.2024 № 231 (прилагается).</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управления по экологии и природопользованию администрации города Перми</w:t>
            </w:r>
            <w:r>
              <w:rPr>
                <w:color w:val="000000"/>
                <w:sz w:val="24"/>
              </w:rPr>
              <w:t xml:space="preserve"> от 17.01.2024 № 059-33-01-10/3-27).</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ind w:firstLine="311"/>
              <w:jc w:val="both"/>
              <w:rPr>
                <w:sz w:val="24"/>
                <w:szCs w:val="24"/>
              </w:rPr>
            </w:pPr>
            <w:r>
              <w:rPr>
                <w:color w:val="000000"/>
                <w:sz w:val="24"/>
                <w:szCs w:val="24"/>
                <w:highlight w:val="white"/>
              </w:rPr>
              <w:t xml:space="preserve"> </w:t>
            </w:r>
            <w:r>
              <w:rPr>
                <w:color w:val="000000"/>
                <w:sz w:val="24"/>
                <w:szCs w:val="24"/>
                <w:highlight w:val="white"/>
              </w:rPr>
              <w:t>На территории, где расположен Участок, схемами с 2024 года предусмотрено строительство сетей водоснабжения и водоотведения в мкр. Чапаевский, мероприятие финансированием не обеспечено.</w:t>
            </w:r>
          </w:p>
          <w:p>
            <w:pPr>
              <w:pStyle w:val="BodyText"/>
              <w:spacing w:before="0" w:after="0"/>
              <w:ind w:firstLine="412" w:left="0" w:right="0"/>
              <w:jc w:val="both"/>
              <w:rPr/>
            </w:pPr>
            <w:r>
              <w:rPr>
                <w:color w:val="000000"/>
                <w:sz w:val="24"/>
                <w:szCs w:val="24"/>
                <w:highlight w:val="white"/>
              </w:rPr>
              <w:t xml:space="preserve">(Аналогичная информация отражена в письме  </w:t>
            </w:r>
            <w:r>
              <w:rPr>
                <w:b/>
                <w:color w:val="000000"/>
                <w:sz w:val="24"/>
                <w:szCs w:val="24"/>
                <w:highlight w:val="white"/>
              </w:rPr>
              <w:t>департамента жилищно-коммунального хозяйства администрации города Перми</w:t>
            </w:r>
            <w:r>
              <w:rPr>
                <w:color w:val="000000"/>
                <w:sz w:val="24"/>
                <w:szCs w:val="24"/>
                <w:highlight w:val="white"/>
              </w:rPr>
              <w:t xml:space="preserve"> от 22.12.2023 № 059-04-17/3-1271-ри).</w:t>
            </w:r>
          </w:p>
          <w:p>
            <w:pPr>
              <w:pStyle w:val="BodyText"/>
              <w:ind w:firstLine="311"/>
              <w:jc w:val="both"/>
              <w:rPr>
                <w:sz w:val="24"/>
                <w:szCs w:val="24"/>
              </w:rPr>
            </w:pPr>
            <w:r>
              <w:rPr>
                <w:sz w:val="24"/>
                <w:szCs w:val="24"/>
              </w:rPr>
            </w:r>
          </w:p>
          <w:p>
            <w:pPr>
              <w:pStyle w:val="BodyText"/>
              <w:spacing w:before="0" w:after="0"/>
              <w:ind w:firstLine="311" w:left="0" w:right="0"/>
              <w:jc w:val="both"/>
              <w:rPr/>
            </w:pPr>
            <w:r>
              <w:rPr>
                <w:color w:val="000000"/>
                <w:sz w:val="24"/>
              </w:rPr>
              <w:t>Участок имеет возможность присоединения к автомобильной дороге по ул. Кизеловской.</w:t>
            </w:r>
          </w:p>
          <w:p>
            <w:pPr>
              <w:pStyle w:val="BodyText"/>
              <w:spacing w:before="0" w:after="0"/>
              <w:ind w:firstLine="311" w:left="0" w:right="0"/>
              <w:jc w:val="both"/>
              <w:rPr/>
            </w:pPr>
            <w:r>
              <w:rPr>
                <w:color w:val="000000"/>
                <w:sz w:val="24"/>
              </w:rPr>
              <w:t>Бюджетом города Перми</w:t>
            </w:r>
            <w:r>
              <w:rPr>
                <w:color w:val="000000"/>
              </w:rPr>
              <w:t xml:space="preserve"> </w:t>
            </w:r>
            <w:r>
              <w:rPr>
                <w:color w:val="000000"/>
                <w:sz w:val="24"/>
              </w:rPr>
              <w:t>на 2024 год и плановый период 2025-2026 годов мероприятия по строительству, реконструкции, капитальному ремонту улично-дорожной сети на Участке не предусмотрены.</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BodyText"/>
              <w:spacing w:before="0" w:after="0"/>
              <w:ind w:firstLine="311" w:left="0" w:right="0"/>
              <w:jc w:val="both"/>
              <w:rPr/>
            </w:pPr>
            <w:r>
              <w:rPr>
                <w:color w:val="000000"/>
                <w:sz w:val="24"/>
              </w:rPr>
              <w:t>Также направляется информация о необходимости соблюдения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BodyText"/>
              <w:spacing w:before="0" w:after="0"/>
              <w:ind w:firstLine="311" w:left="0" w:right="0"/>
              <w:jc w:val="both"/>
              <w:rPr/>
            </w:pPr>
            <w:r>
              <w:rPr>
                <w:color w:val="000000"/>
                <w:sz w:val="24"/>
              </w:rPr>
              <w:t>В соответствии с Федеральным законом от 08.11.2007 № 257, расходы на строительства,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осуществляется строительство, реконструкция, капитальный ремонт, ремонт пересечений или примыканий.</w:t>
            </w:r>
          </w:p>
          <w:p>
            <w:pPr>
              <w:pStyle w:val="BodyText"/>
              <w:spacing w:before="0" w:after="0"/>
              <w:ind w:firstLine="41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дорог и благоустройства администрации города Перми</w:t>
            </w:r>
            <w:r>
              <w:rPr>
                <w:color w:val="000000"/>
                <w:sz w:val="24"/>
              </w:rPr>
              <w:t xml:space="preserve">  от 16.01.2024 № 059-24-01-36/3-82).</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412" w:left="0" w:right="0"/>
              <w:jc w:val="both"/>
              <w:rPr/>
            </w:pPr>
            <w:r>
              <w:rPr>
                <w:color w:val="000000"/>
                <w:sz w:val="24"/>
              </w:rPr>
              <w:t>Ближайшее подразделение пожарной охраны расположено по адресу: ул. Волховская, 37 (ПСЧ-7 10-ПСО);</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данном микрорайоне (Гарцы) отсутствуют. Ближайший участковый пункт расположен по адресу: г. Пермь, ул. Переулок Талицкий, д. 8, (микрорайон Кислотные Дачи,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На указанной территории имеется следующий источник противопожарного водоснабжения: (пожарный водоём), расположенный по улице Новогодняя, 11 – в радиусе 200 метров.</w:t>
            </w:r>
          </w:p>
          <w:p>
            <w:pPr>
              <w:pStyle w:val="BodyText"/>
              <w:spacing w:before="0" w:after="0"/>
              <w:ind w:firstLine="311" w:left="0" w:right="0"/>
              <w:jc w:val="both"/>
              <w:rPr/>
            </w:pPr>
            <w:r>
              <w:rPr>
                <w:color w:val="000000"/>
                <w:sz w:val="24"/>
              </w:rPr>
              <w:t>По информации, предоставленной Министерством территориальной безопасности Пермского края, рассматриваемая территория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Данная территория находится в зоне действия региональной автоматизированной системы централизованного оповещения населения города Перми, установленной по ул. 1-й Еловский переулок, д. 22, – 600 метров.</w:t>
            </w:r>
          </w:p>
          <w:p>
            <w:pPr>
              <w:pStyle w:val="BodyText"/>
              <w:spacing w:before="0" w:after="0"/>
              <w:ind w:firstLine="412" w:left="0" w:right="0"/>
              <w:jc w:val="both"/>
              <w:rPr/>
            </w:pPr>
            <w:r>
              <w:rPr>
                <w:color w:val="000000"/>
                <w:sz w:val="24"/>
                <w:szCs w:val="24"/>
              </w:rPr>
              <w:t>(Аналогичная информация отражена в письме</w:t>
            </w:r>
            <w:r>
              <w:rPr>
                <w:color w:val="000000"/>
              </w:rPr>
              <w:t xml:space="preserve">  </w:t>
            </w:r>
            <w:r>
              <w:rPr>
                <w:b/>
                <w:color w:val="000000"/>
                <w:sz w:val="24"/>
              </w:rPr>
              <w:t>департамента общественной безопасности администрации города Перми</w:t>
            </w:r>
            <w:r>
              <w:rPr>
                <w:color w:val="000000"/>
              </w:rPr>
              <w:t xml:space="preserve"> </w:t>
            </w:r>
            <w:r>
              <w:rPr>
                <w:color w:val="000000"/>
                <w:sz w:val="24"/>
              </w:rPr>
              <w:t xml:space="preserve">от 22.12.2023 </w:t>
            </w:r>
            <w:r>
              <w:rPr>
                <w:color w:val="000000"/>
              </w:rPr>
              <w:t xml:space="preserve">№ </w:t>
            </w:r>
            <w:r>
              <w:rPr>
                <w:color w:val="000000"/>
                <w:sz w:val="24"/>
              </w:rPr>
              <w:t>059-10-01-27/3-2090).</w:t>
            </w:r>
          </w:p>
        </w:tc>
      </w:tr>
      <w:tr>
        <w:trPr>
          <w:trHeight w:val="2262"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360" w:left="720" w:right="10"/>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rPr>
            </w:pPr>
            <w:r>
              <w:rPr>
                <w:sz w:val="24"/>
                <w:szCs w:val="24"/>
              </w:rPr>
            </w:r>
          </w:p>
          <w:p>
            <w:pPr>
              <w:pStyle w:val="Normal"/>
              <w:ind w:firstLine="312"/>
              <w:jc w:val="both"/>
              <w:rPr>
                <w:sz w:val="24"/>
                <w:szCs w:val="24"/>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tabs>
                <w:tab w:val="clear" w:pos="708"/>
                <w:tab w:val="right" w:pos="6000" w:leader="none"/>
              </w:tabs>
              <w:ind w:firstLine="362"/>
              <w:jc w:val="both"/>
              <w:rPr>
                <w:sz w:val="24"/>
                <w:szCs w:val="24"/>
              </w:rPr>
            </w:pPr>
            <w:r>
              <w:rPr>
                <w:sz w:val="24"/>
                <w:szCs w:val="24"/>
              </w:rPr>
            </w:r>
          </w:p>
          <w:p>
            <w:pPr>
              <w:pStyle w:val="BodyText"/>
              <w:tabs>
                <w:tab w:val="clear" w:pos="708"/>
                <w:tab w:val="right" w:pos="6000" w:leader="none"/>
              </w:tabs>
              <w:ind w:firstLine="362"/>
              <w:jc w:val="both"/>
              <w:rPr>
                <w:sz w:val="24"/>
                <w:szCs w:val="24"/>
              </w:rPr>
            </w:pPr>
            <w:r>
              <w:rPr>
                <w:color w:val="000000"/>
                <w:sz w:val="24"/>
                <w:szCs w:val="24"/>
              </w:rPr>
              <w:t xml:space="preserve">Проектирование и строительство необходимо вести </w:t>
              <w:br/>
              <w:t xml:space="preserve">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w:t>
              <w:br/>
              <w:t>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xml:space="preserve"> </w:t>
            </w:r>
            <w:r>
              <w:rPr>
                <w:color w:val="000000"/>
                <w:sz w:val="24"/>
              </w:rPr>
              <w:t>(на двух человек - 10 м2); кухни - 8 м2; кухонной зоны в кухне-столовой - 6 м2.</w:t>
            </w:r>
            <w:r>
              <w:rPr>
                <w:color w:val="000000"/>
              </w:rPr>
              <w:t> </w:t>
            </w:r>
            <w:r>
              <w:rPr>
                <w:color w:val="000000"/>
                <w:sz w:val="24"/>
              </w:rPr>
              <w:t> В домах с одной комнатой допускается проектировать кухни или кухни-ниши площадью не менее 5 м2.</w:t>
            </w:r>
            <w:r>
              <w:rPr>
                <w:color w:val="000000"/>
              </w:rPr>
              <w:t> </w:t>
            </w: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 не менее</w:t>
            </w:r>
            <w:r>
              <w:rPr>
                <w:color w:val="000000"/>
              </w:rPr>
              <w:t> </w:t>
            </w:r>
            <w:r>
              <w:rPr>
                <w:color w:val="000000"/>
                <w:sz w:val="24"/>
              </w:rPr>
              <w:t>2,2 м.</w:t>
            </w:r>
          </w:p>
          <w:p>
            <w:pPr>
              <w:pStyle w:val="BodyText"/>
              <w:spacing w:before="0" w:after="0"/>
              <w:ind w:firstLine="311" w:left="0" w:right="0"/>
              <w:jc w:val="both"/>
              <w:rPr/>
            </w:pPr>
            <w:r>
              <w:rPr>
                <w:color w:val="000000"/>
                <w:sz w:val="24"/>
              </w:rPr>
              <w:t xml:space="preserve">В жилых комнатах и кухнях, расположенных в этажах </w:t>
              <w:br/>
              <w:t>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Согласно информации, содержащейся в градостроительном плане земельного участка от 19.01.2024 № РФ-59-2-03-0-00-2024-0056-0 (далее – ГПЗУ), предельная высота зданий, строений не более 10,5 м (документация по планировке территории, утвержденная постановлением администрации города Перми от 23.12.2015 № 1102).</w:t>
            </w:r>
          </w:p>
          <w:p>
            <w:pPr>
              <w:pStyle w:val="BodyText"/>
              <w:spacing w:before="0" w:after="0"/>
              <w:ind w:firstLine="311" w:left="0" w:right="0"/>
              <w:jc w:val="both"/>
              <w:rPr/>
            </w:pPr>
            <w:r>
              <w:rPr>
                <w:color w:val="000000"/>
                <w:sz w:val="24"/>
              </w:rPr>
              <w:t xml:space="preserve">Минимальный отступ от границ земельного участка </w:t>
              <w:br/>
              <w:t xml:space="preserve"> до места допустимого размещения зданий, строений, сооружений (за исключением границ со стороны территории общего пользования, где отступ определяется </w:t>
              <w:br/>
              <w:t>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11" w:left="0" w:right="0"/>
              <w:jc w:val="both"/>
              <w:rPr/>
            </w:pPr>
            <w:r>
              <w:rPr>
                <w:color w:val="000000"/>
                <w:sz w:val="24"/>
              </w:rPr>
              <w:t xml:space="preserve">Максимальный выступ за красную линию нависающих частей здания наземных уровней, выступающих </w:t>
              <w:br/>
              <w:t xml:space="preserve"> из плоскости наружной стены фасада здания на высоте </w:t>
              <w:br/>
              <w:t xml:space="preserve"> не менее 4,5 м над территорией общего пользования, составляет не более 1,2 м от красной линии. В случаях, когда линия регулирования застройки отличается </w:t>
              <w:br/>
              <w:t>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11"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spacing w:before="0" w:after="0"/>
              <w:ind w:firstLine="362" w:left="0" w:right="0"/>
              <w:jc w:val="both"/>
              <w:rPr>
                <w:rFonts w:ascii="Times New Roman" w:hAnsi="Times New Roman"/>
                <w:color w:val="000000"/>
              </w:rPr>
            </w:pPr>
            <w:r>
              <w:rPr>
                <w:color w:val="000000"/>
              </w:rPr>
            </w:r>
          </w:p>
        </w:tc>
      </w:tr>
      <w:tr>
        <w:trPr>
          <w:trHeight w:val="144" w:hRule="atLeast"/>
        </w:trPr>
        <w:tc>
          <w:tcPr>
            <w:tcW w:w="345"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0"/>
              </w:rPr>
            </w:pPr>
            <w:r>
              <w:rPr>
                <w:sz w:val="20"/>
              </w:rPr>
            </w:r>
          </w:p>
        </w:tc>
        <w:tc>
          <w:tcPr>
            <w:tcW w:w="3275"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84" w:left="529"/>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301"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официальном сайте муниципального образования город Пермь в информационно-телекоммуникационной сети Интернет </w:t>
            </w:r>
            <w:hyperlink r:id="rId10">
              <w:r>
                <w:rPr>
                  <w:rStyle w:val="Hyperlink"/>
                  <w:sz w:val="24"/>
                  <w:szCs w:val="24"/>
                </w:rPr>
                <w:t>www.gorodperm.ru</w:t>
              </w:r>
            </w:hyperlink>
            <w:r>
              <w:rPr>
                <w:sz w:val="24"/>
                <w:szCs w:val="24"/>
              </w:rPr>
              <w:t>.</w:t>
            </w:r>
          </w:p>
          <w:p>
            <w:pPr>
              <w:pStyle w:val="Normal"/>
              <w:ind w:firstLine="312"/>
              <w:jc w:val="both"/>
              <w:rPr>
                <w:sz w:val="24"/>
                <w:szCs w:val="24"/>
                <w:highlight w:val="none"/>
              </w:rPr>
            </w:pPr>
            <w:r>
              <w:rPr>
                <w:sz w:val="24"/>
                <w:szCs w:val="24"/>
              </w:rPr>
            </w:r>
          </w:p>
          <w:p>
            <w:pPr>
              <w:pStyle w:val="BodyText"/>
              <w:ind w:firstLine="312"/>
              <w:jc w:val="both"/>
              <w:rPr>
                <w:sz w:val="24"/>
                <w:szCs w:val="24"/>
                <w:highlight w:val="none"/>
              </w:rPr>
            </w:pPr>
            <w:r>
              <w:rPr>
                <w:b w:val="false"/>
                <w:bCs w:val="false"/>
                <w:color w:val="000000"/>
                <w:sz w:val="24"/>
                <w:szCs w:val="24"/>
                <w:highlight w:val="white"/>
              </w:rPr>
              <w:t xml:space="preserve">О </w:t>
            </w:r>
            <w:r>
              <w:rPr>
                <w:color w:val="000000"/>
                <w:sz w:val="24"/>
                <w:szCs w:val="24"/>
                <w:highlight w:val="white"/>
              </w:rPr>
              <w:t xml:space="preserve">наличии технической возможности технологического присоединения энергопринимающего устройства объекта </w:t>
              <w:br/>
              <w:t> с предполагаемым электоропотреблением 15 кВт, сообщается следующее.</w:t>
            </w:r>
          </w:p>
          <w:p>
            <w:pPr>
              <w:pStyle w:val="BodyText"/>
              <w:spacing w:before="0" w:after="0"/>
              <w:ind w:firstLine="311" w:left="0" w:right="0"/>
              <w:jc w:val="both"/>
              <w:rPr/>
            </w:pP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27.12.2004 № 861 (далее – Правила), конкретные технические условия </w:t>
              <w:br/>
              <w:t> на энергосбережение объекта разрабатываются в составе договора о технологическом присоединении.</w:t>
            </w:r>
          </w:p>
          <w:p>
            <w:pPr>
              <w:pStyle w:val="BodyText"/>
              <w:spacing w:before="0" w:after="0"/>
              <w:ind w:firstLine="311" w:left="0" w:right="0"/>
              <w:jc w:val="both"/>
              <w:rPr/>
            </w:pPr>
            <w:r>
              <w:rPr>
                <w:color w:val="000000"/>
                <w:sz w:val="24"/>
              </w:rPr>
              <w:t xml:space="preserve">Плата за технологическое присоединение энергопринимающих устройств устанавливается исходя </w:t>
              <w:br/>
              <w:t> из стоимости мероприятий по технологическому присоединению, размер платы определяется</w:t>
            </w:r>
            <w:r>
              <w:rPr>
                <w:color w:val="FF0000"/>
              </w:rPr>
              <w:t xml:space="preserve"> </w:t>
            </w:r>
            <w:r>
              <w:rPr>
                <w:color w:val="FF0000"/>
                <w:sz w:val="24"/>
              </w:rPr>
              <w:br/>
              <w:t> </w:t>
            </w:r>
            <w:r>
              <w:rPr>
                <w:color w:val="000000"/>
                <w:sz w:val="24"/>
              </w:rPr>
              <w:t>по утвержденным тарифам согласно постановлению Министерства тарифного регулирования и энергетики Пермского края от 23.11.2023 № 121-тп (в последней редакции).</w:t>
            </w:r>
          </w:p>
          <w:p>
            <w:pPr>
              <w:pStyle w:val="BodyText"/>
              <w:spacing w:before="0" w:after="0"/>
              <w:ind w:firstLine="311" w:left="0" w:right="0"/>
              <w:jc w:val="both"/>
              <w:rPr/>
            </w:pPr>
            <w:r>
              <w:rPr>
                <w:color w:val="000000"/>
                <w:sz w:val="24"/>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 об осуществлении технологического присоединения объекта к электрическим сетям филиала «Пермэнерго».</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szCs w:val="24"/>
                <w:highlight w:val="white"/>
              </w:rPr>
              <w:t xml:space="preserve">Филиала ПАО «Россети Урал» - «Пермэнерго» </w:t>
            </w:r>
            <w:r>
              <w:rPr>
                <w:color w:val="000000"/>
                <w:sz w:val="24"/>
                <w:szCs w:val="24"/>
                <w:highlight w:val="white"/>
              </w:rPr>
              <w:t>(ранее – ОАО «МРСК Урала – филиал Пермэнерго») от 24.10.2024 № ПЭ/ПГЭС/01/22/11598).</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 м3/час к существующим сетям газораспределения имеется.</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29.12.2023 № ПФ-8779).</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1" w:left="0" w:right="0"/>
              <w:jc w:val="both"/>
              <w:rPr/>
            </w:pPr>
            <w:r>
              <w:rPr>
                <w:color w:val="000000"/>
                <w:sz w:val="24"/>
              </w:rPr>
              <w:t>Ближайший точкой подключения к сетям водоснабжения эксплуатируемой ООО «НОВОГОР-Прикамье» является водовод Д-1000 мм по ул. Чапаева.</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10.01.2024 № 110-0083).</w:t>
            </w:r>
          </w:p>
          <w:p>
            <w:pPr>
              <w:pStyle w:val="BodyText"/>
              <w:spacing w:before="0" w:after="0"/>
              <w:ind w:firstLine="41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возможности технологического присоединения к системе теплоснабжения объекта сообщается, что возможность имеется. Возможные точки присоединения на существующих тепловых сетях: К-18 на М-72 2Ду100мм. Источник теплоснабжения: ВК по адресу: г. Пермь, ул. Чапаева, 6.</w:t>
            </w:r>
          </w:p>
          <w:p>
            <w:pPr>
              <w:pStyle w:val="BodyText"/>
              <w:spacing w:before="0" w:after="0"/>
              <w:ind w:firstLine="311" w:left="0" w:right="0"/>
              <w:jc w:val="both"/>
              <w:rPr/>
            </w:pPr>
            <w:r>
              <w:rPr>
                <w:color w:val="000000"/>
                <w:sz w:val="24"/>
              </w:rPr>
              <w:t>Уточнение объема и перечня необходимых мероприятий для подключения объекта к системе теплоснабжения возможно после подачи заявки и предоставления полного пакета документов для заключения договора о подключении (технологическом присоединении).</w:t>
            </w:r>
          </w:p>
          <w:p>
            <w:pPr>
              <w:pStyle w:val="BodyText"/>
              <w:spacing w:before="0" w:after="0"/>
              <w:ind w:firstLine="311" w:left="0" w:right="0"/>
              <w:jc w:val="both"/>
              <w:rPr/>
            </w:pPr>
            <w:r>
              <w:rPr>
                <w:color w:val="000000"/>
                <w:sz w:val="24"/>
              </w:rPr>
              <w:t xml:space="preserve"> </w:t>
            </w:r>
            <w:r>
              <w:rPr>
                <w:color w:val="000000"/>
                <w:sz w:val="24"/>
              </w:rPr>
              <w:t xml:space="preserve">(Аналогичная информация отражена в письме  </w:t>
            </w:r>
            <w:r>
              <w:rPr>
                <w:b/>
                <w:color w:val="000000"/>
                <w:sz w:val="24"/>
              </w:rPr>
              <w:t>Филиала «Пермский ПАО «Т Плюс»</w:t>
            </w:r>
            <w:r>
              <w:rPr>
                <w:color w:val="000000"/>
                <w:sz w:val="24"/>
              </w:rPr>
              <w:t xml:space="preserve"> от 29.12.2023 № 51030-01-09539).</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Техническое присоединение планируемых к строительству объектов в границах Участка может быть произведено в точке подключения -</w:t>
            </w:r>
            <w:r>
              <w:rPr>
                <w:color w:val="000000"/>
              </w:rPr>
              <w:t xml:space="preserve"> </w:t>
            </w:r>
            <w:r>
              <w:rPr>
                <w:color w:val="000000"/>
                <w:sz w:val="24"/>
              </w:rPr>
              <w:t>узел ВОЛС (г. Пермь, ул. Кронита, д. 8),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11" w:left="0" w:right="0"/>
              <w:jc w:val="both"/>
              <w:rPr/>
            </w:pPr>
            <w:r>
              <w:rPr>
                <w:color w:val="000000"/>
                <w:sz w:val="24"/>
              </w:rPr>
              <w:t xml:space="preserve">Для подключения (технологического присоединения) вышеуказанных объектов к сетям электросвязи </w:t>
              <w:br/>
              <w:t xml:space="preserve"> ПАО «Ростелеком» необходим запрос правообладателя земельного участка на выдачу технических условий подключения или заявки о заключении договора </w:t>
              <w:br/>
              <w:t> о подключении в порядке, определенном действующим законодательством.</w:t>
            </w:r>
          </w:p>
          <w:p>
            <w:pPr>
              <w:pStyle w:val="BodyText"/>
              <w:spacing w:before="0" w:after="0"/>
              <w:ind w:firstLine="41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21.03.2024 № 01/05/38428/24).</w:t>
            </w:r>
          </w:p>
          <w:p>
            <w:pPr>
              <w:pStyle w:val="BodyText"/>
              <w:ind w:hanging="0"/>
              <w:jc w:val="both"/>
              <w:rPr>
                <w:sz w:val="24"/>
                <w:szCs w:val="24"/>
              </w:rPr>
            </w:pPr>
            <w:r>
              <w:rPr>
                <w:sz w:val="24"/>
                <w:szCs w:val="24"/>
              </w:rPr>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Начальная цена предмета аукциона</w:t>
            </w:r>
          </w:p>
          <w:p>
            <w:pPr>
              <w:pStyle w:val="Normal"/>
              <w:ind w:right="-263"/>
              <w:rPr>
                <w:b/>
                <w:sz w:val="24"/>
                <w:szCs w:val="24"/>
              </w:rPr>
            </w:pPr>
            <w:r>
              <w:rPr>
                <w:b/>
                <w:sz w:val="24"/>
                <w:szCs w:val="24"/>
              </w:rPr>
              <w:t>(рыночная стоимость земельного участка)</w:t>
            </w:r>
          </w:p>
          <w:p>
            <w:pPr>
              <w:pStyle w:val="Normal"/>
              <w:ind w:right="-263"/>
              <w:rPr>
                <w:b/>
                <w:sz w:val="24"/>
                <w:szCs w:val="24"/>
              </w:rPr>
            </w:pPr>
            <w:r>
              <w:rPr>
                <w:b/>
                <w:sz w:val="24"/>
                <w:szCs w:val="24"/>
              </w:rPr>
            </w:r>
          </w:p>
          <w:p>
            <w:pPr>
              <w:pStyle w:val="Normal"/>
              <w:rPr>
                <w:sz w:val="24"/>
                <w:szCs w:val="24"/>
              </w:rPr>
            </w:pPr>
            <w:r>
              <w:rPr>
                <w:sz w:val="24"/>
                <w:szCs w:val="24"/>
              </w:rPr>
              <w:t>Победитель аукциона, иное лицо, с которым договор заключается в соответствии с п.13, п.14 или п. 20</w:t>
            </w:r>
          </w:p>
          <w:p>
            <w:pPr>
              <w:pStyle w:val="Normal"/>
              <w:rPr>
                <w:sz w:val="24"/>
                <w:szCs w:val="24"/>
              </w:rPr>
            </w:pPr>
            <w:r>
              <w:rPr>
                <w:sz w:val="24"/>
                <w:szCs w:val="24"/>
              </w:rPr>
              <w:t xml:space="preserve">ст. 39.12 Земельного Кодекса Российской Федерации (далее – ЗК РФ), обязан </w:t>
            </w:r>
            <w:r>
              <w:rPr>
                <w:b/>
                <w:sz w:val="24"/>
                <w:szCs w:val="24"/>
              </w:rPr>
              <w:t>в течение 15 дней</w:t>
            </w:r>
            <w:r>
              <w:rPr>
                <w:sz w:val="24"/>
                <w:szCs w:val="24"/>
              </w:rPr>
              <w:t xml:space="preserve"> со дня размещения  протокола о результатах аукциона, а в случаях, определенных п.13, п.14, ст. 39.12 ЗК РФ, протокола рассмотрения заявок, </w:t>
            </w:r>
            <w:r>
              <w:rPr>
                <w:b/>
                <w:sz w:val="24"/>
                <w:szCs w:val="24"/>
              </w:rPr>
              <w:t xml:space="preserve">перечислить денежные средства </w:t>
            </w:r>
            <w:r>
              <w:rPr>
                <w:sz w:val="24"/>
                <w:szCs w:val="24"/>
              </w:rPr>
              <w:t>за земельный участок (за вычетом задатка, внесенного для участия в аукционе) на счет департамента земельных отношений администрации города Перми, 614015, ул. Сибирская,15, тел. 212-61-90 (отдел договоров)</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913 000 руб.</w:t>
            </w:r>
          </w:p>
        </w:tc>
      </w:tr>
      <w:tr>
        <w:trPr>
          <w:trHeight w:val="225"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«Шаг аукциона» (3% от начальной цены)</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27 390 руб.</w:t>
            </w:r>
          </w:p>
        </w:tc>
      </w:tr>
      <w:tr>
        <w:trPr>
          <w:trHeight w:val="416"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Форма заявки на участие в аукционе</w:t>
            </w:r>
          </w:p>
          <w:p>
            <w:pPr>
              <w:pStyle w:val="Normal"/>
              <w:ind w:right="-263"/>
              <w:rPr>
                <w:sz w:val="24"/>
                <w:szCs w:val="24"/>
              </w:rPr>
            </w:pPr>
            <w:r>
              <w:rPr>
                <w:sz w:val="24"/>
                <w:szCs w:val="24"/>
              </w:rPr>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Форма заявки размещена на сайтах www.torgi.gov.ru, www.gorodperm.ru (раздел Деятельность/ Муниципальная собственность/ 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и принимается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sz w:val="24"/>
                <w:szCs w:val="24"/>
              </w:rPr>
            </w:pPr>
            <w:r>
              <w:rPr>
                <w:b/>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236"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456 500 руб.</w:t>
            </w:r>
          </w:p>
          <w:p>
            <w:pPr>
              <w:pStyle w:val="Normal"/>
              <w:jc w:val="both"/>
              <w:rPr>
                <w:sz w:val="24"/>
                <w:szCs w:val="24"/>
              </w:rPr>
            </w:pPr>
            <w:r>
              <w:rPr>
                <w:sz w:val="24"/>
                <w:szCs w:val="24"/>
              </w:rPr>
            </w:r>
          </w:p>
        </w:tc>
      </w:tr>
      <w:tr>
        <w:trPr>
          <w:trHeight w:val="1884"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3275" w:type="dxa"/>
            <w:tcBorders>
              <w:top w:val="single" w:sz="4" w:space="0" w:color="000000"/>
              <w:left w:val="single" w:sz="4" w:space="0" w:color="000000"/>
              <w:bottom w:val="single" w:sz="4" w:space="0" w:color="000000"/>
              <w:right w:val="single" w:sz="4" w:space="0" w:color="000000"/>
            </w:tcBorders>
          </w:tcPr>
          <w:p>
            <w:pPr>
              <w:pStyle w:val="Normal"/>
              <w:ind w:hanging="0" w:left="0" w:right="10"/>
              <w:rPr>
                <w:sz w:val="24"/>
                <w:szCs w:val="24"/>
              </w:rPr>
            </w:pPr>
            <w:r>
              <w:rPr>
                <w:sz w:val="24"/>
                <w:szCs w:val="24"/>
              </w:rPr>
              <w:t>Проект договора купли-продажи земельного участка</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eastAsia="en-US"/>
              </w:rPr>
              <w:t xml:space="preserve">Проект договора купли-продажи земельного участка, приобретаемого на торгах в форме аукциона, утвержден постановлением администрации города Перми от 29.05.2015 № 322, является Приложением 3 к настоящему извещению  и </w:t>
            </w:r>
            <w:r>
              <w:rPr>
                <w:sz w:val="24"/>
                <w:szCs w:val="24"/>
                <w:lang w:val="en-US" w:eastAsia="en-US"/>
              </w:rPr>
              <w:t xml:space="preserve">размещен на сайтах www.torgi.gov.ru, www.gorodperm.ru (раздел Деятельность/ </w:t>
              <w:br/>
              <w:t>Муниципальная собственность/ Торговая площадка</w:t>
              <w:br/>
              <w:t>Вид торгов Продажа и аренда земельных участков)</w:t>
            </w:r>
          </w:p>
        </w:tc>
      </w:tr>
      <w:tr>
        <w:trPr>
          <w:trHeight w:val="144" w:hRule="atLeast"/>
        </w:trPr>
        <w:tc>
          <w:tcPr>
            <w:tcW w:w="345"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3275"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301"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widowControl w:val="false"/>
        <w:spacing w:before="0" w:after="0"/>
        <w:contextualSpacing/>
        <w:rPr>
          <w:rFonts w:eastAsia="Courier New"/>
          <w:b/>
          <w:bCs/>
          <w:sz w:val="24"/>
          <w:szCs w:val="24"/>
          <w:highlight w:val="none"/>
        </w:rPr>
      </w:pPr>
      <w:r>
        <w:rPr>
          <w:rFonts w:eastAsia="Courier New"/>
          <w:b/>
          <w:bCs/>
          <w:sz w:val="24"/>
          <w:szCs w:val="24"/>
        </w:rPr>
      </w:r>
    </w:p>
    <w:p>
      <w:pPr>
        <w:pStyle w:val="Normal"/>
        <w:tabs>
          <w:tab w:val="clear" w:pos="708"/>
          <w:tab w:val="left" w:pos="5103" w:leader="none"/>
        </w:tabs>
        <w:ind w:right="-263"/>
        <w:rPr>
          <w:sz w:val="20"/>
          <w:szCs w:val="20"/>
          <w:highlight w:val="none"/>
        </w:rPr>
      </w:pPr>
      <w:r>
        <w:rPr>
          <w:sz w:val="20"/>
          <w:szCs w:val="20"/>
        </w:rPr>
      </w:r>
      <w:bookmarkStart w:id="0" w:name="_GoBack"/>
      <w:bookmarkStart w:id="1" w:name="_GoBack"/>
      <w:bookmarkEnd w:id="1"/>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21.01.2025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18.02.2025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19.02.2025.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20.02</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1"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21.01.2025 по 18.02.2025.</w:t>
      </w:r>
    </w:p>
    <w:p>
      <w:pPr>
        <w:pStyle w:val="Normal"/>
        <w:widowControl w:val="false"/>
        <w:ind w:hanging="0"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Организатор аукциона посредством штатного интерфейса торговой секции 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21.01.2025 по 18.02.2025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Проекты договоров являются частью извещения и представлены в Приложениях 2-3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2"/>
      <w:headerReference w:type="first" r:id="rId13"/>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sz w:val="28"/>
        <w:szCs w:val="28"/>
      </w:rPr>
      <w:fldChar w:fldCharType="begin"/>
    </w:r>
    <w:r>
      <w:rPr>
        <w:sz w:val="28"/>
        <w:szCs w:val="28"/>
      </w:rPr>
      <w:instrText xml:space="preserve"> PAGE </w:instrText>
    </w:r>
    <w:r>
      <w:rPr>
        <w:sz w:val="28"/>
        <w:szCs w:val="28"/>
      </w:rPr>
      <w:fldChar w:fldCharType="separate"/>
    </w:r>
    <w:r>
      <w:rPr>
        <w:sz w:val="28"/>
        <w:szCs w:val="28"/>
      </w:rPr>
      <w:t>25</w:t>
    </w:r>
    <w:r>
      <w:rPr>
        <w:sz w:val="28"/>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360"/>
        </w:tabs>
        <w:ind w:left="36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3">
    <w:lvl w:ilvl="0">
      <w:start w:val="1"/>
      <w:numFmt w:val="bullet"/>
      <w:lvlText w:val=""/>
      <w:lvlJc w:val="left"/>
      <w:pPr>
        <w:tabs>
          <w:tab w:val="num" w:pos="0"/>
        </w:tabs>
        <w:ind w:left="720" w:hanging="360"/>
      </w:pPr>
      <w:rPr>
        <w:rFonts w:ascii="Symbol" w:hAnsi="Symbol" w:cs="Symbol" w:hint="default"/>
        <w:sz w:val="24"/>
        <w:u w:val="none"/>
        <w:szCs w:val="24"/>
        <w:color w:val="000000"/>
      </w:rPr>
    </w:lvl>
    <w:lvl w:ilvl="1">
      <w:start w:val="1"/>
      <w:numFmt w:val="decimal"/>
      <w:lvlText w:val="%2."/>
      <w:lvlJc w:val="left"/>
      <w:pPr>
        <w:tabs>
          <w:tab w:val="num" w:pos="360"/>
        </w:tabs>
        <w:ind w:left="360" w:hanging="360"/>
      </w:pPr>
      <w:rPr>
        <w:sz w:val="24"/>
        <w:u w:val="none"/>
        <w:szCs w:val="24"/>
        <w:color w:val="000000"/>
        <w:lang w:val="ru-RU"/>
      </w:rPr>
    </w:lvl>
    <w:lvl w:ilvl="2">
      <w:start w:val="1"/>
      <w:numFmt w:val="decimal"/>
      <w:lvlText w:val="%3."/>
      <w:lvlJc w:val="left"/>
      <w:pPr>
        <w:tabs>
          <w:tab w:val="num" w:pos="2160"/>
        </w:tabs>
        <w:ind w:left="2160" w:hanging="360"/>
      </w:pPr>
      <w:rPr>
        <w:sz w:val="24"/>
        <w:szCs w:val="24"/>
      </w:rPr>
    </w:lvl>
    <w:lvl w:ilvl="3">
      <w:start w:val="1"/>
      <w:numFmt w:val="decimal"/>
      <w:lvlText w:val="%4."/>
      <w:lvlJc w:val="left"/>
      <w:pPr>
        <w:tabs>
          <w:tab w:val="num" w:pos="2880"/>
        </w:tabs>
        <w:ind w:left="2880" w:hanging="360"/>
      </w:pPr>
      <w:rPr>
        <w:sz w:val="24"/>
        <w:szCs w:val="24"/>
        <w:lang w:val="ru-RU"/>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rFonts w:eastAsia="Courier New"/>
        <w:lang w:bidi="ru-RU"/>
      </w:rPr>
    </w:lvl>
    <w:lvl w:ilvl="6">
      <w:start w:val="1"/>
      <w:numFmt w:val="decimal"/>
      <w:lvlText w:val="%7."/>
      <w:lvlJc w:val="left"/>
      <w:pPr>
        <w:tabs>
          <w:tab w:val="num" w:pos="5040"/>
        </w:tabs>
        <w:ind w:left="5040" w:hanging="360"/>
      </w:pPr>
      <w:rPr>
        <w:rFonts w:eastAsia="Calibri"/>
        <w:lang w:eastAsia="en-US"/>
      </w:rPr>
    </w:lvl>
    <w:lvl w:ilvl="7">
      <w:start w:val="1"/>
      <w:numFmt w:val="decimal"/>
      <w:lvlText w:val="%8."/>
      <w:lvlJc w:val="left"/>
      <w:pPr>
        <w:tabs>
          <w:tab w:val="num" w:pos="5760"/>
        </w:tabs>
        <w:ind w:left="5760" w:hanging="360"/>
      </w:pPr>
      <w:rPr>
        <w:bCs/>
        <w:lang w:eastAsia="en-US" w:bidi="ru-RU"/>
      </w:rPr>
    </w:lvl>
    <w:lvl w:ilvl="8">
      <w:start w:val="1"/>
      <w:numFmt w:val="decimal"/>
      <w:lvlText w:val="%9."/>
      <w:lvlJc w:val="left"/>
      <w:pPr>
        <w:tabs>
          <w:tab w:val="num" w:pos="6480"/>
        </w:tabs>
        <w:ind w:left="6480" w:hanging="360"/>
      </w:pPr>
      <w:rPr>
        <w:b/>
        <w:bCs/>
        <w:lang w:bidi="ru-RU"/>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DefaultParagraphFont" w:default="1">
    <w:name w:val="Default Paragraph Font"/>
    <w:uiPriority w:val="1"/>
    <w:semiHidden/>
    <w:unhideWhenUsed/>
    <w:qFormat/>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Style17" w:customStyle="1">
    <w:name w:val="Гиперссылка"/>
    <w:qFormat/>
    <w:rPr>
      <w:color w:val="0000FF"/>
      <w:u w:val="single"/>
    </w:rPr>
  </w:style>
  <w:style w:type="character" w:styleId="Style18">
    <w:name w:val="Символ нумерации"/>
    <w:qFormat/>
    <w:rPr/>
  </w:style>
  <w:style w:type="paragraph" w:styleId="Style19">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pPr>
      <w:jc w:val="right"/>
    </w:pPr>
    <w:rPr>
      <w:sz w:val="28"/>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rPr>
  </w:style>
  <w:style w:type="paragraph" w:styleId="Style20">
    <w:name w:val="Указатель"/>
    <w:basedOn w:val="Normal"/>
    <w:qFormat/>
    <w:pPr>
      <w:suppressLineNumbers/>
    </w:pPr>
    <w:rPr>
      <w:rFonts w:cs="Lohit Devanagari"/>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
    <w:name w:val="index heading1"/>
    <w:basedOn w:val="Normal"/>
    <w:qFormat/>
    <w:pPr>
      <w:suppressLineNumbers/>
    </w:pPr>
    <w:rPr>
      <w:rFonts w:cs="Lohit Devanagari"/>
    </w:rPr>
  </w:style>
  <w:style w:type="paragraph" w:styleId="Caption1" w:customStyle="1">
    <w:name w:val="Caption1"/>
    <w:basedOn w:val="Normal"/>
    <w:qFormat/>
    <w:pPr>
      <w:suppressLineNumbers/>
      <w:spacing w:before="120" w:after="120"/>
    </w:pPr>
    <w:rPr>
      <w:rFonts w:cs="Lohit Devanagari"/>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1"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2"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3" w:customStyle="1">
    <w:name w:val="Содержимое таблицы"/>
    <w:basedOn w:val="Normal"/>
    <w:qFormat/>
    <w:pPr>
      <w:widowControl w:val="false"/>
      <w:suppressLineNumbers/>
    </w:pPr>
    <w:rPr/>
  </w:style>
  <w:style w:type="paragraph" w:styleId="Style24" w:customStyle="1">
    <w:name w:val="Заголовок таблицы"/>
    <w:basedOn w:val="Style23"/>
    <w:qFormat/>
    <w:pPr>
      <w:jc w:val="center"/>
    </w:pPr>
    <w:rPr>
      <w:b/>
      <w:bCs/>
    </w:rPr>
  </w:style>
  <w:style w:type="numbering" w:styleId="NoList" w:default="1">
    <w:name w:val="No List"/>
    <w:uiPriority w:val="99"/>
    <w:semiHidden/>
    <w:unhideWhenUsed/>
    <w:qFormat/>
  </w:style>
  <w:style w:type="table" w:styleId="779">
    <w:name w:val="Table Grid"/>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80">
    <w:name w:val="Table Grid Light"/>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81">
    <w:name w:val="Plain Table 1"/>
    <w:uiPriority w:val="59"/>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blPr/>
      <w:tcPr>
        <w:shd w:val="clear" w:color="FFFFFF" w:fill="F2F2F2" w:themeFill="text1" w:themeFillTint="0"/>
      </w:tcPr>
    </w:tblStylePr>
    <w:tblStylePr w:type="band1Vert">
      <w:tblPr/>
      <w:tcPr>
        <w:shd w:val="clear" w:color="FFFFFF"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styleId="782">
    <w:name w:val="Plain Table 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styleId="783">
    <w:name w:val="Plain Table 3"/>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styleId="784">
    <w:name w:val="Plain Table 4"/>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styleId="785">
    <w:name w:val="Plain Table 5"/>
    <w:uiPriority w:val="99"/>
    <w:pPr>
      <w:spacing w:after="0" w:line="240" w:lineRule="auto"/>
    </w:pPr>
    <w:tblPr>
      <w:tblStyleRowBandSize w:val="1"/>
      <w:tblStyleColBandSize w:val="1"/>
    </w:tblPr>
    <w:tblStylePr w:type="band1Horz">
      <w:rPr>
        <w:sz w:val="22"/>
      </w:rPr>
      <w:tblPr/>
      <w:tcPr>
        <w:shd w:val="clear" w:color="FFFFFF" w:fill="F2F2F2" w:themeFill="text1" w:themeFillTint="0"/>
      </w:tcPr>
    </w:tblStylePr>
    <w:tblStylePr w:type="band1Vert">
      <w:rPr>
        <w:sz w:val="22"/>
      </w:rPr>
      <w:tblPr/>
      <w:tcPr>
        <w:shd w:val="clear" w:color="FFFFFF" w:fill="F2F2F2" w:themeFill="text1" w:themeFillTint="0"/>
      </w:tcPr>
    </w:tblStylePr>
    <w:tblStylePr w:type="firstCol">
      <w:pPr>
        <w:jc w:val="right"/>
      </w:pPr>
      <w:rPr>
        <w:i/>
      </w:rPr>
      <w:tblPr/>
      <w:tcPr>
        <w:tcBorders>
          <w:right w:val="single" w:color="404040" w:sz="4" w:space="0"/>
        </w:tcBorders>
        <w:shd w:val="clear" w:color="FFFFFF"/>
      </w:tcPr>
    </w:tblStylePr>
    <w:tblStylePr w:type="firstRow">
      <w:rPr>
        <w:i/>
      </w:rPr>
      <w:tblPr/>
      <w:tcPr>
        <w:tcBorders>
          <w:left w:val="none" w:color="000000" w:sz="4" w:space="0"/>
          <w:bottom w:val="single" w:color="404040" w:sz="4" w:space="0"/>
          <w:right w:val="none" w:color="000000" w:sz="4" w:space="0"/>
        </w:tcBorders>
        <w:shd w:val="clear" w:color="FFFFFF"/>
      </w:tcPr>
    </w:tblStylePr>
    <w:tblStylePr w:type="lastCol">
      <w:rPr>
        <w:i/>
      </w:rPr>
      <w:tblPr/>
      <w:tcPr>
        <w:tcBorders>
          <w:left w:val="single" w:color="404040" w:sz="4" w:space="0"/>
        </w:tcBorders>
        <w:shd w:val="clear" w:color="FFFFFF"/>
      </w:tcPr>
    </w:tblStylePr>
    <w:tblStylePr w:type="lastRow">
      <w:rPr>
        <w:i/>
      </w:rPr>
      <w:tblPr/>
      <w:tcPr>
        <w:tcBorders>
          <w:top w:val="single" w:color="404040" w:sz="4" w:space="0"/>
          <w:left w:val="none" w:color="000000" w:sz="4" w:space="0"/>
          <w:right w:val="none" w:color="000000" w:sz="4" w:space="0"/>
        </w:tcBorders>
        <w:shd w:val="clear" w:color="FFFFFF"/>
      </w:tcPr>
    </w:tblStylePr>
  </w:style>
  <w:style w:type="table" w:styleId="786">
    <w:name w:val="Grid Table 1 Light"/>
    <w:uiPriority w:val="99"/>
    <w:pPr>
      <w:spacing w:after="0" w:line="240" w:lineRule="auto"/>
    </w:pPr>
    <w:tblPr>
      <w:tblStyleRowBandSize w:val="1"/>
      <w:tblStyleColBandSize w:val="1"/>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styleId="787">
    <w:name w:val="Grid Table 1 Light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b/>
      </w:rPr>
      <w:tblPr/>
    </w:tblStylePr>
    <w:tblStylePr w:type="firstRow">
      <w:rPr>
        <w:b/>
      </w:rPr>
      <w:tblPr/>
      <w:tcPr>
        <w:tcBorders>
          <w:bottom w:val="single" w:color="000000" w:themeColor="accent1" w:sz="12" w:space="0"/>
        </w:tcBorders>
      </w:tcPr>
    </w:tblStylePr>
    <w:tblStylePr w:type="lastCol">
      <w:rPr>
        <w:b/>
      </w:rPr>
      <w:tblPr/>
    </w:tblStylePr>
    <w:tblStylePr w:type="lastRow">
      <w:rPr>
        <w:b/>
      </w:rPr>
      <w:tblPr/>
    </w:tblStylePr>
  </w:style>
  <w:style w:type="table" w:styleId="788">
    <w:name w:val="Grid Table 1 Light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b/>
      </w:rPr>
      <w:tblPr/>
    </w:tblStylePr>
    <w:tblStylePr w:type="firstRow">
      <w:rPr>
        <w:b/>
      </w:rPr>
      <w:tblPr/>
      <w:tcPr>
        <w:tcBorders>
          <w:bottom w:val="single" w:color="000000" w:themeColor="accent2" w:sz="12" w:space="0"/>
        </w:tcBorders>
      </w:tcPr>
    </w:tblStylePr>
    <w:tblStylePr w:type="lastCol">
      <w:rPr>
        <w:b/>
      </w:rPr>
      <w:tblPr/>
    </w:tblStylePr>
    <w:tblStylePr w:type="lastRow">
      <w:rPr>
        <w:b/>
      </w:rPr>
      <w:tblPr/>
    </w:tblStylePr>
  </w:style>
  <w:style w:type="table" w:styleId="789">
    <w:name w:val="Grid Table 1 Light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b/>
      </w:rPr>
      <w:tblPr/>
    </w:tblStylePr>
    <w:tblStylePr w:type="firstRow">
      <w:rPr>
        <w:b/>
      </w:rPr>
      <w:tblPr/>
      <w:tcPr>
        <w:tcBorders>
          <w:bottom w:val="single" w:color="000000" w:themeColor="accent3" w:sz="12" w:space="0"/>
        </w:tcBorders>
      </w:tcPr>
    </w:tblStylePr>
    <w:tblStylePr w:type="lastCol">
      <w:rPr>
        <w:b/>
      </w:rPr>
      <w:tblPr/>
    </w:tblStylePr>
    <w:tblStylePr w:type="lastRow">
      <w:rPr>
        <w:b/>
      </w:rPr>
      <w:tblPr/>
    </w:tblStylePr>
  </w:style>
  <w:style w:type="table" w:styleId="790">
    <w:name w:val="Grid Table 1 Light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b/>
      </w:rPr>
      <w:tblPr/>
    </w:tblStylePr>
    <w:tblStylePr w:type="firstRow">
      <w:rPr>
        <w:b/>
      </w:rPr>
      <w:tblPr/>
      <w:tcPr>
        <w:tcBorders>
          <w:bottom w:val="single" w:color="000000" w:themeColor="accent4" w:sz="12" w:space="0"/>
        </w:tcBorders>
      </w:tcPr>
    </w:tblStylePr>
    <w:tblStylePr w:type="lastCol">
      <w:rPr>
        <w:b/>
      </w:rPr>
      <w:tblPr/>
    </w:tblStylePr>
    <w:tblStylePr w:type="lastRow">
      <w:rPr>
        <w:b/>
      </w:rPr>
      <w:tblPr/>
    </w:tblStylePr>
  </w:style>
  <w:style w:type="table" w:styleId="791">
    <w:name w:val="Grid Table 1 Light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b/>
      </w:rPr>
      <w:tblPr/>
    </w:tblStylePr>
    <w:tblStylePr w:type="firstRow">
      <w:rPr>
        <w:b/>
      </w:rPr>
      <w:tblPr/>
      <w:tcPr>
        <w:tcBorders>
          <w:bottom w:val="single" w:color="000000" w:themeColor="accent5" w:sz="12" w:space="0"/>
        </w:tcBorders>
      </w:tcPr>
    </w:tblStylePr>
    <w:tblStylePr w:type="lastCol">
      <w:rPr>
        <w:b/>
      </w:rPr>
      <w:tblPr/>
    </w:tblStylePr>
    <w:tblStylePr w:type="lastRow">
      <w:rPr>
        <w:b/>
      </w:rPr>
      <w:tblPr/>
    </w:tblStylePr>
  </w:style>
  <w:style w:type="table" w:styleId="792">
    <w:name w:val="Grid Table 1 Light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b/>
      </w:rPr>
      <w:tblPr/>
    </w:tblStylePr>
    <w:tblStylePr w:type="firstRow">
      <w:rPr>
        <w:b/>
      </w:rPr>
      <w:tblPr/>
      <w:tcPr>
        <w:tcBorders>
          <w:bottom w:val="single" w:color="000000" w:themeColor="accent6" w:sz="12" w:space="0"/>
        </w:tcBorders>
      </w:tcPr>
    </w:tblStylePr>
    <w:tblStylePr w:type="lastCol">
      <w:rPr>
        <w:b/>
      </w:rPr>
      <w:tblPr/>
    </w:tblStylePr>
    <w:tblStylePr w:type="lastRow">
      <w:rPr>
        <w:b/>
      </w:rPr>
      <w:tblPr/>
    </w:tblStylePr>
  </w:style>
  <w:style w:type="table" w:styleId="793">
    <w:name w:val="Grid Table 2"/>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tcPr>
    </w:tblStylePr>
  </w:style>
  <w:style w:type="table" w:styleId="794">
    <w:name w:val="Grid Table 2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1" w:sz="12" w:space="0"/>
          <w:right w:val="none" w:color="000000" w:sz="4" w:space="0"/>
        </w:tcBorders>
        <w:shd w:val="clear" w:color="FFFFFF"/>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shd w:val="clear" w:color="FFFFFF"/>
      </w:tcPr>
    </w:tblStylePr>
  </w:style>
  <w:style w:type="table" w:styleId="795">
    <w:name w:val="Grid Table 2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000000" w:themeColor="accent2" w:sz="12" w:space="0"/>
          <w:right w:val="none" w:color="000000" w:sz="4" w:space="0"/>
        </w:tcBorders>
        <w:shd w:val="clear" w:color="FFFFFF"/>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shd w:val="clear" w:color="FFFFFF"/>
      </w:tcPr>
    </w:tblStylePr>
  </w:style>
  <w:style w:type="table" w:styleId="796">
    <w:name w:val="Grid Table 2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3" w:sz="12" w:space="0"/>
          <w:right w:val="none" w:color="000000" w:sz="4" w:space="0"/>
        </w:tcBorders>
        <w:shd w:val="clear" w:color="FFFFFF"/>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shd w:val="clear" w:color="FFFFFF"/>
      </w:tcPr>
    </w:tblStylePr>
  </w:style>
  <w:style w:type="table" w:styleId="797">
    <w:name w:val="Grid Table 2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4" w:sz="12" w:space="0"/>
          <w:right w:val="none" w:color="000000" w:sz="4" w:space="0"/>
        </w:tcBorders>
        <w:shd w:val="clear" w:color="FFFFFF"/>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shd w:val="clear" w:color="FFFFFF"/>
      </w:tcPr>
    </w:tblStylePr>
  </w:style>
  <w:style w:type="table" w:styleId="798">
    <w:name w:val="Grid Table 2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5" w:sz="12" w:space="0"/>
          <w:right w:val="none" w:color="000000" w:sz="4" w:space="0"/>
        </w:tcBorders>
        <w:shd w:val="clear" w:color="FFFFFF"/>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shd w:val="clear" w:color="FFFFFF"/>
      </w:tcPr>
    </w:tblStylePr>
  </w:style>
  <w:style w:type="table" w:styleId="799">
    <w:name w:val="Grid Table 2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accent6" w:sz="12" w:space="0"/>
          <w:right w:val="none" w:color="000000" w:sz="4" w:space="0"/>
        </w:tcBorders>
        <w:shd w:val="clear" w:color="FFFFFF"/>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shd w:val="clear" w:color="FFFFFF"/>
      </w:tcPr>
    </w:tblStylePr>
  </w:style>
  <w:style w:type="table" w:styleId="800">
    <w:name w:val="Grid Table 3"/>
    <w:uiPriority w:val="99"/>
    <w:pPr>
      <w:spacing w:after="0" w:line="240" w:lineRule="auto"/>
    </w:pPr>
    <w:tblPr>
      <w:tblStyleRowBandSize w:val="1"/>
      <w:tblStyleColBandSize w:val="1"/>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1">
    <w:name w:val="Grid Table 3 - Accent 1"/>
    <w:uiPriority w:val="99"/>
    <w:pPr>
      <w:spacing w:after="0" w:line="240" w:lineRule="auto"/>
    </w:pPr>
    <w:tblPr>
      <w:tblStyleRowBandSize w:val="1"/>
      <w:tblStyleColBandSize w:val="1"/>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sz w:val="22"/>
      </w:rPr>
      <w:tblPr/>
      <w:tcPr>
        <w:shd w:val="clear" w:color="FFFFFF" w:fill="DAE5F1" w:themeFill="accent1" w:themeFillTint="34"/>
      </w:tcPr>
    </w:tblStylePr>
    <w:tblStylePr w:type="band1Vert">
      <w:rPr>
        <w:sz w:val="22"/>
      </w:rPr>
      <w:tblPr/>
      <w:tcPr>
        <w:shd w:val="clear" w:color="FFFFFF"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2">
    <w:name w:val="Grid Table 3 - Accent 2"/>
    <w:uiPriority w:val="99"/>
    <w:pPr>
      <w:spacing w:after="0" w:line="240" w:lineRule="auto"/>
    </w:pPr>
    <w:tblPr>
      <w:tblStyleRowBandSize w:val="1"/>
      <w:tblStyleColBandSize w:val="1"/>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3">
    <w:name w:val="Grid Table 3 - Accent 3"/>
    <w:uiPriority w:val="99"/>
    <w:pPr>
      <w:spacing w:after="0" w:line="240" w:lineRule="auto"/>
    </w:pPr>
    <w:tblPr>
      <w:tblStyleRowBandSize w:val="1"/>
      <w:tblStyleColBandSize w:val="1"/>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4">
    <w:name w:val="Grid Table 3 - Accent 4"/>
    <w:uiPriority w:val="99"/>
    <w:pPr>
      <w:spacing w:after="0" w:line="240" w:lineRule="auto"/>
    </w:pPr>
    <w:tblPr>
      <w:tblStyleRowBandSize w:val="1"/>
      <w:tblStyleColBandSize w:val="1"/>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5">
    <w:name w:val="Grid Table 3 - Accent 5"/>
    <w:uiPriority w:val="99"/>
    <w:pPr>
      <w:spacing w:after="0" w:line="240" w:lineRule="auto"/>
    </w:pPr>
    <w:tblPr>
      <w:tblStyleRowBandSize w:val="1"/>
      <w:tblStyleColBandSize w:val="1"/>
      <w:tblBorders>
        <w:bottom w:val="single" w:color="000000" w:themeColor="accent5" w:sz="4" w:space="0"/>
        <w:insideH w:val="single" w:color="000000" w:themeColor="accent5" w:sz="4" w:space="0"/>
        <w:insideV w:val="single" w:color="000000" w:themeColor="accent5"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6">
    <w:name w:val="Grid Table 3 - Accent 6"/>
    <w:uiPriority w:val="99"/>
    <w:pPr>
      <w:spacing w:after="0" w:line="240" w:lineRule="auto"/>
    </w:pPr>
    <w:tblPr>
      <w:tblStyleRowBandSize w:val="1"/>
      <w:tblStyleColBandSize w:val="1"/>
      <w:tblBorders>
        <w:bottom w:val="single" w:color="000000" w:themeColor="accent6" w:sz="4" w:space="0"/>
        <w:insideH w:val="single" w:color="000000" w:themeColor="accent6" w:sz="4" w:space="0"/>
        <w:insideV w:val="single" w:color="000000" w:themeColor="accent6"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tcPr>
    </w:tblStylePr>
  </w:style>
  <w:style w:type="table" w:styleId="807">
    <w:name w:val="Grid Table 4"/>
    <w:uiPriority w:val="59"/>
    <w:pPr>
      <w:spacing w:after="0" w:line="240" w:lineRule="auto"/>
    </w:pPr>
    <w:tblPr>
      <w:tblStyleRowBandSize w:val="1"/>
      <w:tblStyleColBandSize w:val="1"/>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sz w:val="22"/>
      </w:rPr>
      <w:tblPr/>
      <w:tcPr>
        <w:shd w:val="clear" w:color="FFFFFF" w:fill="CBCBCB" w:themeFill="text1" w:themeFillTint="34"/>
      </w:tcPr>
    </w:tblStylePr>
    <w:tblStylePr w:type="band1Vert">
      <w:rPr>
        <w:sz w:val="22"/>
      </w:rPr>
      <w:tblPr/>
      <w:tcPr>
        <w:shd w:val="clear" w:color="FFFFFF"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FFFFFF"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styleId="808">
    <w:name w:val="Grid Table 4 - Accent 1"/>
    <w:uiPriority w:val="5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sz w:val="22"/>
      </w:rPr>
      <w:tblPr/>
      <w:tcPr>
        <w:shd w:val="clear" w:color="FFFFFF" w:fill="DCE6F1" w:themeFill="accent1" w:themeFillTint="32"/>
      </w:tcPr>
    </w:tblStylePr>
    <w:tblStylePr w:type="band1Vert">
      <w:rPr>
        <w:sz w:val="22"/>
      </w:rPr>
      <w:tblPr/>
      <w:tcPr>
        <w:shd w:val="clear" w:color="FFFFFF" w:fill="DCE6F1" w:themeFill="accent1" w:themeFillTint="32"/>
      </w:tcPr>
    </w:tblStylePr>
    <w:tblStylePr w:type="firstCol">
      <w:rPr>
        <w:b/>
      </w:rPr>
      <w:tblPr/>
    </w:tblStylePr>
    <w:tblStylePr w:type="firstRow">
      <w:rPr>
        <w:b/>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shd w:val="clear" w:color="FFFFFF" w:fill="5D8DC2" w:themeFill="accent1" w:themeFillTint="ea"/>
      </w:tcPr>
    </w:tblStylePr>
    <w:tblStylePr w:type="lastCol">
      <w:rPr>
        <w:b/>
      </w:rPr>
      <w:tblPr/>
    </w:tblStylePr>
    <w:tblStylePr w:type="lastRow">
      <w:rPr>
        <w:b/>
      </w:rPr>
      <w:tblPr/>
      <w:tcPr>
        <w:tcBorders>
          <w:top w:val="single" w:color="000000" w:themeColor="accent1" w:sz="4" w:space="0"/>
        </w:tcBorders>
      </w:tcPr>
    </w:tblStylePr>
  </w:style>
  <w:style w:type="table" w:styleId="809">
    <w:name w:val="Grid Table 4 - Accent 2"/>
    <w:uiPriority w:val="5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sz w:val="22"/>
      </w:rPr>
      <w:tblPr/>
      <w:tcPr>
        <w:shd w:val="clear" w:color="FFFFFF" w:fill="F2DCDB" w:themeFill="accent2" w:themeFillTint="32"/>
      </w:tcPr>
    </w:tblStylePr>
    <w:tblStylePr w:type="band1Vert">
      <w:rPr>
        <w:sz w:val="22"/>
      </w:rPr>
      <w:tblPr/>
      <w:tcPr>
        <w:shd w:val="clear" w:color="FFFFFF" w:fill="F2DCDB" w:themeFill="accent2" w:themeFillTint="32"/>
      </w:tcPr>
    </w:tblStylePr>
    <w:tblStylePr w:type="firstCol">
      <w:rPr>
        <w:b/>
      </w:rPr>
      <w:tblPr/>
    </w:tblStylePr>
    <w:tblStylePr w:type="firstRow">
      <w:rPr>
        <w:b/>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shd w:val="clear" w:color="FFFFFF" w:fill="D99694" w:themeFill="accent2" w:themeFillTint="97"/>
      </w:tcPr>
    </w:tblStylePr>
    <w:tblStylePr w:type="lastCol">
      <w:rPr>
        <w:b/>
      </w:rPr>
      <w:tblPr/>
    </w:tblStylePr>
    <w:tblStylePr w:type="lastRow">
      <w:rPr>
        <w:b/>
      </w:rPr>
      <w:tblPr/>
      <w:tcPr>
        <w:tcBorders>
          <w:top w:val="single" w:color="000000" w:themeColor="accent2" w:sz="4" w:space="0"/>
        </w:tcBorders>
      </w:tcPr>
    </w:tblStylePr>
  </w:style>
  <w:style w:type="table" w:styleId="810">
    <w:name w:val="Grid Table 4 - Accent 3"/>
    <w:uiPriority w:val="5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sz w:val="22"/>
      </w:rPr>
      <w:tblPr/>
      <w:tcPr>
        <w:shd w:val="clear" w:color="FFFFFF" w:fill="EAF0DD" w:themeFill="accent3" w:themeFillTint="34"/>
      </w:tcPr>
    </w:tblStylePr>
    <w:tblStylePr w:type="band1Vert">
      <w:rPr>
        <w:sz w:val="22"/>
      </w:rPr>
      <w:tblPr/>
      <w:tcPr>
        <w:shd w:val="clear" w:color="FFFFFF" w:fill="EAF0DD" w:themeFill="accent3" w:themeFillTint="34"/>
      </w:tcPr>
    </w:tblStylePr>
    <w:tblStylePr w:type="firstCol">
      <w:rPr>
        <w:b/>
      </w:rPr>
      <w:tblPr/>
    </w:tblStylePr>
    <w:tblStylePr w:type="firstRow">
      <w:rPr>
        <w:b/>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shd w:val="clear" w:color="FFFFFF" w:fill="9BBA59" w:themeFill="accent3" w:themeFillTint="fe"/>
      </w:tcPr>
    </w:tblStylePr>
    <w:tblStylePr w:type="lastCol">
      <w:rPr>
        <w:b/>
      </w:rPr>
      <w:tblPr/>
    </w:tblStylePr>
    <w:tblStylePr w:type="lastRow">
      <w:rPr>
        <w:b/>
      </w:rPr>
      <w:tblPr/>
      <w:tcPr>
        <w:tcBorders>
          <w:top w:val="single" w:color="000000" w:themeColor="accent3" w:sz="4" w:space="0"/>
        </w:tcBorders>
      </w:tcPr>
    </w:tblStylePr>
  </w:style>
  <w:style w:type="table" w:styleId="811">
    <w:name w:val="Grid Table 4 - Accent 4"/>
    <w:uiPriority w:val="5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sz w:val="22"/>
      </w:rPr>
      <w:tblPr/>
      <w:tcPr>
        <w:shd w:val="clear" w:color="FFFFFF" w:fill="E5DFEC" w:themeFill="accent4" w:themeFillTint="34"/>
      </w:tcPr>
    </w:tblStylePr>
    <w:tblStylePr w:type="band1Vert">
      <w:rPr>
        <w:sz w:val="22"/>
      </w:rPr>
      <w:tblPr/>
      <w:tcPr>
        <w:shd w:val="clear" w:color="FFFFFF" w:fill="E5DFEC" w:themeFill="accent4" w:themeFillTint="34"/>
      </w:tcPr>
    </w:tblStylePr>
    <w:tblStylePr w:type="firstCol">
      <w:rPr>
        <w:b/>
      </w:rPr>
      <w:tblPr/>
    </w:tblStylePr>
    <w:tblStylePr w:type="firstRow">
      <w:rPr>
        <w:b/>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shd w:val="clear" w:color="FFFFFF" w:fill="B2A1C6" w:themeFill="accent4" w:themeFillTint="9a"/>
      </w:tcPr>
    </w:tblStylePr>
    <w:tblStylePr w:type="lastCol">
      <w:rPr>
        <w:b/>
      </w:rPr>
      <w:tblPr/>
    </w:tblStylePr>
    <w:tblStylePr w:type="lastRow">
      <w:rPr>
        <w:b/>
      </w:rPr>
      <w:tblPr/>
      <w:tcPr>
        <w:tcBorders>
          <w:top w:val="single" w:color="000000" w:themeColor="accent4" w:sz="4" w:space="0"/>
        </w:tcBorders>
      </w:tcPr>
    </w:tblStylePr>
  </w:style>
  <w:style w:type="table" w:styleId="812">
    <w:name w:val="Grid Table 4 - Accent 5"/>
    <w:uiPriority w:val="5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sz w:val="22"/>
      </w:rPr>
      <w:tblPr/>
      <w:tcPr>
        <w:shd w:val="clear" w:color="FFFFFF" w:fill="DAEEF3" w:themeFill="accent5" w:themeFillTint="34"/>
      </w:tcPr>
    </w:tblStylePr>
    <w:tblStylePr w:type="band1Vert">
      <w:rPr>
        <w:sz w:val="22"/>
      </w:rPr>
      <w:tblPr/>
      <w:tcPr>
        <w:shd w:val="clear" w:color="FFFFFF" w:fill="DAEEF3" w:themeFill="accent5" w:themeFillTint="34"/>
      </w:tcPr>
    </w:tblStylePr>
    <w:tblStylePr w:type="firstCol">
      <w:rPr>
        <w:b/>
      </w:rPr>
      <w:tblPr/>
    </w:tblStylePr>
    <w:tblStylePr w:type="firstRow">
      <w:rPr>
        <w:b/>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shd w:val="clear" w:color="FFFFFF" w:fill="4BACC6" w:themeFill="accent5"/>
      </w:tcPr>
    </w:tblStylePr>
    <w:tblStylePr w:type="lastCol">
      <w:rPr>
        <w:b/>
      </w:rPr>
      <w:tblPr/>
    </w:tblStylePr>
    <w:tblStylePr w:type="lastRow">
      <w:rPr>
        <w:b/>
      </w:rPr>
      <w:tblPr/>
      <w:tcPr>
        <w:tcBorders>
          <w:top w:val="single" w:color="000000" w:themeColor="accent5" w:sz="4" w:space="0"/>
        </w:tcBorders>
      </w:tcPr>
    </w:tblStylePr>
  </w:style>
  <w:style w:type="table" w:styleId="813">
    <w:name w:val="Grid Table 4 - Accent 6"/>
    <w:uiPriority w:val="5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sz w:val="22"/>
      </w:rPr>
      <w:tblPr/>
      <w:tcPr>
        <w:shd w:val="clear" w:color="FFFFFF" w:fill="FDE9D8" w:themeFill="accent6" w:themeFillTint="34"/>
      </w:tcPr>
    </w:tblStylePr>
    <w:tblStylePr w:type="band1Vert">
      <w:rPr>
        <w:sz w:val="22"/>
      </w:rPr>
      <w:tblPr/>
      <w:tcPr>
        <w:shd w:val="clear" w:color="FFFFFF" w:fill="FDE9D8" w:themeFill="accent6" w:themeFillTint="34"/>
      </w:tcPr>
    </w:tblStylePr>
    <w:tblStylePr w:type="firstCol">
      <w:rPr>
        <w:b/>
      </w:rPr>
      <w:tblPr/>
    </w:tblStylePr>
    <w:tblStylePr w:type="firstRow">
      <w:rPr>
        <w:b/>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shd w:val="clear" w:color="FFFFFF" w:fill="F79646" w:themeFill="accent6"/>
      </w:tcPr>
    </w:tblStylePr>
    <w:tblStylePr w:type="lastCol">
      <w:rPr>
        <w:b/>
      </w:rPr>
      <w:tblPr/>
    </w:tblStylePr>
    <w:tblStylePr w:type="lastRow">
      <w:rPr>
        <w:b/>
      </w:rPr>
      <w:tblPr/>
      <w:tcPr>
        <w:tcBorders>
          <w:top w:val="single" w:color="000000" w:themeColor="accent6" w:sz="4" w:space="0"/>
        </w:tcBorders>
      </w:tcPr>
    </w:tblStylePr>
  </w:style>
  <w:style w:type="table" w:styleId="814">
    <w:name w:val="Grid Table 5 Dark"/>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8A8A8A" w:themeFill="text1" w:themeFillTint="75"/>
      </w:tcPr>
    </w:tblStylePr>
    <w:tblStylePr w:type="band1Vert">
      <w:tblPr/>
      <w:tcPr>
        <w:shd w:val="clear" w:color="FFFFFF" w:fill="8A8A8A" w:themeFill="text1" w:themeFillTint="75"/>
      </w:tcPr>
    </w:tblStylePr>
    <w:tblStylePr w:type="firstCol">
      <w:rPr>
        <w:b/>
        <w:sz w:val="22"/>
      </w:rPr>
      <w:tblPr/>
      <w:tcPr>
        <w:shd w:val="clear" w:color="FFFFFF" w:fill="000000" w:themeFill="text1"/>
      </w:tcPr>
    </w:tblStylePr>
    <w:tblStylePr w:type="firstRow">
      <w:rPr>
        <w:b/>
        <w:sz w:val="22"/>
      </w:rPr>
      <w:tblPr/>
      <w:tcPr>
        <w:shd w:val="clear" w:color="FFFFFF" w:fill="000000" w:themeFill="text1"/>
      </w:tcPr>
    </w:tblStylePr>
    <w:tblStylePr w:type="lastCol">
      <w:rPr>
        <w:b/>
        <w:sz w:val="22"/>
      </w:rPr>
      <w:tblPr/>
      <w:tcPr>
        <w:shd w:val="clear" w:color="FFFFFF" w:fill="000000" w:themeFill="text1"/>
      </w:tcPr>
    </w:tblStylePr>
    <w:tblStylePr w:type="lastRow">
      <w:rPr>
        <w:b/>
        <w:sz w:val="22"/>
      </w:rPr>
      <w:tblPr/>
      <w:tcPr>
        <w:tcBorders>
          <w:top w:val="single" w:color="000000" w:themeColor="light1" w:sz="4" w:space="0"/>
        </w:tcBorders>
        <w:shd w:val="clear" w:color="FFFFFF" w:fill="000000" w:themeFill="text1"/>
      </w:tcPr>
    </w:tblStylePr>
  </w:style>
  <w:style w:type="table" w:styleId="815">
    <w:name w:val="Grid Table 5 Dark- Accent 1"/>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DC5E0" w:themeFill="accent1" w:themeFillTint="75"/>
      </w:tcPr>
    </w:tblStylePr>
    <w:tblStylePr w:type="band1Vert">
      <w:tblPr/>
      <w:tcPr>
        <w:shd w:val="clear" w:color="FFFFFF" w:fill="ADC5E0" w:themeFill="accent1" w:themeFillTint="75"/>
      </w:tcPr>
    </w:tblStylePr>
    <w:tblStylePr w:type="firstCol">
      <w:rPr>
        <w:b/>
        <w:sz w:val="22"/>
      </w:rPr>
      <w:tblPr/>
      <w:tcPr>
        <w:shd w:val="clear" w:color="FFFFFF" w:fill="4F81BD" w:themeFill="accent1"/>
      </w:tcPr>
    </w:tblStylePr>
    <w:tblStylePr w:type="firstRow">
      <w:rPr>
        <w:b/>
        <w:sz w:val="22"/>
      </w:rPr>
      <w:tblPr/>
      <w:tcPr>
        <w:shd w:val="clear" w:color="FFFFFF" w:fill="4F81BD" w:themeFill="accent1"/>
      </w:tcPr>
    </w:tblStylePr>
    <w:tblStylePr w:type="lastCol">
      <w:rPr>
        <w:b/>
        <w:sz w:val="22"/>
      </w:rPr>
      <w:tblPr/>
      <w:tcPr>
        <w:shd w:val="clear" w:color="FFFFFF" w:fill="4F81BD" w:themeFill="accent1"/>
      </w:tcPr>
    </w:tblStylePr>
    <w:tblStylePr w:type="lastRow">
      <w:rPr>
        <w:b/>
        <w:sz w:val="22"/>
      </w:rPr>
      <w:tblPr/>
      <w:tcPr>
        <w:tcBorders>
          <w:top w:val="single" w:color="000000" w:themeColor="light1" w:sz="4" w:space="0"/>
        </w:tcBorders>
        <w:shd w:val="clear" w:color="FFFFFF" w:fill="4F81BD" w:themeFill="accent1"/>
      </w:tcPr>
    </w:tblStylePr>
  </w:style>
  <w:style w:type="table" w:styleId="816">
    <w:name w:val="Grid Table 5 Dark - Accent 2"/>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E1ADAC" w:themeFill="accent2" w:themeFillTint="75"/>
      </w:tcPr>
    </w:tblStylePr>
    <w:tblStylePr w:type="band1Vert">
      <w:tblPr/>
      <w:tcPr>
        <w:shd w:val="clear" w:color="FFFFFF" w:fill="E1ADAC" w:themeFill="accent2" w:themeFillTint="75"/>
      </w:tcPr>
    </w:tblStylePr>
    <w:tblStylePr w:type="firstCol">
      <w:rPr>
        <w:b/>
        <w:sz w:val="22"/>
      </w:rPr>
      <w:tblPr/>
      <w:tcPr>
        <w:shd w:val="clear" w:color="FFFFFF" w:fill="C0504D" w:themeFill="accent2"/>
      </w:tcPr>
    </w:tblStylePr>
    <w:tblStylePr w:type="firstRow">
      <w:rPr>
        <w:b/>
        <w:sz w:val="22"/>
      </w:rPr>
      <w:tblPr/>
      <w:tcPr>
        <w:shd w:val="clear" w:color="FFFFFF" w:fill="C0504D" w:themeFill="accent2"/>
      </w:tcPr>
    </w:tblStylePr>
    <w:tblStylePr w:type="lastCol">
      <w:rPr>
        <w:b/>
        <w:sz w:val="22"/>
      </w:rPr>
      <w:tblPr/>
      <w:tcPr>
        <w:shd w:val="clear" w:color="FFFFFF" w:fill="C0504D" w:themeFill="accent2"/>
      </w:tcPr>
    </w:tblStylePr>
    <w:tblStylePr w:type="lastRow">
      <w:rPr>
        <w:b/>
        <w:sz w:val="22"/>
      </w:rPr>
      <w:tblPr/>
      <w:tcPr>
        <w:tcBorders>
          <w:top w:val="single" w:color="000000" w:themeColor="light1" w:sz="4" w:space="0"/>
        </w:tcBorders>
        <w:shd w:val="clear" w:color="FFFFFF" w:fill="C0504D" w:themeFill="accent2"/>
      </w:tcPr>
    </w:tblStylePr>
  </w:style>
  <w:style w:type="table" w:styleId="817">
    <w:name w:val="Grid Table 5 Dark - Accent 3"/>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D1DFB2" w:themeFill="accent3" w:themeFillTint="75"/>
      </w:tcPr>
    </w:tblStylePr>
    <w:tblStylePr w:type="band1Vert">
      <w:tblPr/>
      <w:tcPr>
        <w:shd w:val="clear" w:color="FFFFFF" w:fill="D1DFB2" w:themeFill="accent3" w:themeFillTint="75"/>
      </w:tcPr>
    </w:tblStylePr>
    <w:tblStylePr w:type="firstCol">
      <w:rPr>
        <w:b/>
        <w:sz w:val="22"/>
      </w:rPr>
      <w:tblPr/>
      <w:tcPr>
        <w:shd w:val="clear" w:color="FFFFFF" w:fill="9BBB59" w:themeFill="accent3"/>
      </w:tcPr>
    </w:tblStylePr>
    <w:tblStylePr w:type="firstRow">
      <w:rPr>
        <w:b/>
        <w:sz w:val="22"/>
      </w:rPr>
      <w:tblPr/>
      <w:tcPr>
        <w:shd w:val="clear" w:color="FFFFFF" w:fill="9BBB59" w:themeFill="accent3"/>
      </w:tcPr>
    </w:tblStylePr>
    <w:tblStylePr w:type="lastCol">
      <w:rPr>
        <w:b/>
        <w:sz w:val="22"/>
      </w:rPr>
      <w:tblPr/>
      <w:tcPr>
        <w:shd w:val="clear" w:color="FFFFFF" w:fill="9BBB59" w:themeFill="accent3"/>
      </w:tcPr>
    </w:tblStylePr>
    <w:tblStylePr w:type="lastRow">
      <w:rPr>
        <w:b/>
        <w:sz w:val="22"/>
      </w:rPr>
      <w:tblPr/>
      <w:tcPr>
        <w:tcBorders>
          <w:top w:val="single" w:color="000000" w:themeColor="light1" w:sz="4" w:space="0"/>
        </w:tcBorders>
        <w:shd w:val="clear" w:color="FFFFFF" w:fill="9BBB59" w:themeFill="accent3"/>
      </w:tcPr>
    </w:tblStylePr>
  </w:style>
  <w:style w:type="table" w:styleId="818">
    <w:name w:val="Grid Table 5 Dark- Accent 4"/>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C4B7D4" w:themeFill="accent4" w:themeFillTint="75"/>
      </w:tcPr>
    </w:tblStylePr>
    <w:tblStylePr w:type="band1Vert">
      <w:tblPr/>
      <w:tcPr>
        <w:shd w:val="clear" w:color="FFFFFF" w:fill="C4B7D4" w:themeFill="accent4" w:themeFillTint="75"/>
      </w:tcPr>
    </w:tblStylePr>
    <w:tblStylePr w:type="firstCol">
      <w:rPr>
        <w:b/>
        <w:sz w:val="22"/>
      </w:rPr>
      <w:tblPr/>
      <w:tcPr>
        <w:shd w:val="clear" w:color="FFFFFF" w:fill="8064A2" w:themeFill="accent4"/>
      </w:tcPr>
    </w:tblStylePr>
    <w:tblStylePr w:type="firstRow">
      <w:rPr>
        <w:b/>
        <w:sz w:val="22"/>
      </w:rPr>
      <w:tblPr/>
      <w:tcPr>
        <w:shd w:val="clear" w:color="FFFFFF" w:fill="8064A2" w:themeFill="accent4"/>
      </w:tcPr>
    </w:tblStylePr>
    <w:tblStylePr w:type="lastCol">
      <w:rPr>
        <w:b/>
        <w:sz w:val="22"/>
      </w:rPr>
      <w:tblPr/>
      <w:tcPr>
        <w:shd w:val="clear" w:color="FFFFFF" w:fill="8064A2" w:themeFill="accent4"/>
      </w:tcPr>
    </w:tblStylePr>
    <w:tblStylePr w:type="lastRow">
      <w:rPr>
        <w:b/>
        <w:sz w:val="22"/>
      </w:rPr>
      <w:tblPr/>
      <w:tcPr>
        <w:tcBorders>
          <w:top w:val="single" w:color="000000" w:themeColor="light1" w:sz="4" w:space="0"/>
        </w:tcBorders>
        <w:shd w:val="clear" w:color="FFFFFF" w:fill="8064A2" w:themeFill="accent4"/>
      </w:tcPr>
    </w:tblStylePr>
  </w:style>
  <w:style w:type="table" w:styleId="819">
    <w:name w:val="Grid Table 5 Dark - Accent 5"/>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ABD9E4" w:themeFill="accent5" w:themeFillTint="75"/>
      </w:tcPr>
    </w:tblStylePr>
    <w:tblStylePr w:type="band1Vert">
      <w:tblPr/>
      <w:tcPr>
        <w:shd w:val="clear" w:color="FFFFFF" w:fill="ABD9E4" w:themeFill="accent5" w:themeFillTint="75"/>
      </w:tcPr>
    </w:tblStylePr>
    <w:tblStylePr w:type="firstCol">
      <w:rPr>
        <w:b/>
        <w:sz w:val="22"/>
      </w:rPr>
      <w:tblPr/>
      <w:tcPr>
        <w:shd w:val="clear" w:color="FFFFFF" w:fill="4BACC6" w:themeFill="accent5"/>
      </w:tcPr>
    </w:tblStylePr>
    <w:tblStylePr w:type="firstRow">
      <w:rPr>
        <w:b/>
        <w:sz w:val="22"/>
      </w:rPr>
      <w:tblPr/>
      <w:tcPr>
        <w:shd w:val="clear" w:color="FFFFFF" w:fill="4BACC6" w:themeFill="accent5"/>
      </w:tcPr>
    </w:tblStylePr>
    <w:tblStylePr w:type="lastCol">
      <w:rPr>
        <w:b/>
        <w:sz w:val="22"/>
      </w:rPr>
      <w:tblPr/>
      <w:tcPr>
        <w:shd w:val="clear" w:color="FFFFFF" w:fill="4BACC6" w:themeFill="accent5"/>
      </w:tcPr>
    </w:tblStylePr>
    <w:tblStylePr w:type="lastRow">
      <w:rPr>
        <w:b/>
        <w:sz w:val="22"/>
      </w:rPr>
      <w:tblPr/>
      <w:tcPr>
        <w:tcBorders>
          <w:top w:val="single" w:color="000000" w:themeColor="light1" w:sz="4" w:space="0"/>
        </w:tcBorders>
        <w:shd w:val="clear" w:color="FFFFFF" w:fill="4BACC6" w:themeFill="accent5"/>
      </w:tcPr>
    </w:tblStylePr>
  </w:style>
  <w:style w:type="table" w:styleId="820">
    <w:name w:val="Grid Table 5 Dark - Accent 6"/>
    <w:uiPriority w:val="99"/>
    <w:pPr>
      <w:spacing w:after="0" w:line="240" w:lineRule="auto"/>
    </w:pPr>
    <w:tblPr>
      <w:tblStyleRowBandSize w:val="1"/>
      <w:tblStyleColBandSize w:val="1"/>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tblStylePr w:type="band1Horz">
      <w:tblPr/>
      <w:tcPr>
        <w:shd w:val="clear" w:color="FFFFFF" w:fill="FBCDA8" w:themeFill="accent6" w:themeFillTint="75"/>
      </w:tcPr>
    </w:tblStylePr>
    <w:tblStylePr w:type="band1Vert">
      <w:tblPr/>
      <w:tcPr>
        <w:shd w:val="clear" w:color="FFFFFF" w:fill="FBCDA8" w:themeFill="accent6" w:themeFillTint="75"/>
      </w:tcPr>
    </w:tblStylePr>
    <w:tblStylePr w:type="firstCol">
      <w:rPr>
        <w:b/>
        <w:sz w:val="22"/>
      </w:rPr>
      <w:tblPr/>
      <w:tcPr>
        <w:shd w:val="clear" w:color="FFFFFF" w:fill="F79646" w:themeFill="accent6"/>
      </w:tcPr>
    </w:tblStylePr>
    <w:tblStylePr w:type="firstRow">
      <w:rPr>
        <w:b/>
        <w:sz w:val="22"/>
      </w:rPr>
      <w:tblPr/>
      <w:tcPr>
        <w:shd w:val="clear" w:color="FFFFFF" w:fill="F79646" w:themeFill="accent6"/>
      </w:tcPr>
    </w:tblStylePr>
    <w:tblStylePr w:type="lastCol">
      <w:rPr>
        <w:b/>
        <w:sz w:val="22"/>
      </w:rPr>
      <w:tblPr/>
      <w:tcPr>
        <w:shd w:val="clear" w:color="FFFFFF" w:fill="F79646" w:themeFill="accent6"/>
      </w:tcPr>
    </w:tblStylePr>
    <w:tblStylePr w:type="lastRow">
      <w:rPr>
        <w:b/>
        <w:sz w:val="22"/>
      </w:rPr>
      <w:tblPr/>
      <w:tcPr>
        <w:tcBorders>
          <w:top w:val="single" w:color="000000" w:themeColor="light1" w:sz="4" w:space="0"/>
        </w:tcBorders>
        <w:shd w:val="clear" w:color="FFFFFF" w:fill="F79646" w:themeFill="accent6"/>
      </w:tcPr>
    </w:tblStylePr>
  </w:style>
  <w:style w:type="table" w:styleId="821">
    <w:name w:val="Grid Table 6 Colorful"/>
    <w:uiPriority w:val="99"/>
    <w:pPr>
      <w:spacing w:after="0" w:line="240" w:lineRule="auto"/>
    </w:pPr>
    <w:tblPr>
      <w:tblStyleRowBandSize w:val="1"/>
      <w:tblStyleColBandSize w:val="1"/>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CBCBCB" w:themeFill="text1" w:themeFillTint="34"/>
      </w:tcPr>
    </w:tblStylePr>
    <w:tblStylePr w:type="band1Vert">
      <w:tblPr/>
      <w:tcPr>
        <w:shd w:val="clear" w:color="FFFFFF"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tblStylePr w:type="wholeTable">
      <w:rPr>
        <w:color w:themeColor="text1" w:themeTint="80" w:themeShade="95"/>
        <w:sz w:val="22"/>
      </w:rPr>
      <w:tblPr/>
    </w:tblStylePr>
  </w:style>
  <w:style w:type="table" w:styleId="822">
    <w:name w:val="Grid Table 6 Colorful - Accent 1"/>
    <w:uiPriority w:val="99"/>
    <w:pPr>
      <w:spacing w:after="0" w:line="240" w:lineRule="auto"/>
    </w:pPr>
    <w:tblPr>
      <w:tblStyleRowBandSize w:val="1"/>
      <w:tblStyleColBandSize w:val="1"/>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000000"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tblStylePr w:type="wholeTable">
      <w:rPr>
        <w:color w:themeColor="accent1" w:themeTint="80" w:themeShade="95"/>
        <w:sz w:val="22"/>
      </w:rPr>
      <w:tblPr/>
    </w:tblStylePr>
  </w:style>
  <w:style w:type="table" w:styleId="823">
    <w:name w:val="Grid Table 6 Colorful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tblStylePr w:type="wholeTable">
      <w:rPr>
        <w:color w:themeColor="accent2" w:themeTint="97" w:themeShade="95"/>
        <w:sz w:val="22"/>
      </w:rPr>
      <w:tblPr/>
    </w:tblStylePr>
  </w:style>
  <w:style w:type="table" w:styleId="824">
    <w:name w:val="Grid Table 6 Colorful - Accent 3"/>
    <w:uiPriority w:val="99"/>
    <w:pPr>
      <w:spacing w:after="0" w:line="240" w:lineRule="auto"/>
    </w:pPr>
    <w:tblPr>
      <w:tblStyleRowBandSize w:val="1"/>
      <w:tblStyleColBandSize w:val="1"/>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000000"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tblStylePr w:type="wholeTable">
      <w:rPr>
        <w:color w:themeColor="accent3" w:themeTint="fe" w:themeShade="95"/>
        <w:sz w:val="22"/>
      </w:rPr>
      <w:tblPr/>
    </w:tblStylePr>
  </w:style>
  <w:style w:type="table" w:styleId="825">
    <w:name w:val="Grid Table 6 Colorful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tblStylePr w:type="wholeTable">
      <w:rPr>
        <w:color w:themeColor="accent4" w:themeTint="9a" w:themeShade="95"/>
        <w:sz w:val="22"/>
      </w:rPr>
      <w:tblPr/>
    </w:tblStylePr>
  </w:style>
  <w:style w:type="table" w:styleId="826">
    <w:name w:val="Grid Table 6 Colorful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5"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7">
    <w:name w:val="Grid Table 6 Colorful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color w:themeColor="accent5"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000000" w:themeColor="accent6" w:sz="12" w:space="0"/>
        </w:tcBorders>
      </w:tcPr>
    </w:tblStylePr>
    <w:tblStylePr w:type="lastCol">
      <w:rPr>
        <w:b/>
        <w:color w:themeColor="accent5" w:themeShade="95"/>
      </w:rPr>
      <w:tblPr/>
    </w:tblStylePr>
    <w:tblStylePr w:type="lastRow">
      <w:rPr>
        <w:b/>
        <w:color w:themeColor="accent5" w:themeShade="95"/>
      </w:rPr>
      <w:tblPr/>
    </w:tblStylePr>
    <w:tblStylePr w:type="wholeTable">
      <w:rPr>
        <w:color w:themeColor="accent5" w:themeShade="95"/>
        <w:sz w:val="22"/>
      </w:rPr>
      <w:tblPr/>
    </w:tblStylePr>
  </w:style>
  <w:style w:type="table" w:styleId="828">
    <w:name w:val="Grid Table 7 Colorful"/>
    <w:uiPriority w:val="99"/>
    <w:pPr>
      <w:spacing w:after="0" w:line="240" w:lineRule="auto"/>
    </w:pPr>
    <w:tblPr>
      <w:tblStyleRowBandSize w:val="1"/>
      <w:tblStyleColBandSize w:val="1"/>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color w:themeColor="text1" w:themeTint="80" w:themeShade="95"/>
        <w:sz w:val="22"/>
      </w:rPr>
      <w:tblPr/>
      <w:tcPr>
        <w:shd w:val="clear" w:color="FFFFFF" w:fill="F2F2F2" w:themeFill="text1" w:themeFillTint="0"/>
      </w:tcPr>
    </w:tblStylePr>
    <w:tblStylePr w:type="band1Vert">
      <w:tblPr/>
      <w:tcPr>
        <w:shd w:val="clear" w:color="FFFFFF"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styleId="829">
    <w:name w:val="Grid Table 7 Colorful - Accent 1"/>
    <w:uiPriority w:val="99"/>
    <w:pPr>
      <w:spacing w:after="0" w:line="240" w:lineRule="auto"/>
    </w:pPr>
    <w:tblPr>
      <w:tblStyleRowBandSize w:val="1"/>
      <w:tblStyleColBandSize w:val="1"/>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color w:themeColor="accent1" w:themeTint="80" w:themeShade="95"/>
        <w:sz w:val="22"/>
      </w:rPr>
      <w:tblPr/>
      <w:tcPr>
        <w:shd w:val="clear" w:color="FFFFFF" w:fill="DAE5F1" w:themeFill="accent1" w:themeFillTint="34"/>
      </w:tcPr>
    </w:tblStylePr>
    <w:tblStylePr w:type="band1Vert">
      <w:tblPr/>
      <w:tcPr>
        <w:shd w:val="clear" w:color="FFFFFF"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b/>
        <w:color w:themeColor="accent1" w:themeTint="80"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b/>
        <w:color w:themeColor="accent1" w:themeTint="80"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style>
  <w:style w:type="table" w:styleId="830">
    <w:name w:val="Grid Table 7 Colorful - Accent 2"/>
    <w:uiPriority w:val="99"/>
    <w:pPr>
      <w:spacing w:after="0" w:line="240" w:lineRule="auto"/>
    </w:pPr>
    <w:tblPr>
      <w:tblStyleRowBandSize w:val="1"/>
      <w:tblStyleColBandSize w:val="1"/>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color w:themeColor="accent2" w:themeTint="97" w:themeShade="95"/>
        <w:sz w:val="22"/>
      </w:rPr>
      <w:tblPr/>
      <w:tcPr>
        <w:shd w:val="clear" w:color="FFFFFF" w:fill="F2DCDB" w:themeFill="accent2" w:themeFillTint="32"/>
      </w:tcPr>
    </w:tblStylePr>
    <w:tblStylePr w:type="band1Vert">
      <w:tblPr/>
      <w:tcPr>
        <w:shd w:val="clear" w:color="FFFFFF" w:fill="F2DCDB"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b/>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b/>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style>
  <w:style w:type="table" w:styleId="831">
    <w:name w:val="Grid Table 7 Colorful - Accent 3"/>
    <w:uiPriority w:val="99"/>
    <w:pPr>
      <w:spacing w:after="0" w:line="240" w:lineRule="auto"/>
    </w:pPr>
    <w:tblPr>
      <w:tblStyleRowBandSize w:val="1"/>
      <w:tblStyleColBandSize w:val="1"/>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color w:themeColor="accent3" w:themeTint="fe" w:themeShade="95"/>
        <w:sz w:val="22"/>
      </w:rPr>
      <w:tblPr/>
      <w:tcPr>
        <w:shd w:val="clear" w:color="FFFFFF" w:fill="EAF0DD" w:themeFill="accent3" w:themeFillTint="34"/>
      </w:tcPr>
    </w:tblStylePr>
    <w:tblStylePr w:type="band1Vert">
      <w:tblPr/>
      <w:tcPr>
        <w:shd w:val="clear" w:color="FFFFFF" w:fill="EAF0DD"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b/>
        <w:color w:themeColor="accent3" w:themeTint="fe"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b/>
        <w:color w:themeColor="accent3" w:themeTint="fe"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style>
  <w:style w:type="table" w:styleId="832">
    <w:name w:val="Grid Table 7 Colorful - Accent 4"/>
    <w:uiPriority w:val="99"/>
    <w:pPr>
      <w:spacing w:after="0" w:line="240" w:lineRule="auto"/>
    </w:pPr>
    <w:tblPr>
      <w:tblStyleRowBandSize w:val="1"/>
      <w:tblStyleColBandSize w:val="1"/>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color w:themeColor="accent4" w:themeTint="9a" w:themeShade="95"/>
        <w:sz w:val="22"/>
      </w:rPr>
      <w:tblPr/>
      <w:tcPr>
        <w:shd w:val="clear" w:color="FFFFFF" w:fill="E5DFEC" w:themeFill="accent4" w:themeFillTint="34"/>
      </w:tcPr>
    </w:tblStylePr>
    <w:tblStylePr w:type="band1Vert">
      <w:tblPr/>
      <w:tcPr>
        <w:shd w:val="clear" w:color="FFFFFF"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b/>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b/>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style>
  <w:style w:type="table" w:styleId="833">
    <w:name w:val="Grid Table 7 Colorful - Accent 5"/>
    <w:uiPriority w:val="99"/>
    <w:pPr>
      <w:spacing w:after="0" w:line="240" w:lineRule="auto"/>
    </w:pPr>
    <w:tblPr>
      <w:tblStyleRowBandSize w:val="1"/>
      <w:tblStyleColBandSize w:val="1"/>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color w:themeColor="accent5" w:themeShade="95"/>
        <w:sz w:val="22"/>
      </w:rPr>
      <w:tblPr/>
      <w:tcPr>
        <w:shd w:val="clear" w:color="FFFFFF" w:fill="DAEEF3" w:themeFill="accent5" w:themeFillTint="34"/>
      </w:tcPr>
    </w:tblStylePr>
    <w:tblStylePr w:type="band1Vert">
      <w:tblPr/>
      <w:tcPr>
        <w:shd w:val="clear" w:color="FFFFFF"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b/>
        <w:color w:themeColor="accent5"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b/>
        <w:color w:themeColor="accent5"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style>
  <w:style w:type="table" w:styleId="834">
    <w:name w:val="Grid Table 7 Colorful - Accent 6"/>
    <w:uiPriority w:val="99"/>
    <w:pPr>
      <w:spacing w:after="0" w:line="240" w:lineRule="auto"/>
    </w:pPr>
    <w:tblPr>
      <w:tblStyleRowBandSize w:val="1"/>
      <w:tblStyleColBandSize w:val="1"/>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color w:themeColor="accent6" w:themeShade="95"/>
        <w:sz w:val="22"/>
      </w:rPr>
      <w:tblPr/>
      <w:tcPr>
        <w:shd w:val="clear" w:color="FFFFFF" w:fill="FDE9D8" w:themeFill="accent6" w:themeFillTint="34"/>
      </w:tcPr>
    </w:tblStylePr>
    <w:tblStylePr w:type="band1Vert">
      <w:tblPr/>
      <w:tcPr>
        <w:shd w:val="clear" w:color="FFFFFF"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b/>
        <w:color w:themeColor="accent6"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b/>
        <w:color w:themeColor="accent6"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style>
  <w:style w:type="table" w:styleId="835">
    <w:name w:val="List Table 1 Light"/>
    <w:uiPriority w:val="99"/>
    <w:pPr>
      <w:spacing w:after="0" w:line="240" w:lineRule="auto"/>
    </w:pPr>
    <w:tblPr>
      <w:tblStyleRowBandSize w:val="1"/>
      <w:tblStyleColBandSize w:val="1"/>
    </w:tblPr>
    <w:tblStylePr w:type="band1Horz">
      <w:tblPr/>
      <w:tcPr>
        <w:shd w:val="clear" w:color="FFFFFF" w:fill="BFBFBF" w:themeFill="text1" w:themeFillTint="40"/>
      </w:tcPr>
    </w:tblStylePr>
    <w:tblStylePr w:type="band1Vert">
      <w:tblPr/>
      <w:tcPr>
        <w:shd w:val="clear" w:color="FFFFF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styleId="836">
    <w:name w:val="List Table 1 Light - Accent 1"/>
    <w:uiPriority w:val="99"/>
    <w:pPr>
      <w:spacing w:after="0" w:line="240" w:lineRule="auto"/>
    </w:pPr>
    <w:tblPr>
      <w:tblStyleRowBandSize w:val="1"/>
      <w:tblStyleColBandSize w:val="1"/>
    </w:tblPr>
    <w:tblStylePr w:type="band1Horz">
      <w:tblPr/>
      <w:tcPr>
        <w:shd w:val="clear" w:color="FFFFFF" w:fill="D3E0EE" w:themeFill="accent1" w:themeFillTint="40"/>
      </w:tcPr>
    </w:tblStylePr>
    <w:tblStylePr w:type="band1Vert">
      <w:tblPr/>
      <w:tcPr>
        <w:shd w:val="clear" w:color="FFFFFF" w:fill="D3E0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1" w:sz="4" w:space="0"/>
          <w:right w:val="none" w:color="000000" w:sz="4" w:space="0"/>
        </w:tcBorders>
      </w:tcPr>
    </w:tblStylePr>
    <w:tblStylePr w:type="lastCol">
      <w:rPr>
        <w:b/>
      </w:rPr>
      <w:tblPr/>
    </w:tblStylePr>
    <w:tblStylePr w:type="lastRow">
      <w:rPr>
        <w:b/>
      </w:rPr>
      <w:tblPr/>
      <w:tcPr>
        <w:tcBorders>
          <w:top w:val="single" w:color="000000" w:themeColor="accent1" w:sz="4" w:space="0"/>
          <w:left w:val="none" w:color="000000" w:sz="4" w:space="0"/>
          <w:bottom w:val="none" w:color="000000" w:sz="4" w:space="0"/>
          <w:right w:val="none" w:color="000000" w:sz="4" w:space="0"/>
        </w:tcBorders>
      </w:tcPr>
    </w:tblStylePr>
  </w:style>
  <w:style w:type="table" w:styleId="837">
    <w:name w:val="List Table 1 Light - Accent 2"/>
    <w:uiPriority w:val="99"/>
    <w:pPr>
      <w:spacing w:after="0" w:line="240" w:lineRule="auto"/>
    </w:pPr>
    <w:tblPr>
      <w:tblStyleRowBandSize w:val="1"/>
      <w:tblStyleColBandSize w:val="1"/>
    </w:tblPr>
    <w:tblStylePr w:type="band1Horz">
      <w:tblPr/>
      <w:tcPr>
        <w:shd w:val="clear" w:color="FFFFFF" w:fill="EFD3D2" w:themeFill="accent2" w:themeFillTint="40"/>
      </w:tcPr>
    </w:tblStylePr>
    <w:tblStylePr w:type="band1Vert">
      <w:tblPr/>
      <w:tcPr>
        <w:shd w:val="clear" w:color="FFFFFF" w:fill="EFD3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2" w:sz="4" w:space="0"/>
          <w:right w:val="none" w:color="000000" w:sz="4" w:space="0"/>
        </w:tcBorders>
      </w:tcPr>
    </w:tblStylePr>
    <w:tblStylePr w:type="lastCol">
      <w:rPr>
        <w:b/>
      </w:rPr>
      <w:tblPr/>
    </w:tblStylePr>
    <w:tblStylePr w:type="lastRow">
      <w:rPr>
        <w:b/>
      </w:rPr>
      <w:tblPr/>
      <w:tcPr>
        <w:tcBorders>
          <w:top w:val="single" w:color="000000" w:themeColor="accent2" w:sz="4" w:space="0"/>
          <w:left w:val="none" w:color="000000" w:sz="4" w:space="0"/>
          <w:bottom w:val="none" w:color="000000" w:sz="4" w:space="0"/>
          <w:right w:val="none" w:color="000000" w:sz="4" w:space="0"/>
        </w:tcBorders>
      </w:tcPr>
    </w:tblStylePr>
  </w:style>
  <w:style w:type="table" w:styleId="838">
    <w:name w:val="List Table 1 Light - Accent 3"/>
    <w:uiPriority w:val="99"/>
    <w:pPr>
      <w:spacing w:after="0" w:line="240" w:lineRule="auto"/>
    </w:pPr>
    <w:tblPr>
      <w:tblStyleRowBandSize w:val="1"/>
      <w:tblStyleColBandSize w:val="1"/>
    </w:tblPr>
    <w:tblStylePr w:type="band1Horz">
      <w:tblPr/>
      <w:tcPr>
        <w:shd w:val="clear" w:color="FFFFFF" w:fill="E6EED5" w:themeFill="accent3" w:themeFillTint="40"/>
      </w:tcPr>
    </w:tblStylePr>
    <w:tblStylePr w:type="band1Vert">
      <w:tblPr/>
      <w:tcPr>
        <w:shd w:val="clear" w:color="FFFFFF" w:fill="E6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3" w:sz="4" w:space="0"/>
          <w:right w:val="none" w:color="000000" w:sz="4" w:space="0"/>
        </w:tcBorders>
      </w:tcPr>
    </w:tblStylePr>
    <w:tblStylePr w:type="lastCol">
      <w:rPr>
        <w:b/>
      </w:rPr>
      <w:tblPr/>
    </w:tblStylePr>
    <w:tblStylePr w:type="lastRow">
      <w:rPr>
        <w:b/>
      </w:rPr>
      <w:tblPr/>
      <w:tcPr>
        <w:tcBorders>
          <w:top w:val="single" w:color="000000" w:themeColor="accent3" w:sz="4" w:space="0"/>
          <w:left w:val="none" w:color="000000" w:sz="4" w:space="0"/>
          <w:bottom w:val="none" w:color="000000" w:sz="4" w:space="0"/>
          <w:right w:val="none" w:color="000000" w:sz="4" w:space="0"/>
        </w:tcBorders>
      </w:tcPr>
    </w:tblStylePr>
  </w:style>
  <w:style w:type="table" w:styleId="839">
    <w:name w:val="List Table 1 Light - Accent 4"/>
    <w:uiPriority w:val="99"/>
    <w:pPr>
      <w:spacing w:after="0" w:line="240" w:lineRule="auto"/>
    </w:pPr>
    <w:tblPr>
      <w:tblStyleRowBandSize w:val="1"/>
      <w:tblStyleColBandSize w:val="1"/>
    </w:tblPr>
    <w:tblStylePr w:type="band1Horz">
      <w:tblPr/>
      <w:tcPr>
        <w:shd w:val="clear" w:color="FFFFFF" w:fill="DFD8E7" w:themeFill="accent4" w:themeFillTint="40"/>
      </w:tcPr>
    </w:tblStylePr>
    <w:tblStylePr w:type="band1Vert">
      <w:tblPr/>
      <w:tcPr>
        <w:shd w:val="clear" w:color="FFFFFF"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4" w:sz="4" w:space="0"/>
          <w:right w:val="none" w:color="000000" w:sz="4" w:space="0"/>
        </w:tcBorders>
      </w:tcPr>
    </w:tblStylePr>
    <w:tblStylePr w:type="lastCol">
      <w:rPr>
        <w:b/>
      </w:rPr>
      <w:tblPr/>
    </w:tblStylePr>
    <w:tblStylePr w:type="lastRow">
      <w:rPr>
        <w:b/>
      </w:rPr>
      <w:tblPr/>
      <w:tcPr>
        <w:tcBorders>
          <w:top w:val="single" w:color="000000" w:themeColor="accent4" w:sz="4" w:space="0"/>
          <w:left w:val="none" w:color="000000" w:sz="4" w:space="0"/>
          <w:bottom w:val="none" w:color="000000" w:sz="4" w:space="0"/>
          <w:right w:val="none" w:color="000000" w:sz="4" w:space="0"/>
        </w:tcBorders>
      </w:tcPr>
    </w:tblStylePr>
  </w:style>
  <w:style w:type="table" w:styleId="840">
    <w:name w:val="List Table 1 Light - Accent 5"/>
    <w:uiPriority w:val="99"/>
    <w:pPr>
      <w:spacing w:after="0" w:line="240" w:lineRule="auto"/>
    </w:pPr>
    <w:tblPr>
      <w:tblStyleRowBandSize w:val="1"/>
      <w:tblStyleColBandSize w:val="1"/>
    </w:tblPr>
    <w:tblStylePr w:type="band1Horz">
      <w:tblPr/>
      <w:tcPr>
        <w:shd w:val="clear" w:color="FFFFFF" w:fill="D1EAF0" w:themeFill="accent5" w:themeFillTint="40"/>
      </w:tcPr>
    </w:tblStylePr>
    <w:tblStylePr w:type="band1Vert">
      <w:tblPr/>
      <w:tcPr>
        <w:shd w:val="clear" w:color="FFFFFF"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5" w:sz="4" w:space="0"/>
          <w:right w:val="none" w:color="000000" w:sz="4" w:space="0"/>
        </w:tcBorders>
      </w:tcPr>
    </w:tblStylePr>
    <w:tblStylePr w:type="lastCol">
      <w:rPr>
        <w:b/>
      </w:rPr>
      <w:tblPr/>
    </w:tblStylePr>
    <w:tblStylePr w:type="lastRow">
      <w:rPr>
        <w:b/>
      </w:rPr>
      <w:tblPr/>
      <w:tcPr>
        <w:tcBorders>
          <w:top w:val="single" w:color="000000" w:themeColor="accent5" w:sz="4" w:space="0"/>
          <w:left w:val="none" w:color="000000" w:sz="4" w:space="0"/>
          <w:bottom w:val="none" w:color="000000" w:sz="4" w:space="0"/>
          <w:right w:val="none" w:color="000000" w:sz="4" w:space="0"/>
        </w:tcBorders>
      </w:tcPr>
    </w:tblStylePr>
  </w:style>
  <w:style w:type="table" w:styleId="841">
    <w:name w:val="List Table 1 Light - Accent 6"/>
    <w:uiPriority w:val="99"/>
    <w:pPr>
      <w:spacing w:after="0" w:line="240" w:lineRule="auto"/>
    </w:pPr>
    <w:tblPr>
      <w:tblStyleRowBandSize w:val="1"/>
      <w:tblStyleColBandSize w:val="1"/>
    </w:tblPr>
    <w:tblStylePr w:type="band1Horz">
      <w:tblPr/>
      <w:tcPr>
        <w:shd w:val="clear" w:color="FFFFFF" w:fill="FCE4D1" w:themeFill="accent6" w:themeFillTint="40"/>
      </w:tcPr>
    </w:tblStylePr>
    <w:tblStylePr w:type="band1Vert">
      <w:tblPr/>
      <w:tcPr>
        <w:shd w:val="clear" w:color="FFFFFF" w:fill="FCE4D1"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accent6" w:sz="4" w:space="0"/>
          <w:right w:val="none" w:color="000000" w:sz="4" w:space="0"/>
        </w:tcBorders>
      </w:tcPr>
    </w:tblStylePr>
    <w:tblStylePr w:type="lastCol">
      <w:rPr>
        <w:b/>
      </w:rPr>
      <w:tblPr/>
    </w:tblStylePr>
    <w:tblStylePr w:type="lastRow">
      <w:rPr>
        <w:b/>
      </w:rPr>
      <w:tblPr/>
      <w:tcPr>
        <w:tcBorders>
          <w:top w:val="single" w:color="000000" w:themeColor="accent6" w:sz="4" w:space="0"/>
          <w:left w:val="none" w:color="000000" w:sz="4" w:space="0"/>
          <w:bottom w:val="none" w:color="000000" w:sz="4" w:space="0"/>
          <w:right w:val="none" w:color="000000" w:sz="4" w:space="0"/>
        </w:tcBorders>
      </w:tcPr>
    </w:tblStylePr>
  </w:style>
  <w:style w:type="table" w:styleId="842">
    <w:name w:val="List Table 2"/>
    <w:uiPriority w:val="99"/>
    <w:pPr>
      <w:spacing w:after="0" w:line="240" w:lineRule="auto"/>
    </w:pPr>
    <w:tblPr>
      <w:tblStyleRowBandSize w:val="1"/>
      <w:tblStyleColBandSize w:val="1"/>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styleId="843">
    <w:name w:val="List Table 2 - Accent 1"/>
    <w:uiPriority w:val="99"/>
    <w:pPr>
      <w:spacing w:after="0" w:line="240" w:lineRule="auto"/>
    </w:pPr>
    <w:tblPr>
      <w:tblStyleRowBandSize w:val="1"/>
      <w:tblStyleColBandSize w:val="1"/>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sz w:val="22"/>
      </w:rPr>
      <w:tblPr/>
    </w:tblStylePr>
    <w:tblStylePr w:type="fir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tblStylePr w:type="lastCol">
      <w:rPr>
        <w:b/>
        <w:sz w:val="22"/>
      </w:rPr>
      <w:tblPr/>
    </w:tblStylePr>
    <w:tblStylePr w:type="lastRow">
      <w:rPr>
        <w:b/>
        <w:sz w:val="22"/>
      </w:rPr>
      <w:tblPr/>
      <w:tcPr>
        <w:tcBorders>
          <w:top w:val="single" w:color="000000" w:themeColor="accent1" w:sz="4" w:space="0"/>
          <w:left w:val="none" w:color="000000" w:sz="4" w:space="0"/>
          <w:bottom w:val="single" w:color="000000" w:themeColor="accent1" w:sz="4" w:space="0"/>
          <w:right w:val="none" w:color="000000" w:sz="4" w:space="0"/>
        </w:tcBorders>
      </w:tcPr>
    </w:tblStylePr>
  </w:style>
  <w:style w:type="table" w:styleId="844">
    <w:name w:val="List Table 2 - Accent 2"/>
    <w:uiPriority w:val="99"/>
    <w:pPr>
      <w:spacing w:after="0" w:line="240" w:lineRule="auto"/>
    </w:pPr>
    <w:tblPr>
      <w:tblStyleRowBandSize w:val="1"/>
      <w:tblStyleColBandSize w:val="1"/>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sz w:val="22"/>
      </w:rPr>
      <w:tblPr/>
    </w:tblStylePr>
    <w:tblStylePr w:type="fir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tblStylePr w:type="lastCol">
      <w:rPr>
        <w:b/>
        <w:sz w:val="22"/>
      </w:rPr>
      <w:tblPr/>
    </w:tblStylePr>
    <w:tblStylePr w:type="lastRow">
      <w:rPr>
        <w:b/>
        <w:sz w:val="22"/>
      </w:rPr>
      <w:tblPr/>
      <w:tcPr>
        <w:tcBorders>
          <w:top w:val="single" w:color="000000" w:themeColor="accent2" w:sz="4" w:space="0"/>
          <w:left w:val="none" w:color="000000" w:sz="4" w:space="0"/>
          <w:bottom w:val="single" w:color="000000" w:themeColor="accent2" w:sz="4" w:space="0"/>
          <w:right w:val="none" w:color="000000" w:sz="4" w:space="0"/>
        </w:tcBorders>
      </w:tcPr>
    </w:tblStylePr>
  </w:style>
  <w:style w:type="table" w:styleId="845">
    <w:name w:val="List Table 2 - Accent 3"/>
    <w:uiPriority w:val="99"/>
    <w:pPr>
      <w:spacing w:after="0" w:line="240" w:lineRule="auto"/>
    </w:pPr>
    <w:tblPr>
      <w:tblStyleRowBandSize w:val="1"/>
      <w:tblStyleColBandSize w:val="1"/>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sz w:val="22"/>
      </w:rPr>
      <w:tblPr/>
    </w:tblStylePr>
    <w:tblStylePr w:type="fir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tblStylePr w:type="lastCol">
      <w:rPr>
        <w:b/>
        <w:sz w:val="22"/>
      </w:rPr>
      <w:tblPr/>
    </w:tblStylePr>
    <w:tblStylePr w:type="lastRow">
      <w:rPr>
        <w:b/>
        <w:sz w:val="22"/>
      </w:rPr>
      <w:tblPr/>
      <w:tcPr>
        <w:tcBorders>
          <w:top w:val="single" w:color="000000" w:themeColor="accent3" w:sz="4" w:space="0"/>
          <w:left w:val="none" w:color="000000" w:sz="4" w:space="0"/>
          <w:bottom w:val="single" w:color="000000" w:themeColor="accent3" w:sz="4" w:space="0"/>
          <w:right w:val="none" w:color="000000" w:sz="4" w:space="0"/>
        </w:tcBorders>
      </w:tcPr>
    </w:tblStylePr>
  </w:style>
  <w:style w:type="table" w:styleId="846">
    <w:name w:val="List Table 2 - Accent 4"/>
    <w:uiPriority w:val="99"/>
    <w:pPr>
      <w:spacing w:after="0" w:line="240" w:lineRule="auto"/>
    </w:pPr>
    <w:tblPr>
      <w:tblStyleRowBandSize w:val="1"/>
      <w:tblStyleColBandSize w:val="1"/>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sz w:val="22"/>
      </w:rPr>
      <w:tblPr/>
    </w:tblStylePr>
    <w:tblStylePr w:type="fir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tblStylePr w:type="lastCol">
      <w:rPr>
        <w:b/>
        <w:sz w:val="22"/>
      </w:rPr>
      <w:tblPr/>
    </w:tblStylePr>
    <w:tblStylePr w:type="lastRow">
      <w:rPr>
        <w:b/>
        <w:sz w:val="22"/>
      </w:rPr>
      <w:tblPr/>
      <w:tcPr>
        <w:tcBorders>
          <w:top w:val="single" w:color="000000" w:themeColor="accent4" w:sz="4" w:space="0"/>
          <w:left w:val="none" w:color="000000" w:sz="4" w:space="0"/>
          <w:bottom w:val="single" w:color="000000" w:themeColor="accent4" w:sz="4" w:space="0"/>
          <w:right w:val="none" w:color="000000" w:sz="4" w:space="0"/>
        </w:tcBorders>
      </w:tcPr>
    </w:tblStylePr>
  </w:style>
  <w:style w:type="table" w:styleId="847">
    <w:name w:val="List Table 2 - Accent 5"/>
    <w:uiPriority w:val="99"/>
    <w:pPr>
      <w:spacing w:after="0" w:line="240" w:lineRule="auto"/>
    </w:pPr>
    <w:tblPr>
      <w:tblStyleRowBandSize w:val="1"/>
      <w:tblStyleColBandSize w:val="1"/>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sz w:val="22"/>
      </w:rPr>
      <w:tblPr/>
    </w:tblStylePr>
    <w:tblStylePr w:type="fir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tblStylePr w:type="lastCol">
      <w:rPr>
        <w:b/>
        <w:sz w:val="22"/>
      </w:rPr>
      <w:tblPr/>
    </w:tblStylePr>
    <w:tblStylePr w:type="lastRow">
      <w:rPr>
        <w:b/>
        <w:sz w:val="22"/>
      </w:rPr>
      <w:tblPr/>
      <w:tcPr>
        <w:tcBorders>
          <w:top w:val="single" w:color="000000" w:themeColor="accent5" w:sz="4" w:space="0"/>
          <w:left w:val="none" w:color="000000" w:sz="4" w:space="0"/>
          <w:bottom w:val="single" w:color="000000" w:themeColor="accent5" w:sz="4" w:space="0"/>
          <w:right w:val="none" w:color="000000" w:sz="4" w:space="0"/>
        </w:tcBorders>
      </w:tcPr>
    </w:tblStylePr>
  </w:style>
  <w:style w:type="table" w:styleId="848">
    <w:name w:val="List Table 2 - Accent 6"/>
    <w:uiPriority w:val="99"/>
    <w:pPr>
      <w:spacing w:after="0" w:line="240" w:lineRule="auto"/>
    </w:pPr>
    <w:tblPr>
      <w:tblStyleRowBandSize w:val="1"/>
      <w:tblStyleColBandSize w:val="1"/>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sz w:val="22"/>
      </w:rPr>
      <w:tblPr/>
    </w:tblStylePr>
    <w:tblStylePr w:type="fir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tblStylePr w:type="lastCol">
      <w:rPr>
        <w:b/>
        <w:sz w:val="22"/>
      </w:rPr>
      <w:tblPr/>
    </w:tblStylePr>
    <w:tblStylePr w:type="lastRow">
      <w:rPr>
        <w:b/>
        <w:sz w:val="22"/>
      </w:rPr>
      <w:tblPr/>
      <w:tcPr>
        <w:tcBorders>
          <w:top w:val="single" w:color="000000" w:themeColor="accent6" w:sz="4" w:space="0"/>
          <w:left w:val="none" w:color="000000" w:sz="4" w:space="0"/>
          <w:bottom w:val="single" w:color="000000" w:themeColor="accent6" w:sz="4" w:space="0"/>
          <w:right w:val="none" w:color="000000" w:sz="4" w:space="0"/>
        </w:tcBorders>
      </w:tcPr>
    </w:tblStylePr>
  </w:style>
  <w:style w:type="table" w:styleId="849">
    <w:name w:val="List Table 3"/>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0">
    <w:name w:val="List Table 3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sz w:val="22"/>
      </w:rPr>
      <w:tblPr/>
      <w:tcPr>
        <w:tcBorders>
          <w:top w:val="single" w:color="000000" w:themeColor="accent1" w:sz="4" w:space="0"/>
          <w:bottom w:val="single" w:color="000000" w:themeColor="accent1" w:sz="4" w:space="0"/>
        </w:tcBorders>
      </w:tcPr>
    </w:tblStylePr>
    <w:tblStylePr w:type="band1Vert">
      <w:rPr>
        <w:sz w:val="22"/>
      </w:rPr>
      <w:tblPr/>
      <w:tcPr>
        <w:tcBorders>
          <w:left w:val="single" w:color="000000" w:themeColor="accent1" w:sz="4" w:space="0"/>
          <w:right w:val="single" w:color="000000" w:themeColor="accent1" w:sz="4" w:space="0"/>
        </w:tcBorders>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1">
    <w:name w:val="List Table 3 - Accent 2"/>
    <w:uiPriority w:val="99"/>
    <w:pPr>
      <w:spacing w:after="0" w:line="240" w:lineRule="auto"/>
    </w:pPr>
    <w:tblPr>
      <w:tblStyleRowBandSize w:val="1"/>
      <w:tblStyleColBandSize w:val="1"/>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sz w:val="22"/>
      </w:rPr>
      <w:tblPr/>
      <w:tcPr>
        <w:tcBorders>
          <w:top w:val="single" w:color="000000" w:themeColor="accent2" w:sz="4" w:space="0"/>
          <w:bottom w:val="single" w:color="000000" w:themeColor="accent2" w:sz="4" w:space="0"/>
        </w:tcBorders>
      </w:tcPr>
    </w:tblStylePr>
    <w:tblStylePr w:type="band1Vert">
      <w:rPr>
        <w:sz w:val="22"/>
      </w:rPr>
      <w:tblPr/>
      <w:tcPr>
        <w:tcBorders>
          <w:left w:val="single" w:color="000000" w:themeColor="accent2" w:sz="4" w:space="0"/>
          <w:right w:val="single" w:color="000000" w:themeColor="accent2" w:sz="4" w:space="0"/>
        </w:tcBorders>
      </w:tcPr>
    </w:tblStylePr>
    <w:tblStylePr w:type="firstCol">
      <w:rPr>
        <w:b/>
      </w:rPr>
      <w:tblPr/>
    </w:tblStylePr>
    <w:tblStylePr w:type="firstRow">
      <w:rPr>
        <w:b/>
        <w:sz w:val="22"/>
      </w:rPr>
      <w:tblPr/>
      <w:tcPr>
        <w:shd w:val="clear" w:color="FFFFFF" w:fill="D99694" w:themeFill="accent2" w:themeFillTint="97"/>
      </w:tcPr>
    </w:tblStylePr>
    <w:tblStylePr w:type="lastCol">
      <w:rPr>
        <w:b/>
      </w:rPr>
      <w:tblPr/>
    </w:tblStylePr>
    <w:tblStylePr w:type="lastRow">
      <w:rPr>
        <w:b/>
      </w:rPr>
      <w:tblPr/>
    </w:tblStylePr>
  </w:style>
  <w:style w:type="table" w:styleId="852">
    <w:name w:val="List Table 3 - Accent 3"/>
    <w:uiPriority w:val="99"/>
    <w:pPr>
      <w:spacing w:after="0" w:line="240" w:lineRule="auto"/>
    </w:pPr>
    <w:tblPr>
      <w:tblStyleRowBandSize w:val="1"/>
      <w:tblStyleColBandSize w:val="1"/>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sz w:val="22"/>
      </w:rPr>
      <w:tblPr/>
      <w:tcPr>
        <w:tcBorders>
          <w:top w:val="single" w:color="000000" w:themeColor="accent3" w:sz="4" w:space="0"/>
          <w:bottom w:val="single" w:color="000000" w:themeColor="accent3" w:sz="4" w:space="0"/>
        </w:tcBorders>
      </w:tcPr>
    </w:tblStylePr>
    <w:tblStylePr w:type="band1Vert">
      <w:rPr>
        <w:sz w:val="22"/>
      </w:rPr>
      <w:tblPr/>
      <w:tcPr>
        <w:tcBorders>
          <w:left w:val="single" w:color="000000" w:themeColor="accent3" w:sz="4" w:space="0"/>
          <w:right w:val="single" w:color="000000" w:themeColor="accent3" w:sz="4" w:space="0"/>
        </w:tcBorders>
      </w:tcPr>
    </w:tblStylePr>
    <w:tblStylePr w:type="firstCol">
      <w:rPr>
        <w:b/>
      </w:rPr>
      <w:tblPr/>
    </w:tblStylePr>
    <w:tblStylePr w:type="firstRow">
      <w:rPr>
        <w:b/>
        <w:sz w:val="22"/>
      </w:rPr>
      <w:tblPr/>
      <w:tcPr>
        <w:shd w:val="clear" w:color="FFFFFF" w:fill="C3D69B" w:themeFill="accent3" w:themeFillTint="98"/>
      </w:tcPr>
    </w:tblStylePr>
    <w:tblStylePr w:type="lastCol">
      <w:rPr>
        <w:b/>
      </w:rPr>
      <w:tblPr/>
    </w:tblStylePr>
    <w:tblStylePr w:type="lastRow">
      <w:rPr>
        <w:b/>
      </w:rPr>
      <w:tblPr/>
    </w:tblStylePr>
  </w:style>
  <w:style w:type="table" w:styleId="853">
    <w:name w:val="List Table 3 - Accent 4"/>
    <w:uiPriority w:val="99"/>
    <w:pPr>
      <w:spacing w:after="0" w:line="240" w:lineRule="auto"/>
    </w:pPr>
    <w:tblPr>
      <w:tblStyleRowBandSize w:val="1"/>
      <w:tblStyleColBandSize w:val="1"/>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sz w:val="22"/>
      </w:rPr>
      <w:tblPr/>
      <w:tcPr>
        <w:tcBorders>
          <w:top w:val="single" w:color="000000" w:themeColor="accent4" w:sz="4" w:space="0"/>
          <w:bottom w:val="single" w:color="000000" w:themeColor="accent4" w:sz="4" w:space="0"/>
        </w:tcBorders>
      </w:tcPr>
    </w:tblStylePr>
    <w:tblStylePr w:type="band1Vert">
      <w:rPr>
        <w:sz w:val="22"/>
      </w:rPr>
      <w:tblPr/>
      <w:tcPr>
        <w:tcBorders>
          <w:left w:val="single" w:color="000000" w:themeColor="accent4" w:sz="4" w:space="0"/>
          <w:right w:val="single" w:color="000000" w:themeColor="accent4" w:sz="4" w:space="0"/>
        </w:tcBorders>
      </w:tcPr>
    </w:tblStylePr>
    <w:tblStylePr w:type="firstCol">
      <w:rPr>
        <w:b/>
      </w:rPr>
      <w:tblPr/>
    </w:tblStylePr>
    <w:tblStylePr w:type="firstRow">
      <w:rPr>
        <w:b/>
        <w:sz w:val="22"/>
      </w:rPr>
      <w:tblPr/>
      <w:tcPr>
        <w:shd w:val="clear" w:color="FFFFFF" w:fill="B2A1C6" w:themeFill="accent4" w:themeFillTint="9a"/>
      </w:tcPr>
    </w:tblStylePr>
    <w:tblStylePr w:type="lastCol">
      <w:rPr>
        <w:b/>
      </w:rPr>
      <w:tblPr/>
    </w:tblStylePr>
    <w:tblStylePr w:type="lastRow">
      <w:rPr>
        <w:b/>
      </w:rPr>
      <w:tblPr/>
    </w:tblStylePr>
  </w:style>
  <w:style w:type="table" w:styleId="854">
    <w:name w:val="List Table 3 - Accent 5"/>
    <w:uiPriority w:val="99"/>
    <w:pPr>
      <w:spacing w:after="0" w:line="240" w:lineRule="auto"/>
    </w:pPr>
    <w:tblPr>
      <w:tblStyleRowBandSize w:val="1"/>
      <w:tblStyleColBandSize w:val="1"/>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sz w:val="22"/>
      </w:rPr>
      <w:tblPr/>
      <w:tcPr>
        <w:tcBorders>
          <w:top w:val="single" w:color="000000" w:themeColor="accent5" w:sz="4" w:space="0"/>
          <w:bottom w:val="single" w:color="000000" w:themeColor="accent5" w:sz="4" w:space="0"/>
        </w:tcBorders>
      </w:tcPr>
    </w:tblStylePr>
    <w:tblStylePr w:type="band1Vert">
      <w:rPr>
        <w:sz w:val="22"/>
      </w:rPr>
      <w:tblPr/>
      <w:tcPr>
        <w:tcBorders>
          <w:left w:val="single" w:color="000000" w:themeColor="accent5" w:sz="4" w:space="0"/>
          <w:right w:val="single" w:color="000000" w:themeColor="accent5" w:sz="4" w:space="0"/>
        </w:tcBorders>
      </w:tcPr>
    </w:tblStylePr>
    <w:tblStylePr w:type="firstCol">
      <w:rPr>
        <w:b/>
      </w:rPr>
      <w:tblPr/>
    </w:tblStylePr>
    <w:tblStylePr w:type="firstRow">
      <w:rPr>
        <w:b/>
        <w:sz w:val="22"/>
      </w:rPr>
      <w:tblPr/>
      <w:tcPr>
        <w:shd w:val="clear" w:color="FFFFFF" w:fill="91CDDC" w:themeFill="accent5" w:themeFillTint="9a"/>
      </w:tcPr>
    </w:tblStylePr>
    <w:tblStylePr w:type="lastCol">
      <w:rPr>
        <w:b/>
      </w:rPr>
      <w:tblPr/>
    </w:tblStylePr>
    <w:tblStylePr w:type="lastRow">
      <w:rPr>
        <w:b/>
      </w:rPr>
      <w:tblPr/>
    </w:tblStylePr>
  </w:style>
  <w:style w:type="table" w:styleId="855">
    <w:name w:val="List Table 3 - Accent 6"/>
    <w:uiPriority w:val="99"/>
    <w:pPr>
      <w:spacing w:after="0" w:line="240" w:lineRule="auto"/>
    </w:pPr>
    <w:tblPr>
      <w:tblStyleRowBandSize w:val="1"/>
      <w:tblStyleColBandSize w:val="1"/>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sz w:val="22"/>
      </w:rPr>
      <w:tblPr/>
      <w:tcPr>
        <w:tcBorders>
          <w:top w:val="single" w:color="000000" w:themeColor="accent6" w:sz="4" w:space="0"/>
          <w:bottom w:val="single" w:color="000000" w:themeColor="accent6" w:sz="4" w:space="0"/>
        </w:tcBorders>
      </w:tcPr>
    </w:tblStylePr>
    <w:tblStylePr w:type="band1Vert">
      <w:rPr>
        <w:sz w:val="22"/>
      </w:rPr>
      <w:tblPr/>
      <w:tcPr>
        <w:tcBorders>
          <w:left w:val="single" w:color="000000" w:themeColor="accent6" w:sz="4" w:space="0"/>
          <w:right w:val="single" w:color="000000" w:themeColor="accent6" w:sz="4" w:space="0"/>
        </w:tcBorders>
      </w:tcPr>
    </w:tblStylePr>
    <w:tblStylePr w:type="firstCol">
      <w:rPr>
        <w:b/>
      </w:rPr>
      <w:tblPr/>
    </w:tblStylePr>
    <w:tblStylePr w:type="firstRow">
      <w:rPr>
        <w:b/>
        <w:sz w:val="22"/>
      </w:rPr>
      <w:tblPr/>
      <w:tcPr>
        <w:shd w:val="clear" w:color="FFFFFF" w:fill="F9BF90" w:themeFill="accent6" w:themeFillTint="98"/>
      </w:tcPr>
    </w:tblStylePr>
    <w:tblStylePr w:type="lastCol">
      <w:rPr>
        <w:b/>
      </w:rPr>
      <w:tblPr/>
    </w:tblStylePr>
    <w:tblStylePr w:type="lastRow">
      <w:rPr>
        <w:b/>
      </w:rPr>
      <w:tblPr/>
    </w:tblStylePr>
  </w:style>
  <w:style w:type="table" w:styleId="856">
    <w:name w:val="List Table 4"/>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sz w:val="22"/>
      </w:rPr>
      <w:tblPr/>
      <w:tcPr>
        <w:shd w:val="clear" w:color="FFFFFF" w:fill="BFBFBF" w:themeFill="text1" w:themeFillTint="40"/>
      </w:tcPr>
    </w:tblStylePr>
    <w:tblStylePr w:type="band1Vert">
      <w:rPr>
        <w:sz w:val="22"/>
      </w:rPr>
      <w:tblPr/>
      <w:tcPr>
        <w:shd w:val="clear" w:color="FFFFFF" w:fill="BFBFBF" w:themeFill="text1" w:themeFillTint="40"/>
      </w:tcPr>
    </w:tblStylePr>
    <w:tblStylePr w:type="firstCol">
      <w:rPr>
        <w:b/>
      </w:rPr>
      <w:tblPr/>
    </w:tblStylePr>
    <w:tblStylePr w:type="firstRow">
      <w:rPr>
        <w:b/>
        <w:sz w:val="22"/>
      </w:rPr>
      <w:tblPr/>
      <w:tcPr>
        <w:shd w:val="clear" w:color="FFFFFF" w:fill="000000" w:themeFill="text1"/>
      </w:tcPr>
    </w:tblStylePr>
    <w:tblStylePr w:type="lastCol">
      <w:rPr>
        <w:b/>
      </w:rPr>
      <w:tblPr/>
    </w:tblStylePr>
    <w:tblStylePr w:type="lastRow">
      <w:rPr>
        <w:b/>
      </w:rPr>
      <w:tblPr/>
    </w:tblStylePr>
  </w:style>
  <w:style w:type="table" w:styleId="857">
    <w:name w:val="List Table 4 - Accent 1"/>
    <w:uiPriority w:val="99"/>
    <w:pPr>
      <w:spacing w:after="0" w:line="240" w:lineRule="auto"/>
    </w:pPr>
    <w:tblPr>
      <w:tblStyleRowBandSize w:val="1"/>
      <w:tblStyleColBandSize w:val="1"/>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sz w:val="22"/>
      </w:rPr>
      <w:tblPr/>
      <w:tcPr>
        <w:shd w:val="clear" w:color="FFFFFF" w:fill="D3E0EE" w:themeFill="accent1" w:themeFillTint="40"/>
      </w:tcPr>
    </w:tblStylePr>
    <w:tblStylePr w:type="band1Vert">
      <w:rPr>
        <w:sz w:val="22"/>
      </w:rPr>
      <w:tblPr/>
      <w:tcPr>
        <w:shd w:val="clear" w:color="FFFFFF" w:fill="D3E0EE" w:themeFill="accent1" w:themeFillTint="40"/>
      </w:tcPr>
    </w:tblStylePr>
    <w:tblStylePr w:type="firstCol">
      <w:rPr>
        <w:b/>
      </w:rPr>
      <w:tblPr/>
    </w:tblStylePr>
    <w:tblStylePr w:type="firstRow">
      <w:rPr>
        <w:b/>
        <w:sz w:val="22"/>
      </w:rPr>
      <w:tblPr/>
      <w:tcPr>
        <w:shd w:val="clear" w:color="FFFFFF" w:fill="4F81BD" w:themeFill="accent1"/>
      </w:tcPr>
    </w:tblStylePr>
    <w:tblStylePr w:type="lastCol">
      <w:rPr>
        <w:b/>
      </w:rPr>
      <w:tblPr/>
    </w:tblStylePr>
    <w:tblStylePr w:type="lastRow">
      <w:rPr>
        <w:b/>
      </w:rPr>
      <w:tblPr/>
    </w:tblStylePr>
  </w:style>
  <w:style w:type="table" w:styleId="858">
    <w:name w:val="List Table 4 - Accent 2"/>
    <w:uiPriority w:val="99"/>
    <w:pPr>
      <w:spacing w:after="0" w:line="240" w:lineRule="auto"/>
    </w:pPr>
    <w:tblPr>
      <w:tblStyleRowBandSize w:val="1"/>
      <w:tblStyleColBandSize w:val="1"/>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sz w:val="22"/>
      </w:rPr>
      <w:tblPr/>
      <w:tcPr>
        <w:shd w:val="clear" w:color="FFFFFF" w:fill="EFD3D2" w:themeFill="accent2" w:themeFillTint="40"/>
      </w:tcPr>
    </w:tblStylePr>
    <w:tblStylePr w:type="band1Vert">
      <w:rPr>
        <w:sz w:val="22"/>
      </w:rPr>
      <w:tblPr/>
      <w:tcPr>
        <w:shd w:val="clear" w:color="FFFFFF" w:fill="EFD3D2" w:themeFill="accent2" w:themeFillTint="40"/>
      </w:tcPr>
    </w:tblStylePr>
    <w:tblStylePr w:type="firstCol">
      <w:rPr>
        <w:b/>
      </w:rPr>
      <w:tblPr/>
    </w:tblStylePr>
    <w:tblStylePr w:type="firstRow">
      <w:rPr>
        <w:b/>
        <w:sz w:val="22"/>
      </w:rPr>
      <w:tblPr/>
      <w:tcPr>
        <w:shd w:val="clear" w:color="FFFFFF" w:fill="C0504D" w:themeFill="accent2"/>
      </w:tcPr>
    </w:tblStylePr>
    <w:tblStylePr w:type="lastCol">
      <w:rPr>
        <w:b/>
      </w:rPr>
      <w:tblPr/>
    </w:tblStylePr>
    <w:tblStylePr w:type="lastRow">
      <w:rPr>
        <w:b/>
      </w:rPr>
      <w:tblPr/>
    </w:tblStylePr>
  </w:style>
  <w:style w:type="table" w:styleId="859">
    <w:name w:val="List Table 4 - Accent 3"/>
    <w:uiPriority w:val="99"/>
    <w:pPr>
      <w:spacing w:after="0" w:line="240" w:lineRule="auto"/>
    </w:pPr>
    <w:tblPr>
      <w:tblStyleRowBandSize w:val="1"/>
      <w:tblStyleColBandSize w:val="1"/>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sz w:val="22"/>
      </w:rPr>
      <w:tblPr/>
      <w:tcPr>
        <w:shd w:val="clear" w:color="FFFFFF" w:fill="E6EED5" w:themeFill="accent3" w:themeFillTint="40"/>
      </w:tcPr>
    </w:tblStylePr>
    <w:tblStylePr w:type="band1Vert">
      <w:rPr>
        <w:sz w:val="22"/>
      </w:rPr>
      <w:tblPr/>
      <w:tcPr>
        <w:shd w:val="clear" w:color="FFFFFF" w:fill="E6EED5" w:themeFill="accent3" w:themeFillTint="40"/>
      </w:tcPr>
    </w:tblStylePr>
    <w:tblStylePr w:type="firstCol">
      <w:rPr>
        <w:b/>
      </w:rPr>
      <w:tblPr/>
    </w:tblStylePr>
    <w:tblStylePr w:type="firstRow">
      <w:rPr>
        <w:b/>
        <w:sz w:val="22"/>
      </w:rPr>
      <w:tblPr/>
      <w:tcPr>
        <w:shd w:val="clear" w:color="FFFFFF" w:fill="9BBB59" w:themeFill="accent3"/>
      </w:tcPr>
    </w:tblStylePr>
    <w:tblStylePr w:type="lastCol">
      <w:rPr>
        <w:b/>
      </w:rPr>
      <w:tblPr/>
    </w:tblStylePr>
    <w:tblStylePr w:type="lastRow">
      <w:rPr>
        <w:b/>
      </w:rPr>
      <w:tblPr/>
    </w:tblStylePr>
  </w:style>
  <w:style w:type="table" w:styleId="860">
    <w:name w:val="List Table 4 - Accent 4"/>
    <w:uiPriority w:val="99"/>
    <w:pPr>
      <w:spacing w:after="0" w:line="240" w:lineRule="auto"/>
    </w:pPr>
    <w:tblPr>
      <w:tblStyleRowBandSize w:val="1"/>
      <w:tblStyleColBandSize w:val="1"/>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sz w:val="22"/>
      </w:rPr>
      <w:tblPr/>
      <w:tcPr>
        <w:shd w:val="clear" w:color="FFFFFF" w:fill="DFD8E7" w:themeFill="accent4" w:themeFillTint="40"/>
      </w:tcPr>
    </w:tblStylePr>
    <w:tblStylePr w:type="band1Vert">
      <w:rPr>
        <w:sz w:val="22"/>
      </w:rPr>
      <w:tblPr/>
      <w:tcPr>
        <w:shd w:val="clear" w:color="FFFFFF" w:fill="DFD8E7" w:themeFill="accent4" w:themeFillTint="40"/>
      </w:tcPr>
    </w:tblStylePr>
    <w:tblStylePr w:type="firstCol">
      <w:rPr>
        <w:b/>
      </w:rPr>
      <w:tblPr/>
    </w:tblStylePr>
    <w:tblStylePr w:type="firstRow">
      <w:rPr>
        <w:b/>
        <w:sz w:val="22"/>
      </w:rPr>
      <w:tblPr/>
      <w:tcPr>
        <w:shd w:val="clear" w:color="FFFFFF" w:fill="8064A2" w:themeFill="accent4"/>
      </w:tcPr>
    </w:tblStylePr>
    <w:tblStylePr w:type="lastCol">
      <w:rPr>
        <w:b/>
      </w:rPr>
      <w:tblPr/>
    </w:tblStylePr>
    <w:tblStylePr w:type="lastRow">
      <w:rPr>
        <w:b/>
      </w:rPr>
      <w:tblPr/>
    </w:tblStylePr>
  </w:style>
  <w:style w:type="table" w:styleId="861">
    <w:name w:val="List Table 4 - Accent 5"/>
    <w:uiPriority w:val="99"/>
    <w:pPr>
      <w:spacing w:after="0" w:line="240" w:lineRule="auto"/>
    </w:pPr>
    <w:tblPr>
      <w:tblStyleRowBandSize w:val="1"/>
      <w:tblStyleColBandSize w:val="1"/>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sz w:val="22"/>
      </w:rPr>
      <w:tblPr/>
      <w:tcPr>
        <w:shd w:val="clear" w:color="FFFFFF" w:fill="D1EAF0" w:themeFill="accent5" w:themeFillTint="40"/>
      </w:tcPr>
    </w:tblStylePr>
    <w:tblStylePr w:type="band1Vert">
      <w:rPr>
        <w:sz w:val="22"/>
      </w:rPr>
      <w:tblPr/>
      <w:tcPr>
        <w:shd w:val="clear" w:color="FFFFFF" w:fill="D1EAF0" w:themeFill="accent5" w:themeFillTint="40"/>
      </w:tcPr>
    </w:tblStylePr>
    <w:tblStylePr w:type="firstCol">
      <w:rPr>
        <w:b/>
      </w:rPr>
      <w:tblPr/>
    </w:tblStylePr>
    <w:tblStylePr w:type="firstRow">
      <w:rPr>
        <w:b/>
        <w:sz w:val="22"/>
      </w:rPr>
      <w:tblPr/>
      <w:tcPr>
        <w:shd w:val="clear" w:color="FFFFFF" w:fill="4BACC6" w:themeFill="accent5"/>
      </w:tcPr>
    </w:tblStylePr>
    <w:tblStylePr w:type="lastCol">
      <w:rPr>
        <w:b/>
      </w:rPr>
      <w:tblPr/>
    </w:tblStylePr>
    <w:tblStylePr w:type="lastRow">
      <w:rPr>
        <w:b/>
      </w:rPr>
      <w:tblPr/>
    </w:tblStylePr>
  </w:style>
  <w:style w:type="table" w:styleId="862">
    <w:name w:val="List Table 4 - Accent 6"/>
    <w:uiPriority w:val="99"/>
    <w:pPr>
      <w:spacing w:after="0" w:line="240" w:lineRule="auto"/>
    </w:pPr>
    <w:tblPr>
      <w:tblStyleRowBandSize w:val="1"/>
      <w:tblStyleColBandSize w:val="1"/>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sz w:val="22"/>
      </w:rPr>
      <w:tblPr/>
      <w:tcPr>
        <w:shd w:val="clear" w:color="FFFFFF" w:fill="FCE4D1" w:themeFill="accent6" w:themeFillTint="40"/>
      </w:tcPr>
    </w:tblStylePr>
    <w:tblStylePr w:type="band1Vert">
      <w:rPr>
        <w:sz w:val="22"/>
      </w:rPr>
      <w:tblPr/>
      <w:tcPr>
        <w:shd w:val="clear" w:color="FFFFFF" w:fill="FCE4D1" w:themeFill="accent6" w:themeFillTint="40"/>
      </w:tcPr>
    </w:tblStylePr>
    <w:tblStylePr w:type="firstCol">
      <w:rPr>
        <w:b/>
      </w:rPr>
      <w:tblPr/>
    </w:tblStylePr>
    <w:tblStylePr w:type="firstRow">
      <w:rPr>
        <w:b/>
        <w:sz w:val="22"/>
      </w:rPr>
      <w:tblPr/>
      <w:tcPr>
        <w:shd w:val="clear" w:color="FFFFFF" w:fill="F79646" w:themeFill="accent6"/>
      </w:tcPr>
    </w:tblStylePr>
    <w:tblStylePr w:type="lastCol">
      <w:rPr>
        <w:b/>
      </w:rPr>
      <w:tblPr/>
    </w:tblStylePr>
    <w:tblStylePr w:type="lastRow">
      <w:rPr>
        <w:b/>
      </w:rPr>
      <w:tblPr/>
    </w:tblStylePr>
  </w:style>
  <w:style w:type="table" w:styleId="863">
    <w:name w:val="List Table 5 Dark"/>
    <w:uiPriority w:val="99"/>
    <w:pPr>
      <w:spacing w:after="0" w:line="240" w:lineRule="auto"/>
    </w:pPr>
    <w:tblPr>
      <w:tblStyleRowBandSize w:val="1"/>
      <w:tblStyleColBandSize w:val="1"/>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tblStylePr w:type="band1Horz">
      <w:tblPr/>
      <w:tcPr>
        <w:tcBorders>
          <w:top w:val="single" w:color="000000" w:themeColor="light1" w:sz="4" w:space="0"/>
          <w:bottom w:val="single" w:color="000000" w:themeColor="light1" w:sz="4" w:space="0"/>
        </w:tcBorders>
        <w:shd w:val="clear" w:color="FFFFFF" w:fill="7F7F7F" w:themeFill="text1" w:themeFillTint="80"/>
      </w:tcPr>
    </w:tblStylePr>
    <w:tblStylePr w:type="band1Vert">
      <w:tblPr/>
      <w:tcPr>
        <w:tcBorders>
          <w:left w:val="single" w:color="000000" w:themeColor="light1" w:sz="4" w:space="0"/>
          <w:right w:val="single" w:color="000000" w:themeColor="light1" w:sz="4" w:space="0"/>
        </w:tcBorders>
        <w:shd w:val="clear" w:color="FFFFFF" w:fill="7F7F7F" w:themeFill="text1" w:themeFillTint="80"/>
      </w:tcPr>
    </w:tblStylePr>
    <w:tblStylePr w:type="band2Horz">
      <w:tblPr/>
      <w:tcPr>
        <w:tcBorders>
          <w:top w:val="single" w:color="000000" w:themeColor="light1" w:sz="4" w:space="0"/>
          <w:bottom w:val="single" w:color="000000" w:themeColor="light1" w:sz="4" w:space="0"/>
        </w:tcBorders>
        <w:shd w:val="clear" w:color="FFFFFF" w:fill="7F7F7F" w:themeFill="text1" w:themeFillTint="80"/>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text1" w:sz="32" w:space="0"/>
          <w:right w:val="single" w:color="000000" w:themeColor="light1" w:sz="4" w:space="0"/>
        </w:tcBorders>
      </w:tcPr>
    </w:tblStylePr>
    <w:tblStylePr w:type="firstRow">
      <w:rPr>
        <w:b/>
        <w:color w:themeColor="light1"/>
        <w:sz w:val="22"/>
      </w:rPr>
      <w:tblPr/>
      <w:tcPr>
        <w:tcBorders>
          <w:top w:val="single" w:color="000000" w:themeColor="text1" w:sz="32" w:space="0"/>
          <w:bottom w:val="single" w:color="000000" w:themeColor="light1" w:sz="12" w:space="0"/>
        </w:tcBorders>
        <w:shd w:val="clear" w:color="FFFFFF" w:fill="7F7F7F" w:themeFill="text1" w:themeFillTint="80"/>
      </w:tcPr>
    </w:tblStylePr>
    <w:tblStylePr w:type="lastCol">
      <w:tblPr/>
      <w:tcPr>
        <w:tcBorders>
          <w:left w:val="single" w:color="000000" w:themeColor="light1" w:sz="4" w:space="0"/>
          <w:right w:val="single" w:color="000000" w:themeColor="text1" w:sz="32" w:space="0"/>
        </w:tcBorders>
      </w:tcPr>
    </w:tblStylePr>
    <w:tblStylePr w:type="lastRow">
      <w:rPr>
        <w:b/>
        <w:color w:themeColor="light1"/>
        <w:sz w:val="22"/>
      </w:rPr>
      <w:tblPr/>
    </w:tblStylePr>
    <w:tblStylePr w:type="wholeTable">
      <w:rPr>
        <w:color w:themeColor="light1"/>
        <w:sz w:val="22"/>
      </w:rPr>
      <w:tblPr/>
    </w:tblStylePr>
  </w:style>
  <w:style w:type="table" w:styleId="864">
    <w:name w:val="List Table 5 Dark - Accent 1"/>
    <w:uiPriority w:val="99"/>
    <w:pPr>
      <w:spacing w:after="0" w:line="240" w:lineRule="auto"/>
    </w:pPr>
    <w:tblPr>
      <w:tblStyleRowBandSize w:val="1"/>
      <w:tblStyleColBandSize w:val="1"/>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tblStylePr w:type="band1Horz">
      <w:tblPr/>
      <w:tcPr>
        <w:tcBorders>
          <w:top w:val="single" w:color="000000" w:themeColor="light1" w:sz="4" w:space="0"/>
          <w:bottom w:val="single" w:color="000000" w:themeColor="light1" w:sz="4" w:space="0"/>
        </w:tcBorders>
        <w:shd w:val="clear" w:color="FFFFFF" w:fill="4F81BD" w:themeFill="accent1"/>
      </w:tcPr>
    </w:tblStylePr>
    <w:tblStylePr w:type="band1Vert">
      <w:tblPr/>
      <w:tcPr>
        <w:tcBorders>
          <w:left w:val="single" w:color="000000" w:themeColor="light1" w:sz="4" w:space="0"/>
          <w:right w:val="single" w:color="000000" w:themeColor="light1" w:sz="4" w:space="0"/>
        </w:tcBorders>
        <w:shd w:val="clear" w:color="FFFFFF" w:fill="4F81BD" w:themeFill="accent1"/>
      </w:tcPr>
    </w:tblStylePr>
    <w:tblStylePr w:type="band2Horz">
      <w:tblPr/>
      <w:tcPr>
        <w:tcBorders>
          <w:top w:val="single" w:color="000000" w:themeColor="light1" w:sz="4" w:space="0"/>
          <w:bottom w:val="single" w:color="000000" w:themeColor="light1" w:sz="4" w:space="0"/>
        </w:tcBorders>
        <w:shd w:val="clear" w:color="FFFFFF" w:fill="4F81BD" w:themeFill="accent1"/>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1" w:sz="32" w:space="0"/>
          <w:right w:val="single" w:color="000000" w:themeColor="light1" w:sz="4" w:space="0"/>
        </w:tcBorders>
      </w:tcPr>
    </w:tblStylePr>
    <w:tblStylePr w:type="firstRow">
      <w:rPr>
        <w:b/>
        <w:color w:themeColor="light1"/>
        <w:sz w:val="22"/>
      </w:rPr>
      <w:tblPr/>
      <w:tcPr>
        <w:tcBorders>
          <w:top w:val="single" w:color="000000" w:themeColor="accent1" w:sz="32" w:space="0"/>
          <w:bottom w:val="single" w:color="000000" w:themeColor="light1" w:sz="12" w:space="0"/>
        </w:tcBorders>
        <w:shd w:val="clear" w:color="FFFFFF" w:fill="4F81BD" w:themeFill="accent1"/>
      </w:tcPr>
    </w:tblStylePr>
    <w:tblStylePr w:type="lastCol">
      <w:tblPr/>
      <w:tcPr>
        <w:tcBorders>
          <w:left w:val="single" w:color="000000" w:themeColor="light1" w:sz="4" w:space="0"/>
          <w:right w:val="single" w:color="000000" w:themeColor="accent1" w:sz="32" w:space="0"/>
        </w:tcBorders>
      </w:tcPr>
    </w:tblStylePr>
    <w:tblStylePr w:type="lastRow">
      <w:rPr>
        <w:b/>
        <w:color w:themeColor="light1"/>
        <w:sz w:val="22"/>
      </w:rPr>
      <w:tblPr/>
    </w:tblStylePr>
    <w:tblStylePr w:type="wholeTable">
      <w:rPr>
        <w:color w:themeColor="light1"/>
        <w:sz w:val="22"/>
      </w:rPr>
      <w:tblPr/>
    </w:tblStylePr>
  </w:style>
  <w:style w:type="table" w:styleId="865">
    <w:name w:val="List Table 5 Dark - Accent 2"/>
    <w:uiPriority w:val="99"/>
    <w:pPr>
      <w:spacing w:after="0" w:line="240" w:lineRule="auto"/>
    </w:pPr>
    <w:tblPr>
      <w:tblStyleRowBandSize w:val="1"/>
      <w:tblStyleColBandSize w:val="1"/>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tblStylePr w:type="band1Horz">
      <w:tblPr/>
      <w:tcPr>
        <w:tcBorders>
          <w:top w:val="single" w:color="000000" w:themeColor="light1" w:sz="4" w:space="0"/>
          <w:bottom w:val="single" w:color="000000" w:themeColor="light1" w:sz="4" w:space="0"/>
        </w:tcBorders>
        <w:shd w:val="clear" w:color="FFFFFF" w:fill="D99694" w:themeFill="accent2" w:themeFillTint="97"/>
      </w:tcPr>
    </w:tblStylePr>
    <w:tblStylePr w:type="band1Vert">
      <w:tblPr/>
      <w:tcPr>
        <w:tcBorders>
          <w:left w:val="single" w:color="000000" w:themeColor="light1" w:sz="4" w:space="0"/>
          <w:right w:val="single" w:color="000000" w:themeColor="light1" w:sz="4" w:space="0"/>
        </w:tcBorders>
        <w:shd w:val="clear" w:color="FFFFFF" w:fill="D99694" w:themeFill="accent2" w:themeFillTint="97"/>
      </w:tcPr>
    </w:tblStylePr>
    <w:tblStylePr w:type="band2Horz">
      <w:tblPr/>
      <w:tcPr>
        <w:tcBorders>
          <w:top w:val="single" w:color="000000" w:themeColor="light1" w:sz="4" w:space="0"/>
          <w:bottom w:val="single" w:color="000000" w:themeColor="light1" w:sz="4" w:space="0"/>
        </w:tcBorders>
        <w:shd w:val="clear" w:color="FFFFFF" w:fill="D99694" w:themeFill="accent2" w:themeFillTint="97"/>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2" w:sz="32" w:space="0"/>
          <w:right w:val="single" w:color="000000" w:themeColor="light1" w:sz="4" w:space="0"/>
        </w:tcBorders>
      </w:tcPr>
    </w:tblStylePr>
    <w:tblStylePr w:type="firstRow">
      <w:rPr>
        <w:b/>
        <w:color w:themeColor="light1"/>
        <w:sz w:val="22"/>
      </w:rPr>
      <w:tblPr/>
      <w:tcPr>
        <w:tcBorders>
          <w:top w:val="single" w:color="000000" w:themeColor="accent2" w:sz="32" w:space="0"/>
          <w:bottom w:val="single" w:color="000000" w:themeColor="light1" w:sz="12" w:space="0"/>
        </w:tcBorders>
        <w:shd w:val="clear" w:color="FFFFFF" w:fill="D99694" w:themeFill="accent2" w:themeFillTint="97"/>
      </w:tcPr>
    </w:tblStylePr>
    <w:tblStylePr w:type="lastCol">
      <w:tblPr/>
      <w:tcPr>
        <w:tcBorders>
          <w:left w:val="single" w:color="000000" w:themeColor="light1" w:sz="4" w:space="0"/>
          <w:right w:val="single" w:color="000000" w:themeColor="accent2" w:sz="32" w:space="0"/>
        </w:tcBorders>
      </w:tcPr>
    </w:tblStylePr>
    <w:tblStylePr w:type="lastRow">
      <w:rPr>
        <w:b/>
        <w:color w:themeColor="light1"/>
        <w:sz w:val="22"/>
      </w:rPr>
      <w:tblPr/>
    </w:tblStylePr>
    <w:tblStylePr w:type="wholeTable">
      <w:rPr>
        <w:color w:themeColor="light1"/>
        <w:sz w:val="22"/>
      </w:rPr>
      <w:tblPr/>
    </w:tblStylePr>
  </w:style>
  <w:style w:type="table" w:styleId="866">
    <w:name w:val="List Table 5 Dark - Accent 3"/>
    <w:uiPriority w:val="99"/>
    <w:pPr>
      <w:spacing w:after="0" w:line="240" w:lineRule="auto"/>
    </w:pPr>
    <w:tblPr>
      <w:tblStyleRowBandSize w:val="1"/>
      <w:tblStyleColBandSize w:val="1"/>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tblStylePr w:type="band1Horz">
      <w:tblPr/>
      <w:tcPr>
        <w:tcBorders>
          <w:top w:val="single" w:color="000000" w:themeColor="light1" w:sz="4" w:space="0"/>
          <w:bottom w:val="single" w:color="000000" w:themeColor="light1" w:sz="4" w:space="0"/>
        </w:tcBorders>
        <w:shd w:val="clear" w:color="FFFFFF" w:fill="C3D69B" w:themeFill="accent3" w:themeFillTint="98"/>
      </w:tcPr>
    </w:tblStylePr>
    <w:tblStylePr w:type="band1Vert">
      <w:tblPr/>
      <w:tcPr>
        <w:tcBorders>
          <w:left w:val="single" w:color="000000" w:themeColor="light1" w:sz="4" w:space="0"/>
          <w:right w:val="single" w:color="000000" w:themeColor="light1" w:sz="4" w:space="0"/>
        </w:tcBorders>
        <w:shd w:val="clear" w:color="FFFFFF" w:fill="C3D69B" w:themeFill="accent3" w:themeFillTint="98"/>
      </w:tcPr>
    </w:tblStylePr>
    <w:tblStylePr w:type="band2Horz">
      <w:tblPr/>
      <w:tcPr>
        <w:tcBorders>
          <w:top w:val="single" w:color="000000" w:themeColor="light1" w:sz="4" w:space="0"/>
          <w:bottom w:val="single" w:color="000000" w:themeColor="light1" w:sz="4" w:space="0"/>
        </w:tcBorders>
        <w:shd w:val="clear" w:color="FFFFFF" w:fill="C3D69B" w:themeFill="accent3"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3" w:sz="32" w:space="0"/>
          <w:right w:val="single" w:color="000000" w:themeColor="light1" w:sz="4" w:space="0"/>
        </w:tcBorders>
      </w:tcPr>
    </w:tblStylePr>
    <w:tblStylePr w:type="firstRow">
      <w:rPr>
        <w:b/>
        <w:color w:themeColor="light1"/>
        <w:sz w:val="22"/>
      </w:rPr>
      <w:tblPr/>
      <w:tcPr>
        <w:tcBorders>
          <w:top w:val="single" w:color="000000" w:themeColor="accent3" w:sz="32" w:space="0"/>
          <w:bottom w:val="single" w:color="000000" w:themeColor="light1" w:sz="12" w:space="0"/>
        </w:tcBorders>
        <w:shd w:val="clear" w:color="FFFFFF" w:fill="C3D69B" w:themeFill="accent3" w:themeFillTint="98"/>
      </w:tcPr>
    </w:tblStylePr>
    <w:tblStylePr w:type="lastCol">
      <w:tblPr/>
      <w:tcPr>
        <w:tcBorders>
          <w:left w:val="single" w:color="000000" w:themeColor="light1" w:sz="4" w:space="0"/>
          <w:right w:val="single" w:color="000000" w:themeColor="accent3" w:sz="32" w:space="0"/>
        </w:tcBorders>
      </w:tcPr>
    </w:tblStylePr>
    <w:tblStylePr w:type="lastRow">
      <w:rPr>
        <w:b/>
        <w:color w:themeColor="light1"/>
        <w:sz w:val="22"/>
      </w:rPr>
      <w:tblPr/>
    </w:tblStylePr>
    <w:tblStylePr w:type="wholeTable">
      <w:rPr>
        <w:color w:themeColor="light1"/>
        <w:sz w:val="22"/>
      </w:rPr>
      <w:tblPr/>
    </w:tblStylePr>
  </w:style>
  <w:style w:type="table" w:styleId="867">
    <w:name w:val="List Table 5 Dark - Accent 4"/>
    <w:uiPriority w:val="99"/>
    <w:pPr>
      <w:spacing w:after="0" w:line="240" w:lineRule="auto"/>
    </w:pPr>
    <w:tblPr>
      <w:tblStyleRowBandSize w:val="1"/>
      <w:tblStyleColBandSize w:val="1"/>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tblStylePr w:type="band1Horz">
      <w:tblPr/>
      <w:tcPr>
        <w:tcBorders>
          <w:top w:val="single" w:color="000000" w:themeColor="light1" w:sz="4" w:space="0"/>
          <w:bottom w:val="single" w:color="000000" w:themeColor="light1" w:sz="4" w:space="0"/>
        </w:tcBorders>
        <w:shd w:val="clear" w:color="FFFFFF" w:fill="B2A1C6" w:themeFill="accent4" w:themeFillTint="9a"/>
      </w:tcPr>
    </w:tblStylePr>
    <w:tblStylePr w:type="band1Vert">
      <w:tblPr/>
      <w:tcPr>
        <w:tcBorders>
          <w:left w:val="single" w:color="000000" w:themeColor="light1" w:sz="4" w:space="0"/>
          <w:right w:val="single" w:color="000000" w:themeColor="light1" w:sz="4" w:space="0"/>
        </w:tcBorders>
        <w:shd w:val="clear" w:color="FFFFFF" w:fill="B2A1C6" w:themeFill="accent4" w:themeFillTint="9a"/>
      </w:tcPr>
    </w:tblStylePr>
    <w:tblStylePr w:type="band2Horz">
      <w:tblPr/>
      <w:tcPr>
        <w:tcBorders>
          <w:top w:val="single" w:color="000000" w:themeColor="light1" w:sz="4" w:space="0"/>
          <w:bottom w:val="single" w:color="000000" w:themeColor="light1" w:sz="4" w:space="0"/>
        </w:tcBorders>
        <w:shd w:val="clear" w:color="FFFFFF" w:fill="B2A1C6" w:themeFill="accent4"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4" w:sz="32" w:space="0"/>
          <w:right w:val="single" w:color="000000" w:themeColor="light1" w:sz="4" w:space="0"/>
        </w:tcBorders>
      </w:tcPr>
    </w:tblStylePr>
    <w:tblStylePr w:type="firstRow">
      <w:rPr>
        <w:b/>
        <w:color w:themeColor="light1"/>
        <w:sz w:val="22"/>
      </w:rPr>
      <w:tblPr/>
      <w:tcPr>
        <w:tcBorders>
          <w:top w:val="single" w:color="000000" w:themeColor="accent4" w:sz="32" w:space="0"/>
          <w:bottom w:val="single" w:color="000000" w:themeColor="light1" w:sz="12" w:space="0"/>
        </w:tcBorders>
        <w:shd w:val="clear" w:color="FFFFFF" w:fill="B2A1C6" w:themeFill="accent4" w:themeFillTint="9a"/>
      </w:tcPr>
    </w:tblStylePr>
    <w:tblStylePr w:type="lastCol">
      <w:tblPr/>
      <w:tcPr>
        <w:tcBorders>
          <w:left w:val="single" w:color="000000" w:themeColor="light1" w:sz="4" w:space="0"/>
          <w:right w:val="single" w:color="000000" w:themeColor="accent4" w:sz="32" w:space="0"/>
        </w:tcBorders>
      </w:tcPr>
    </w:tblStylePr>
    <w:tblStylePr w:type="lastRow">
      <w:rPr>
        <w:b/>
        <w:color w:themeColor="light1"/>
        <w:sz w:val="22"/>
      </w:rPr>
      <w:tblPr/>
    </w:tblStylePr>
    <w:tblStylePr w:type="wholeTable">
      <w:rPr>
        <w:color w:themeColor="light1"/>
        <w:sz w:val="22"/>
      </w:rPr>
      <w:tblPr/>
    </w:tblStylePr>
  </w:style>
  <w:style w:type="table" w:styleId="868">
    <w:name w:val="List Table 5 Dark - Accent 5"/>
    <w:uiPriority w:val="99"/>
    <w:pPr>
      <w:spacing w:after="0" w:line="240" w:lineRule="auto"/>
    </w:pPr>
    <w:tblPr>
      <w:tblStyleRowBandSize w:val="1"/>
      <w:tblStyleColBandSize w:val="1"/>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tblStylePr w:type="band1Horz">
      <w:tblPr/>
      <w:tcPr>
        <w:tcBorders>
          <w:top w:val="single" w:color="000000" w:themeColor="light1" w:sz="4" w:space="0"/>
          <w:bottom w:val="single" w:color="000000" w:themeColor="light1" w:sz="4" w:space="0"/>
        </w:tcBorders>
        <w:shd w:val="clear" w:color="FFFFFF" w:fill="91CDDC" w:themeFill="accent5" w:themeFillTint="9a"/>
      </w:tcPr>
    </w:tblStylePr>
    <w:tblStylePr w:type="band1Vert">
      <w:tblPr/>
      <w:tcPr>
        <w:tcBorders>
          <w:left w:val="single" w:color="000000" w:themeColor="light1" w:sz="4" w:space="0"/>
          <w:right w:val="single" w:color="000000" w:themeColor="light1" w:sz="4" w:space="0"/>
        </w:tcBorders>
        <w:shd w:val="clear" w:color="FFFFFF" w:fill="91CDDC" w:themeFill="accent5" w:themeFillTint="9a"/>
      </w:tcPr>
    </w:tblStylePr>
    <w:tblStylePr w:type="band2Horz">
      <w:tblPr/>
      <w:tcPr>
        <w:tcBorders>
          <w:top w:val="single" w:color="000000" w:themeColor="light1" w:sz="4" w:space="0"/>
          <w:bottom w:val="single" w:color="000000" w:themeColor="light1" w:sz="4" w:space="0"/>
        </w:tcBorders>
        <w:shd w:val="clear" w:color="FFFFFF" w:fill="91CDDC" w:themeFill="accent5" w:themeFillTint="9a"/>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5" w:sz="32" w:space="0"/>
          <w:right w:val="single" w:color="000000" w:themeColor="light1" w:sz="4" w:space="0"/>
        </w:tcBorders>
      </w:tcPr>
    </w:tblStylePr>
    <w:tblStylePr w:type="firstRow">
      <w:rPr>
        <w:b/>
        <w:color w:themeColor="light1"/>
        <w:sz w:val="22"/>
      </w:rPr>
      <w:tblPr/>
      <w:tcPr>
        <w:tcBorders>
          <w:top w:val="single" w:color="000000" w:themeColor="accent5" w:sz="32" w:space="0"/>
          <w:bottom w:val="single" w:color="000000" w:themeColor="light1" w:sz="12" w:space="0"/>
        </w:tcBorders>
        <w:shd w:val="clear" w:color="FFFFFF" w:fill="91CDDC" w:themeFill="accent5" w:themeFillTint="9a"/>
      </w:tcPr>
    </w:tblStylePr>
    <w:tblStylePr w:type="lastCol">
      <w:tblPr/>
      <w:tcPr>
        <w:tcBorders>
          <w:left w:val="single" w:color="000000" w:themeColor="light1" w:sz="4" w:space="0"/>
          <w:right w:val="single" w:color="000000" w:themeColor="accent5" w:sz="32" w:space="0"/>
        </w:tcBorders>
      </w:tcPr>
    </w:tblStylePr>
    <w:tblStylePr w:type="lastRow">
      <w:rPr>
        <w:b/>
        <w:color w:themeColor="light1"/>
        <w:sz w:val="22"/>
      </w:rPr>
      <w:tblPr/>
    </w:tblStylePr>
    <w:tblStylePr w:type="wholeTable">
      <w:rPr>
        <w:color w:themeColor="light1"/>
        <w:sz w:val="22"/>
      </w:rPr>
      <w:tblPr/>
    </w:tblStylePr>
  </w:style>
  <w:style w:type="table" w:styleId="869">
    <w:name w:val="List Table 5 Dark - Accent 6"/>
    <w:uiPriority w:val="99"/>
    <w:pPr>
      <w:spacing w:after="0" w:line="240" w:lineRule="auto"/>
    </w:pPr>
    <w:tblPr>
      <w:tblStyleRowBandSize w:val="1"/>
      <w:tblStyleColBandSize w:val="1"/>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tblStylePr w:type="band1Horz">
      <w:tblPr/>
      <w:tcPr>
        <w:tcBorders>
          <w:top w:val="single" w:color="000000" w:themeColor="light1" w:sz="4" w:space="0"/>
          <w:bottom w:val="single" w:color="000000" w:themeColor="light1" w:sz="4" w:space="0"/>
        </w:tcBorders>
        <w:shd w:val="clear" w:color="FFFFFF" w:fill="F9BF90" w:themeFill="accent6" w:themeFillTint="98"/>
      </w:tcPr>
    </w:tblStylePr>
    <w:tblStylePr w:type="band1Vert">
      <w:tblPr/>
      <w:tcPr>
        <w:tcBorders>
          <w:left w:val="single" w:color="000000" w:themeColor="light1" w:sz="4" w:space="0"/>
          <w:right w:val="single" w:color="000000" w:themeColor="light1" w:sz="4" w:space="0"/>
        </w:tcBorders>
        <w:shd w:val="clear" w:color="FFFFFF" w:fill="F9BF90" w:themeFill="accent6" w:themeFillTint="98"/>
      </w:tcPr>
    </w:tblStylePr>
    <w:tblStylePr w:type="band2Horz">
      <w:tblPr/>
      <w:tcPr>
        <w:tcBorders>
          <w:top w:val="single" w:color="000000" w:themeColor="light1" w:sz="4" w:space="0"/>
          <w:bottom w:val="single" w:color="000000" w:themeColor="light1" w:sz="4" w:space="0"/>
        </w:tcBorders>
        <w:shd w:val="clear" w:color="FFFFFF" w:fill="F9BF90" w:themeFill="accent6" w:themeFillTint="98"/>
      </w:tcPr>
    </w:tblStylePr>
    <w:tblStylePr w:type="band2Vert">
      <w:tblPr/>
      <w:tcPr>
        <w:tcBorders>
          <w:left w:val="single" w:color="000000" w:themeColor="light1" w:sz="4" w:space="0"/>
          <w:right w:val="single" w:color="000000" w:themeColor="light1" w:sz="4" w:space="0"/>
        </w:tcBorders>
      </w:tcPr>
    </w:tblStylePr>
    <w:tblStylePr w:type="firstCol">
      <w:rPr>
        <w:b/>
        <w:color w:themeColor="light1"/>
        <w:sz w:val="22"/>
      </w:rPr>
      <w:tblPr/>
      <w:tcPr>
        <w:tcBorders>
          <w:left w:val="single" w:color="000000" w:themeColor="accent6" w:sz="32" w:space="0"/>
          <w:right w:val="single" w:color="000000" w:themeColor="light1" w:sz="4" w:space="0"/>
        </w:tcBorders>
      </w:tcPr>
    </w:tblStylePr>
    <w:tblStylePr w:type="firstRow">
      <w:rPr>
        <w:b/>
        <w:color w:themeColor="light1"/>
        <w:sz w:val="22"/>
      </w:rPr>
      <w:tblPr/>
      <w:tcPr>
        <w:tcBorders>
          <w:top w:val="single" w:color="000000" w:themeColor="accent6" w:sz="32" w:space="0"/>
          <w:bottom w:val="single" w:color="000000" w:themeColor="light1" w:sz="12" w:space="0"/>
        </w:tcBorders>
        <w:shd w:val="clear" w:color="FFFFFF" w:fill="F9BF90" w:themeFill="accent6" w:themeFillTint="98"/>
      </w:tcPr>
    </w:tblStylePr>
    <w:tblStylePr w:type="lastCol">
      <w:tblPr/>
      <w:tcPr>
        <w:tcBorders>
          <w:left w:val="single" w:color="000000" w:themeColor="light1" w:sz="4" w:space="0"/>
          <w:right w:val="single" w:color="000000" w:themeColor="accent6" w:sz="32" w:space="0"/>
        </w:tcBorders>
      </w:tcPr>
    </w:tblStylePr>
    <w:tblStylePr w:type="lastRow">
      <w:rPr>
        <w:b/>
        <w:color w:themeColor="light1"/>
        <w:sz w:val="22"/>
      </w:rPr>
      <w:tblPr/>
    </w:tblStylePr>
    <w:tblStylePr w:type="wholeTable">
      <w:rPr>
        <w:color w:themeColor="light1"/>
        <w:sz w:val="22"/>
      </w:rPr>
      <w:tblPr/>
    </w:tblStylePr>
  </w:style>
  <w:style w:type="table" w:styleId="870">
    <w:name w:val="List Table 6 Colorful"/>
    <w:uiPriority w:val="99"/>
    <w:pPr>
      <w:spacing w:after="0" w:line="240" w:lineRule="auto"/>
    </w:pPr>
    <w:tblPr>
      <w:tblStyleRowBandSize w:val="1"/>
      <w:tblStyleColBandSize w:val="1"/>
      <w:tblBorders>
        <w:top w:val="single" w:color="000000" w:themeColor="text1" w:themeTint="80" w:sz="4" w:space="0"/>
        <w:bottom w:val="single" w:color="000000" w:themeColor="text1" w:themeTint="80" w:sz="4" w:space="0"/>
      </w:tblBorders>
    </w:tblPr>
    <w:tblStylePr w:type="band1Horz">
      <w:rPr>
        <w:color w:themeColor="text1"/>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styleId="871">
    <w:name w:val="List Table 6 Colorful - Accent 1"/>
    <w:uiPriority w:val="99"/>
    <w:pPr>
      <w:spacing w:after="0" w:line="240" w:lineRule="auto"/>
    </w:pPr>
    <w:tblPr>
      <w:tblStyleRowBandSize w:val="1"/>
      <w:tblStyleColBandSize w:val="1"/>
      <w:tblBorders>
        <w:top w:val="single" w:color="000000" w:themeColor="accent1" w:sz="4" w:space="0"/>
        <w:bottom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000000"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000000" w:themeColor="accent1" w:sz="4" w:space="0"/>
        </w:tcBorders>
      </w:tcPr>
    </w:tblStylePr>
  </w:style>
  <w:style w:type="table" w:styleId="872">
    <w:name w:val="List Table 6 Colorful - Accent 2"/>
    <w:uiPriority w:val="99"/>
    <w:pPr>
      <w:spacing w:after="0" w:line="240" w:lineRule="auto"/>
    </w:pPr>
    <w:tblPr>
      <w:tblStyleRowBandSize w:val="1"/>
      <w:tblStyleColBandSize w:val="1"/>
      <w:tblBorders>
        <w:top w:val="single" w:color="000000" w:themeColor="accent2" w:themeTint="97" w:sz="4" w:space="0"/>
        <w:bottom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000000"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000000" w:themeColor="accent2" w:sz="4" w:space="0"/>
        </w:tcBorders>
      </w:tcPr>
    </w:tblStylePr>
  </w:style>
  <w:style w:type="table" w:styleId="873">
    <w:name w:val="List Table 6 Colorful - Accent 3"/>
    <w:uiPriority w:val="99"/>
    <w:pPr>
      <w:spacing w:after="0" w:line="240" w:lineRule="auto"/>
    </w:pPr>
    <w:tblPr>
      <w:tblStyleRowBandSize w:val="1"/>
      <w:tblStyleColBandSize w:val="1"/>
      <w:tblBorders>
        <w:top w:val="single" w:color="000000" w:themeColor="accent3" w:themeTint="98" w:sz="4" w:space="0"/>
        <w:bottom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000000"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000000" w:themeColor="accent3" w:sz="4" w:space="0"/>
        </w:tcBorders>
      </w:tcPr>
    </w:tblStylePr>
  </w:style>
  <w:style w:type="table" w:styleId="874">
    <w:name w:val="List Table 6 Colorful - Accent 4"/>
    <w:uiPriority w:val="99"/>
    <w:pPr>
      <w:spacing w:after="0" w:line="240" w:lineRule="auto"/>
    </w:pPr>
    <w:tblPr>
      <w:tblStyleRowBandSize w:val="1"/>
      <w:tblStyleColBandSize w:val="1"/>
      <w:tblBorders>
        <w:top w:val="single" w:color="000000" w:themeColor="accent4" w:themeTint="9a" w:sz="4" w:space="0"/>
        <w:bottom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000000"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000000" w:themeColor="accent4" w:sz="4" w:space="0"/>
        </w:tcBorders>
      </w:tcPr>
    </w:tblStylePr>
  </w:style>
  <w:style w:type="table" w:styleId="875">
    <w:name w:val="List Table 6 Colorful - Accent 5"/>
    <w:uiPriority w:val="99"/>
    <w:pPr>
      <w:spacing w:after="0" w:line="240" w:lineRule="auto"/>
    </w:pPr>
    <w:tblPr>
      <w:tblStyleRowBandSize w:val="1"/>
      <w:tblStyleColBandSize w:val="1"/>
      <w:tblBorders>
        <w:top w:val="single" w:color="000000" w:themeColor="accent5" w:themeTint="9a" w:sz="4" w:space="0"/>
        <w:bottom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000000"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000000" w:themeColor="accent5" w:sz="4" w:space="0"/>
        </w:tcBorders>
      </w:tcPr>
    </w:tblStylePr>
  </w:style>
  <w:style w:type="table" w:styleId="876">
    <w:name w:val="List Table 6 Colorful - Accent 6"/>
    <w:uiPriority w:val="99"/>
    <w:pPr>
      <w:spacing w:after="0" w:line="240" w:lineRule="auto"/>
    </w:pPr>
    <w:tblPr>
      <w:tblStyleRowBandSize w:val="1"/>
      <w:tblStyleColBandSize w:val="1"/>
      <w:tblBorders>
        <w:top w:val="single" w:color="000000" w:themeColor="accent6" w:themeTint="98" w:sz="4" w:space="0"/>
        <w:bottom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00000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000000" w:themeColor="accent6" w:sz="4" w:space="0"/>
        </w:tcBorders>
      </w:tcPr>
    </w:tblStylePr>
  </w:style>
  <w:style w:type="table" w:styleId="877">
    <w:name w:val="List Table 7 Colorful"/>
    <w:uiPriority w:val="99"/>
    <w:pPr>
      <w:spacing w:after="0" w:line="240" w:lineRule="auto"/>
    </w:pPr>
    <w:tblPr>
      <w:tblStyleRowBandSize w:val="1"/>
      <w:tblStyleColBandSize w:val="1"/>
      <w:tblBorders>
        <w:right w:val="single" w:color="000000" w:themeColor="text1" w:themeTint="80" w:sz="4" w:space="0"/>
      </w:tblBorders>
    </w:tblPr>
    <w:tblStylePr w:type="band1Horz">
      <w:rPr>
        <w:color w:themeColor="text1" w:themeTint="80" w:themeShade="95"/>
        <w:sz w:val="22"/>
      </w:rPr>
      <w:tblPr/>
      <w:tcPr>
        <w:shd w:val="clear" w:color="FFFFFF" w:fill="BFBFBF" w:themeFill="text1" w:themeFillTint="40"/>
      </w:tcPr>
    </w:tblStylePr>
    <w:tblStylePr w:type="band1Vert">
      <w:tblPr/>
      <w:tcPr>
        <w:shd w:val="clear" w:color="FFFFF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tblStylePr w:type="wholeTable">
      <w:rPr>
        <w:color w:themeColor="text1" w:themeTint="80" w:themeShade="95"/>
        <w:sz w:val="22"/>
      </w:rPr>
      <w:tblPr/>
    </w:tblStylePr>
  </w:style>
  <w:style w:type="table" w:styleId="878">
    <w:name w:val="List Table 7 Colorful - Accent 1"/>
    <w:uiPriority w:val="99"/>
    <w:pPr>
      <w:spacing w:after="0" w:line="240" w:lineRule="auto"/>
    </w:pPr>
    <w:tblPr>
      <w:tblStyleRowBandSize w:val="1"/>
      <w:tblStyleColBandSize w:val="1"/>
      <w:tblBorders>
        <w:right w:val="single" w:color="000000" w:themeColor="accent1" w:sz="4" w:space="0"/>
      </w:tblBorders>
    </w:tblPr>
    <w:tblStylePr w:type="band1Horz">
      <w:rPr>
        <w:color w:themeColor="accent1" w:themeShade="95"/>
        <w:sz w:val="22"/>
      </w:rPr>
      <w:tblPr/>
      <w:tcPr>
        <w:shd w:val="clear" w:color="FFFFFF" w:fill="D3E0EE" w:themeFill="accent1" w:themeFillTint="40"/>
      </w:tcPr>
    </w:tblStylePr>
    <w:tblStylePr w:type="band1Vert">
      <w:tblPr/>
      <w:tcPr>
        <w:shd w:val="clear" w:color="FFFFFF" w:fill="D3E0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000000" w:themeColor="accent1" w:sz="4" w:space="0"/>
        </w:tcBorders>
        <w:shd w:val="clear" w:color="FFFFFF"/>
      </w:tcPr>
    </w:tblStylePr>
    <w:tblStylePr w:type="firstRow">
      <w:rPr>
        <w:i/>
        <w:color w:themeColor="accent1" w:themeShade="95"/>
        <w:sz w:val="22"/>
      </w:rPr>
      <w:tblPr/>
      <w:tcPr>
        <w:tcBorders>
          <w:top w:val="none" w:color="000000" w:sz="4" w:space="0"/>
          <w:left w:val="none" w:color="000000" w:sz="4" w:space="0"/>
          <w:bottom w:val="single" w:color="000000"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000000" w:themeColor="accent1" w:sz="4" w:space="0"/>
          <w:bottom w:val="none" w:color="000000" w:sz="4" w:space="0"/>
          <w:right w:val="none" w:color="000000" w:sz="4" w:space="0"/>
        </w:tcBorders>
        <w:shd w:val="clear" w:color="FFFFFF"/>
      </w:tcPr>
    </w:tblStylePr>
    <w:tblStylePr w:type="lastRow">
      <w:rPr>
        <w:i/>
        <w:color w:themeColor="accent1" w:themeShade="95"/>
        <w:sz w:val="22"/>
      </w:rPr>
      <w:tblPr/>
      <w:tcPr>
        <w:tcBorders>
          <w:top w:val="single" w:color="000000" w:themeColor="accent1"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1" w:themeShade="95"/>
        <w:sz w:val="22"/>
      </w:rPr>
      <w:tblPr/>
    </w:tblStylePr>
  </w:style>
  <w:style w:type="table" w:styleId="879">
    <w:name w:val="List Table 7 Colorful - Accent 2"/>
    <w:uiPriority w:val="99"/>
    <w:pPr>
      <w:spacing w:after="0" w:line="240" w:lineRule="auto"/>
    </w:pPr>
    <w:tblPr>
      <w:tblStyleRowBandSize w:val="1"/>
      <w:tblStyleColBandSize w:val="1"/>
      <w:tblBorders>
        <w:right w:val="single" w:color="000000" w:themeColor="accent2" w:themeTint="97" w:sz="4" w:space="0"/>
      </w:tblBorders>
    </w:tblPr>
    <w:tblStylePr w:type="band1Horz">
      <w:rPr>
        <w:color w:themeColor="accent2" w:themeTint="97" w:themeShade="95"/>
        <w:sz w:val="22"/>
      </w:rPr>
      <w:tblPr/>
      <w:tcPr>
        <w:shd w:val="clear" w:color="FFFFFF" w:fill="EFD3D2" w:themeFill="accent2" w:themeFillTint="40"/>
      </w:tcPr>
    </w:tblStylePr>
    <w:tblStylePr w:type="band1Vert">
      <w:tblPr/>
      <w:tcPr>
        <w:shd w:val="clear" w:color="FFFFFF" w:fill="EFD3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000000" w:themeColor="accent2" w:sz="4" w:space="0"/>
        </w:tcBorders>
        <w:shd w:val="clear" w:color="FFFFFF"/>
      </w:tcPr>
    </w:tblStylePr>
    <w:tblStylePr w:type="firstRow">
      <w:rPr>
        <w:i/>
        <w:color w:themeColor="accent2" w:themeTint="97" w:themeShade="95"/>
        <w:sz w:val="22"/>
      </w:rPr>
      <w:tblPr/>
      <w:tcPr>
        <w:tcBorders>
          <w:top w:val="none" w:color="000000" w:sz="4" w:space="0"/>
          <w:left w:val="none" w:color="000000" w:sz="4" w:space="0"/>
          <w:bottom w:val="single" w:color="000000"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000000" w:themeColor="accent2" w:sz="4" w:space="0"/>
          <w:bottom w:val="none" w:color="000000" w:sz="4" w:space="0"/>
          <w:right w:val="none" w:color="000000" w:sz="4" w:space="0"/>
        </w:tcBorders>
        <w:shd w:val="clear" w:color="FFFFFF"/>
      </w:tcPr>
    </w:tblStylePr>
    <w:tblStylePr w:type="lastRow">
      <w:rPr>
        <w:i/>
        <w:color w:themeColor="accent2" w:themeTint="97" w:themeShade="95"/>
        <w:sz w:val="22"/>
      </w:rPr>
      <w:tblPr/>
      <w:tcPr>
        <w:tcBorders>
          <w:top w:val="single" w:color="000000" w:themeColor="accent2"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2" w:themeTint="97" w:themeShade="95"/>
        <w:sz w:val="22"/>
      </w:rPr>
      <w:tblPr/>
    </w:tblStylePr>
  </w:style>
  <w:style w:type="table" w:styleId="880">
    <w:name w:val="List Table 7 Colorful - Accent 3"/>
    <w:uiPriority w:val="99"/>
    <w:pPr>
      <w:spacing w:after="0" w:line="240" w:lineRule="auto"/>
    </w:pPr>
    <w:tblPr>
      <w:tblStyleRowBandSize w:val="1"/>
      <w:tblStyleColBandSize w:val="1"/>
      <w:tblBorders>
        <w:right w:val="single" w:color="000000" w:themeColor="accent3" w:themeTint="98" w:sz="4" w:space="0"/>
      </w:tblBorders>
    </w:tblPr>
    <w:tblStylePr w:type="band1Horz">
      <w:rPr>
        <w:color w:themeColor="accent3" w:themeTint="98" w:themeShade="95"/>
        <w:sz w:val="22"/>
      </w:rPr>
      <w:tblPr/>
      <w:tcPr>
        <w:shd w:val="clear" w:color="FFFFFF" w:fill="E6EED5" w:themeFill="accent3" w:themeFillTint="40"/>
      </w:tcPr>
    </w:tblStylePr>
    <w:tblStylePr w:type="band1Vert">
      <w:tblPr/>
      <w:tcPr>
        <w:shd w:val="clear" w:color="FFFFFF" w:fill="E6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000000" w:themeColor="accent3" w:sz="4" w:space="0"/>
        </w:tcBorders>
        <w:shd w:val="clear" w:color="FFFFFF"/>
      </w:tcPr>
    </w:tblStylePr>
    <w:tblStylePr w:type="firstRow">
      <w:rPr>
        <w:i/>
        <w:color w:themeColor="accent3" w:themeTint="98" w:themeShade="95"/>
        <w:sz w:val="22"/>
      </w:rPr>
      <w:tblPr/>
      <w:tcPr>
        <w:tcBorders>
          <w:top w:val="none" w:color="000000" w:sz="4" w:space="0"/>
          <w:left w:val="none" w:color="000000" w:sz="4" w:space="0"/>
          <w:bottom w:val="single" w:color="000000"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000000" w:themeColor="accent3" w:sz="4" w:space="0"/>
          <w:bottom w:val="none" w:color="000000" w:sz="4" w:space="0"/>
          <w:right w:val="none" w:color="000000" w:sz="4" w:space="0"/>
        </w:tcBorders>
        <w:shd w:val="clear" w:color="FFFFFF"/>
      </w:tcPr>
    </w:tblStylePr>
    <w:tblStylePr w:type="lastRow">
      <w:rPr>
        <w:i/>
        <w:color w:themeColor="accent3" w:themeTint="98" w:themeShade="95"/>
        <w:sz w:val="22"/>
      </w:rPr>
      <w:tblPr/>
      <w:tcPr>
        <w:tcBorders>
          <w:top w:val="single" w:color="000000" w:themeColor="accent3"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3" w:themeTint="98" w:themeShade="95"/>
        <w:sz w:val="22"/>
      </w:rPr>
      <w:tblPr/>
    </w:tblStylePr>
  </w:style>
  <w:style w:type="table" w:styleId="881">
    <w:name w:val="List Table 7 Colorful - Accent 4"/>
    <w:uiPriority w:val="99"/>
    <w:pPr>
      <w:spacing w:after="0" w:line="240" w:lineRule="auto"/>
    </w:pPr>
    <w:tblPr>
      <w:tblStyleRowBandSize w:val="1"/>
      <w:tblStyleColBandSize w:val="1"/>
      <w:tblBorders>
        <w:right w:val="single" w:color="000000" w:themeColor="accent4" w:themeTint="9a" w:sz="4" w:space="0"/>
      </w:tblBorders>
    </w:tblPr>
    <w:tblStylePr w:type="band1Horz">
      <w:rPr>
        <w:color w:themeColor="accent4" w:themeTint="9a" w:themeShade="95"/>
        <w:sz w:val="22"/>
      </w:rPr>
      <w:tblPr/>
      <w:tcPr>
        <w:shd w:val="clear" w:color="FFFFFF" w:fill="DFD8E7" w:themeFill="accent4" w:themeFillTint="40"/>
      </w:tcPr>
    </w:tblStylePr>
    <w:tblStylePr w:type="band1Vert">
      <w:tblPr/>
      <w:tcPr>
        <w:shd w:val="clear" w:color="FFFFFF"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000000" w:themeColor="accent4" w:sz="4" w:space="0"/>
        </w:tcBorders>
        <w:shd w:val="clear" w:color="FFFFFF"/>
      </w:tcPr>
    </w:tblStylePr>
    <w:tblStylePr w:type="firstRow">
      <w:rPr>
        <w:i/>
        <w:color w:themeColor="accent4" w:themeTint="9a" w:themeShade="95"/>
        <w:sz w:val="22"/>
      </w:rPr>
      <w:tblPr/>
      <w:tcPr>
        <w:tcBorders>
          <w:top w:val="none" w:color="000000" w:sz="4" w:space="0"/>
          <w:left w:val="none" w:color="000000" w:sz="4" w:space="0"/>
          <w:bottom w:val="single" w:color="000000"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000000" w:themeColor="accent4" w:sz="4" w:space="0"/>
          <w:bottom w:val="none" w:color="000000" w:sz="4" w:space="0"/>
          <w:right w:val="none" w:color="000000" w:sz="4" w:space="0"/>
        </w:tcBorders>
        <w:shd w:val="clear" w:color="FFFFFF"/>
      </w:tcPr>
    </w:tblStylePr>
    <w:tblStylePr w:type="lastRow">
      <w:rPr>
        <w:i/>
        <w:color w:themeColor="accent4" w:themeTint="9a" w:themeShade="95"/>
        <w:sz w:val="22"/>
      </w:rPr>
      <w:tblPr/>
      <w:tcPr>
        <w:tcBorders>
          <w:top w:val="single" w:color="000000" w:themeColor="accent4"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4" w:themeTint="9a" w:themeShade="95"/>
        <w:sz w:val="22"/>
      </w:rPr>
      <w:tblPr/>
    </w:tblStylePr>
  </w:style>
  <w:style w:type="table" w:styleId="882">
    <w:name w:val="List Table 7 Colorful - Accent 5"/>
    <w:uiPriority w:val="99"/>
    <w:pPr>
      <w:spacing w:after="0" w:line="240" w:lineRule="auto"/>
    </w:pPr>
    <w:tblPr>
      <w:tblStyleRowBandSize w:val="1"/>
      <w:tblStyleColBandSize w:val="1"/>
      <w:tblBorders>
        <w:right w:val="single" w:color="000000" w:themeColor="accent5" w:themeTint="9a" w:sz="4" w:space="0"/>
      </w:tblBorders>
    </w:tblPr>
    <w:tblStylePr w:type="band1Horz">
      <w:rPr>
        <w:color w:themeColor="accent5" w:themeTint="9a" w:themeShade="95"/>
        <w:sz w:val="22"/>
      </w:rPr>
      <w:tblPr/>
      <w:tcPr>
        <w:shd w:val="clear" w:color="FFFFFF" w:fill="D1EAF0" w:themeFill="accent5" w:themeFillTint="40"/>
      </w:tcPr>
    </w:tblStylePr>
    <w:tblStylePr w:type="band1Vert">
      <w:tblPr/>
      <w:tcPr>
        <w:shd w:val="clear" w:color="FFFFFF"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000000" w:themeColor="accent5" w:sz="4" w:space="0"/>
        </w:tcBorders>
        <w:shd w:val="clear" w:color="FFFFFF"/>
      </w:tcPr>
    </w:tblStylePr>
    <w:tblStylePr w:type="firstRow">
      <w:rPr>
        <w:i/>
        <w:color w:themeColor="accent5" w:themeTint="9a" w:themeShade="95"/>
        <w:sz w:val="22"/>
      </w:rPr>
      <w:tblPr/>
      <w:tcPr>
        <w:tcBorders>
          <w:top w:val="none" w:color="000000" w:sz="4" w:space="0"/>
          <w:left w:val="none" w:color="000000" w:sz="4" w:space="0"/>
          <w:bottom w:val="single" w:color="000000"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000000" w:themeColor="accent5" w:sz="4" w:space="0"/>
          <w:bottom w:val="none" w:color="000000" w:sz="4" w:space="0"/>
          <w:right w:val="none" w:color="000000" w:sz="4" w:space="0"/>
        </w:tcBorders>
        <w:shd w:val="clear" w:color="FFFFFF"/>
      </w:tcPr>
    </w:tblStylePr>
    <w:tblStylePr w:type="lastRow">
      <w:rPr>
        <w:i/>
        <w:color w:themeColor="accent5" w:themeTint="9a" w:themeShade="95"/>
        <w:sz w:val="22"/>
      </w:rPr>
      <w:tblPr/>
      <w:tcPr>
        <w:tcBorders>
          <w:top w:val="single" w:color="000000" w:themeColor="accent5"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5" w:themeTint="9a" w:themeShade="95"/>
        <w:sz w:val="22"/>
      </w:rPr>
      <w:tblPr/>
    </w:tblStylePr>
  </w:style>
  <w:style w:type="table" w:styleId="883">
    <w:name w:val="List Table 7 Colorful - Accent 6"/>
    <w:uiPriority w:val="99"/>
    <w:pPr>
      <w:spacing w:after="0" w:line="240" w:lineRule="auto"/>
    </w:pPr>
    <w:tblPr>
      <w:tblStyleRowBandSize w:val="1"/>
      <w:tblStyleColBandSize w:val="1"/>
      <w:tblBorders>
        <w:right w:val="single" w:color="000000" w:themeColor="accent6" w:themeTint="98" w:sz="4" w:space="0"/>
      </w:tblBorders>
    </w:tblPr>
    <w:tblStylePr w:type="band1Horz">
      <w:rPr>
        <w:color w:themeColor="accent6" w:themeTint="98" w:themeShade="95"/>
        <w:sz w:val="22"/>
      </w:rPr>
      <w:tblPr/>
      <w:tcPr>
        <w:shd w:val="clear" w:color="FFFFFF" w:fill="FCE4D1" w:themeFill="accent6" w:themeFillTint="40"/>
      </w:tcPr>
    </w:tblStylePr>
    <w:tblStylePr w:type="band1Vert">
      <w:tblPr/>
      <w:tcPr>
        <w:shd w:val="clear" w:color="FFFFFF" w:fill="FCE4D1"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000000" w:themeColor="accent6" w:sz="4" w:space="0"/>
        </w:tcBorders>
        <w:shd w:val="clear" w:color="FFFFFF"/>
      </w:tcPr>
    </w:tblStylePr>
    <w:tblStylePr w:type="firstRow">
      <w:rPr>
        <w:i/>
        <w:color w:themeColor="accent6" w:themeTint="98" w:themeShade="95"/>
        <w:sz w:val="22"/>
      </w:rPr>
      <w:tblPr/>
      <w:tcPr>
        <w:tcBorders>
          <w:top w:val="none" w:color="000000" w:sz="4" w:space="0"/>
          <w:left w:val="none" w:color="000000" w:sz="4" w:space="0"/>
          <w:bottom w:val="single" w:color="00000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000000" w:themeColor="accent6" w:sz="4" w:space="0"/>
          <w:bottom w:val="none" w:color="000000" w:sz="4" w:space="0"/>
          <w:right w:val="none" w:color="000000" w:sz="4" w:space="0"/>
        </w:tcBorders>
        <w:shd w:val="clear" w:color="FFFFFF"/>
      </w:tcPr>
    </w:tblStylePr>
    <w:tblStylePr w:type="lastRow">
      <w:rPr>
        <w:i/>
        <w:color w:themeColor="accent6" w:themeTint="98" w:themeShade="95"/>
        <w:sz w:val="22"/>
      </w:rPr>
      <w:tblPr/>
      <w:tcPr>
        <w:tcBorders>
          <w:top w:val="single" w:color="000000" w:themeColor="accent6" w:sz="4" w:space="0"/>
          <w:left w:val="none" w:color="000000" w:sz="4" w:space="0"/>
          <w:bottom w:val="none" w:color="000000" w:sz="4" w:space="0"/>
          <w:right w:val="none" w:color="000000" w:sz="4" w:space="0"/>
        </w:tcBorders>
        <w:shd w:val="clear" w:color="FFFFFF" w:fill="FFFFFF" w:themeFill="light1"/>
      </w:tcPr>
    </w:tblStylePr>
    <w:tblStylePr w:type="wholeTable">
      <w:rPr>
        <w:color w:themeColor="accent6" w:themeTint="98" w:themeShade="95"/>
        <w:sz w:val="22"/>
      </w:rPr>
      <w:tblPr/>
    </w:tblStylePr>
  </w:style>
  <w:style w:type="table" w:styleId="884">
    <w:name w:val="Lined - Accent"/>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85">
    <w:name w:val="Lined - Accent 1"/>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86">
    <w:name w:val="Lined - Accent 2"/>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87">
    <w:name w:val="Lined - Accent 3"/>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88">
    <w:name w:val="Lined - Accent 4"/>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89">
    <w:name w:val="Lined - Accent 5"/>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0">
    <w:name w:val="Lined - Accent 6"/>
    <w:uiPriority w:val="99"/>
    <w:pPr>
      <w:spacing w:after="0" w:line="240" w:lineRule="auto"/>
    </w:pPr>
    <w:tblPr>
      <w:tblStyleRowBandSize w:val="1"/>
      <w:tblStyleColBandSize w:val="1"/>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1">
    <w:name w:val="Bordered &amp; Lined - Accent"/>
    <w:uiPriority w:val="99"/>
    <w:pPr>
      <w:spacing w:after="0" w:line="240" w:lineRule="auto"/>
    </w:pPr>
    <w:tblPr>
      <w:tblStyleRowBandSize w:val="1"/>
      <w:tblStyleColBandSize w:val="1"/>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sz w:val="22"/>
      </w:rPr>
      <w:tblPr/>
    </w:tblStylePr>
    <w:tblStylePr w:type="band1Vert">
      <w:rPr>
        <w:sz w:val="22"/>
      </w:rPr>
      <w:tblPr/>
    </w:tblStylePr>
    <w:tblStylePr w:type="band2Horz">
      <w:rPr>
        <w:sz w:val="22"/>
      </w:rPr>
      <w:tblPr/>
      <w:tcPr>
        <w:shd w:val="clear" w:color="FFFFFF" w:fill="F2F2F2" w:themeFill="text1" w:themeFillTint="0"/>
      </w:tcPr>
    </w:tblStylePr>
    <w:tblStylePr w:type="band2Vert">
      <w:rPr>
        <w:sz w:val="22"/>
      </w:rPr>
      <w:tblPr/>
      <w:tcPr>
        <w:shd w:val="clear" w:color="FFFFFF" w:fill="F2F2F2" w:themeFill="text1" w:themeFillTint="0"/>
      </w:tcPr>
    </w:tblStylePr>
    <w:tblStylePr w:type="firstCol">
      <w:rPr>
        <w:sz w:val="22"/>
      </w:rPr>
      <w:tblPr/>
      <w:tcPr>
        <w:shd w:val="clear" w:color="FFFFFF" w:fill="7F7F7F" w:themeFill="text1" w:themeFillTint="80"/>
      </w:tcPr>
    </w:tblStylePr>
    <w:tblStylePr w:type="firstRow">
      <w:rPr>
        <w:sz w:val="22"/>
      </w:rPr>
      <w:tblPr/>
      <w:tcPr>
        <w:shd w:val="clear" w:color="FFFFFF" w:fill="7F7F7F" w:themeFill="text1" w:themeFillTint="80"/>
      </w:tcPr>
    </w:tblStylePr>
    <w:tblStylePr w:type="lastCol">
      <w:rPr>
        <w:sz w:val="22"/>
      </w:rPr>
      <w:tblPr/>
      <w:tcPr>
        <w:shd w:val="clear" w:color="FFFFFF" w:fill="7F7F7F" w:themeFill="text1" w:themeFillTint="80"/>
      </w:tcPr>
    </w:tblStylePr>
    <w:tblStylePr w:type="lastRow">
      <w:rPr>
        <w:sz w:val="22"/>
      </w:rPr>
      <w:tblPr/>
      <w:tcPr>
        <w:shd w:val="clear" w:color="FFFFFF" w:fill="7F7F7F" w:themeFill="text1" w:themeFillTint="80"/>
      </w:tcPr>
    </w:tblStylePr>
  </w:style>
  <w:style w:type="table" w:styleId="892">
    <w:name w:val="Bordered &amp; Lined - Accent 1"/>
    <w:uiPriority w:val="99"/>
    <w:pPr>
      <w:spacing w:after="0" w:line="240" w:lineRule="auto"/>
    </w:pPr>
    <w:tblPr>
      <w:tblStyleRowBandSize w:val="1"/>
      <w:tblStyleColBandSize w:val="1"/>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tblStylePr w:type="band1Horz">
      <w:rPr>
        <w:sz w:val="22"/>
      </w:rPr>
      <w:tblPr/>
    </w:tblStylePr>
    <w:tblStylePr w:type="band1Vert">
      <w:rPr>
        <w:sz w:val="22"/>
      </w:rPr>
      <w:tblPr/>
    </w:tblStylePr>
    <w:tblStylePr w:type="band2Horz">
      <w:rPr>
        <w:sz w:val="22"/>
      </w:rPr>
      <w:tblPr/>
      <w:tcPr>
        <w:shd w:val="clear" w:color="FFFFFF" w:fill="C7D7EA" w:themeFill="accent1" w:themeFillTint="50"/>
      </w:tcPr>
    </w:tblStylePr>
    <w:tblStylePr w:type="band2Vert">
      <w:rPr>
        <w:sz w:val="22"/>
      </w:rPr>
      <w:tblPr/>
      <w:tcPr>
        <w:shd w:val="clear" w:color="FFFFFF" w:fill="C7D7EA" w:themeFill="accent1" w:themeFillTint="50"/>
      </w:tcPr>
    </w:tblStylePr>
    <w:tblStylePr w:type="firstCol">
      <w:rPr>
        <w:sz w:val="22"/>
      </w:rPr>
      <w:tblPr/>
      <w:tcPr>
        <w:shd w:val="clear" w:color="FFFFFF" w:fill="5D8DC2" w:themeFill="accent1" w:themeFillTint="ea"/>
      </w:tcPr>
    </w:tblStylePr>
    <w:tblStylePr w:type="firstRow">
      <w:rPr>
        <w:sz w:val="22"/>
      </w:rPr>
      <w:tblPr/>
      <w:tcPr>
        <w:shd w:val="clear" w:color="FFFFFF" w:fill="5D8DC2" w:themeFill="accent1" w:themeFillTint="ea"/>
      </w:tcPr>
    </w:tblStylePr>
    <w:tblStylePr w:type="lastCol">
      <w:rPr>
        <w:sz w:val="22"/>
      </w:rPr>
      <w:tblPr/>
      <w:tcPr>
        <w:shd w:val="clear" w:color="FFFFFF" w:fill="5D8DC2" w:themeFill="accent1" w:themeFillTint="ea"/>
      </w:tcPr>
    </w:tblStylePr>
    <w:tblStylePr w:type="lastRow">
      <w:rPr>
        <w:sz w:val="22"/>
      </w:rPr>
      <w:tblPr/>
      <w:tcPr>
        <w:shd w:val="clear" w:color="FFFFFF" w:fill="5D8DC2" w:themeFill="accent1" w:themeFillTint="ea"/>
      </w:tcPr>
    </w:tblStylePr>
  </w:style>
  <w:style w:type="table" w:styleId="893">
    <w:name w:val="Bordered &amp; Lined - Accent 2"/>
    <w:uiPriority w:val="99"/>
    <w:pPr>
      <w:spacing w:after="0" w:line="240" w:lineRule="auto"/>
    </w:pPr>
    <w:tblPr>
      <w:tblStyleRowBandSize w:val="1"/>
      <w:tblStyleColBandSize w:val="1"/>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tblStylePr w:type="band1Horz">
      <w:rPr>
        <w:sz w:val="22"/>
      </w:rPr>
      <w:tblPr/>
    </w:tblStylePr>
    <w:tblStylePr w:type="band1Vert">
      <w:rPr>
        <w:sz w:val="22"/>
      </w:rPr>
      <w:tblPr/>
    </w:tblStylePr>
    <w:tblStylePr w:type="band2Horz">
      <w:rPr>
        <w:sz w:val="22"/>
      </w:rPr>
      <w:tblPr/>
      <w:tcPr>
        <w:shd w:val="clear" w:color="FFFFFF" w:fill="F2DCDB" w:themeFill="accent2" w:themeFillTint="32"/>
      </w:tcPr>
    </w:tblStylePr>
    <w:tblStylePr w:type="band2Vert">
      <w:rPr>
        <w:sz w:val="22"/>
      </w:rPr>
      <w:tblPr/>
      <w:tcPr>
        <w:shd w:val="clear" w:color="FFFFFF" w:fill="F2DCDB" w:themeFill="accent2" w:themeFillTint="32"/>
      </w:tcPr>
    </w:tblStylePr>
    <w:tblStylePr w:type="firstCol">
      <w:rPr>
        <w:sz w:val="22"/>
      </w:rPr>
      <w:tblPr/>
      <w:tcPr>
        <w:shd w:val="clear" w:color="FFFFFF" w:fill="D99694" w:themeFill="accent2" w:themeFillTint="97"/>
      </w:tcPr>
    </w:tblStylePr>
    <w:tblStylePr w:type="firstRow">
      <w:rPr>
        <w:sz w:val="22"/>
      </w:rPr>
      <w:tblPr/>
      <w:tcPr>
        <w:shd w:val="clear" w:color="FFFFFF" w:fill="D99694" w:themeFill="accent2" w:themeFillTint="97"/>
      </w:tcPr>
    </w:tblStylePr>
    <w:tblStylePr w:type="lastCol">
      <w:rPr>
        <w:sz w:val="22"/>
      </w:rPr>
      <w:tblPr/>
      <w:tcPr>
        <w:shd w:val="clear" w:color="FFFFFF" w:fill="D99694" w:themeFill="accent2" w:themeFillTint="97"/>
      </w:tcPr>
    </w:tblStylePr>
    <w:tblStylePr w:type="lastRow">
      <w:rPr>
        <w:sz w:val="22"/>
      </w:rPr>
      <w:tblPr/>
      <w:tcPr>
        <w:shd w:val="clear" w:color="FFFFFF" w:fill="D99694" w:themeFill="accent2" w:themeFillTint="97"/>
      </w:tcPr>
    </w:tblStylePr>
  </w:style>
  <w:style w:type="table" w:styleId="894">
    <w:name w:val="Bordered &amp; Lined - Accent 3"/>
    <w:uiPriority w:val="99"/>
    <w:pPr>
      <w:spacing w:after="0" w:line="240" w:lineRule="auto"/>
    </w:pPr>
    <w:tblPr>
      <w:tblStyleRowBandSize w:val="1"/>
      <w:tblStyleColBandSize w:val="1"/>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tblStylePr w:type="band1Horz">
      <w:rPr>
        <w:sz w:val="22"/>
      </w:rPr>
      <w:tblPr/>
    </w:tblStylePr>
    <w:tblStylePr w:type="band1Vert">
      <w:rPr>
        <w:sz w:val="22"/>
      </w:rPr>
      <w:tblPr/>
    </w:tblStylePr>
    <w:tblStylePr w:type="band2Horz">
      <w:rPr>
        <w:sz w:val="22"/>
      </w:rPr>
      <w:tblPr/>
      <w:tcPr>
        <w:shd w:val="clear" w:color="FFFFFF" w:fill="EAF0DD" w:themeFill="accent3" w:themeFillTint="34"/>
      </w:tcPr>
    </w:tblStylePr>
    <w:tblStylePr w:type="band2Vert">
      <w:rPr>
        <w:sz w:val="22"/>
      </w:rPr>
      <w:tblPr/>
      <w:tcPr>
        <w:shd w:val="clear" w:color="FFFFFF" w:fill="EAF0DD" w:themeFill="accent3" w:themeFillTint="34"/>
      </w:tcPr>
    </w:tblStylePr>
    <w:tblStylePr w:type="firstCol">
      <w:rPr>
        <w:sz w:val="22"/>
      </w:rPr>
      <w:tblPr/>
      <w:tcPr>
        <w:shd w:val="clear" w:color="FFFFFF" w:fill="9BBA59" w:themeFill="accent3" w:themeFillTint="fe"/>
      </w:tcPr>
    </w:tblStylePr>
    <w:tblStylePr w:type="firstRow">
      <w:rPr>
        <w:sz w:val="22"/>
      </w:rPr>
      <w:tblPr/>
      <w:tcPr>
        <w:shd w:val="clear" w:color="FFFFFF" w:fill="9BBA59" w:themeFill="accent3" w:themeFillTint="fe"/>
      </w:tcPr>
    </w:tblStylePr>
    <w:tblStylePr w:type="lastCol">
      <w:rPr>
        <w:sz w:val="22"/>
      </w:rPr>
      <w:tblPr/>
      <w:tcPr>
        <w:shd w:val="clear" w:color="FFFFFF" w:fill="9BBA59" w:themeFill="accent3" w:themeFillTint="fe"/>
      </w:tcPr>
    </w:tblStylePr>
    <w:tblStylePr w:type="lastRow">
      <w:rPr>
        <w:sz w:val="22"/>
      </w:rPr>
      <w:tblPr/>
      <w:tcPr>
        <w:shd w:val="clear" w:color="FFFFFF" w:fill="9BBA59" w:themeFill="accent3" w:themeFillTint="fe"/>
      </w:tcPr>
    </w:tblStylePr>
  </w:style>
  <w:style w:type="table" w:styleId="895">
    <w:name w:val="Bordered &amp; Lined - Accent 4"/>
    <w:uiPriority w:val="99"/>
    <w:pPr>
      <w:spacing w:after="0" w:line="240" w:lineRule="auto"/>
    </w:pPr>
    <w:tblPr>
      <w:tblStyleRowBandSize w:val="1"/>
      <w:tblStyleColBandSize w:val="1"/>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tblStylePr w:type="band1Horz">
      <w:rPr>
        <w:sz w:val="22"/>
      </w:rPr>
      <w:tblPr/>
    </w:tblStylePr>
    <w:tblStylePr w:type="band1Vert">
      <w:rPr>
        <w:sz w:val="22"/>
      </w:rPr>
      <w:tblPr/>
    </w:tblStylePr>
    <w:tblStylePr w:type="band2Horz">
      <w:rPr>
        <w:sz w:val="22"/>
      </w:rPr>
      <w:tblPr/>
      <w:tcPr>
        <w:shd w:val="clear" w:color="FFFFFF" w:fill="E5DFEC" w:themeFill="accent4" w:themeFillTint="34"/>
      </w:tcPr>
    </w:tblStylePr>
    <w:tblStylePr w:type="band2Vert">
      <w:rPr>
        <w:sz w:val="22"/>
      </w:rPr>
      <w:tblPr/>
      <w:tcPr>
        <w:shd w:val="clear" w:color="FFFFFF" w:fill="E5DFEC" w:themeFill="accent4" w:themeFillTint="34"/>
      </w:tcPr>
    </w:tblStylePr>
    <w:tblStylePr w:type="firstCol">
      <w:rPr>
        <w:sz w:val="22"/>
      </w:rPr>
      <w:tblPr/>
      <w:tcPr>
        <w:shd w:val="clear" w:color="FFFFFF" w:fill="B2A1C6" w:themeFill="accent4" w:themeFillTint="9a"/>
      </w:tcPr>
    </w:tblStylePr>
    <w:tblStylePr w:type="firstRow">
      <w:rPr>
        <w:sz w:val="22"/>
      </w:rPr>
      <w:tblPr/>
      <w:tcPr>
        <w:shd w:val="clear" w:color="FFFFFF" w:fill="B2A1C6" w:themeFill="accent4" w:themeFillTint="9a"/>
      </w:tcPr>
    </w:tblStylePr>
    <w:tblStylePr w:type="lastCol">
      <w:rPr>
        <w:sz w:val="22"/>
      </w:rPr>
      <w:tblPr/>
      <w:tcPr>
        <w:shd w:val="clear" w:color="FFFFFF" w:fill="B2A1C6" w:themeFill="accent4" w:themeFillTint="9a"/>
      </w:tcPr>
    </w:tblStylePr>
    <w:tblStylePr w:type="lastRow">
      <w:rPr>
        <w:sz w:val="22"/>
      </w:rPr>
      <w:tblPr/>
      <w:tcPr>
        <w:shd w:val="clear" w:color="FFFFFF" w:fill="B2A1C6" w:themeFill="accent4" w:themeFillTint="9a"/>
      </w:tcPr>
    </w:tblStylePr>
  </w:style>
  <w:style w:type="table" w:styleId="896">
    <w:name w:val="Bordered &amp; Lined - Accent 5"/>
    <w:uiPriority w:val="99"/>
    <w:pPr>
      <w:spacing w:after="0" w:line="240" w:lineRule="auto"/>
    </w:pPr>
    <w:tblPr>
      <w:tblStyleRowBandSize w:val="1"/>
      <w:tblStyleColBandSize w:val="1"/>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sz w:val="22"/>
      </w:rPr>
      <w:tblPr/>
    </w:tblStylePr>
    <w:tblStylePr w:type="band1Vert">
      <w:rPr>
        <w:sz w:val="22"/>
      </w:rPr>
      <w:tblPr/>
    </w:tblStylePr>
    <w:tblStylePr w:type="band2Horz">
      <w:rPr>
        <w:sz w:val="22"/>
      </w:rPr>
      <w:tblPr/>
      <w:tcPr>
        <w:shd w:val="clear" w:color="FFFFFF" w:fill="DAEEF3" w:themeFill="accent5" w:themeFillTint="34"/>
      </w:tcPr>
    </w:tblStylePr>
    <w:tblStylePr w:type="band2Vert">
      <w:rPr>
        <w:sz w:val="22"/>
      </w:rPr>
      <w:tblPr/>
      <w:tcPr>
        <w:shd w:val="clear" w:color="FFFFFF" w:fill="DAEEF3" w:themeFill="accent5" w:themeFillTint="34"/>
      </w:tcPr>
    </w:tblStylePr>
    <w:tblStylePr w:type="firstCol">
      <w:rPr>
        <w:sz w:val="22"/>
      </w:rPr>
      <w:tblPr/>
      <w:tcPr>
        <w:shd w:val="clear" w:color="FFFFFF" w:fill="4BACC6" w:themeFill="accent5"/>
      </w:tcPr>
    </w:tblStylePr>
    <w:tblStylePr w:type="firstRow">
      <w:rPr>
        <w:sz w:val="22"/>
      </w:rPr>
      <w:tblPr/>
      <w:tcPr>
        <w:shd w:val="clear" w:color="FFFFFF" w:fill="4BACC6" w:themeFill="accent5"/>
      </w:tcPr>
    </w:tblStylePr>
    <w:tblStylePr w:type="lastCol">
      <w:rPr>
        <w:sz w:val="22"/>
      </w:rPr>
      <w:tblPr/>
      <w:tcPr>
        <w:shd w:val="clear" w:color="FFFFFF" w:fill="4BACC6" w:themeFill="accent5"/>
      </w:tcPr>
    </w:tblStylePr>
    <w:tblStylePr w:type="lastRow">
      <w:rPr>
        <w:sz w:val="22"/>
      </w:rPr>
      <w:tblPr/>
      <w:tcPr>
        <w:shd w:val="clear" w:color="FFFFFF" w:fill="4BACC6" w:themeFill="accent5"/>
      </w:tcPr>
    </w:tblStylePr>
  </w:style>
  <w:style w:type="table" w:styleId="897">
    <w:name w:val="Bordered &amp; Lined - Accent 6"/>
    <w:uiPriority w:val="99"/>
    <w:pPr>
      <w:spacing w:after="0" w:line="240" w:lineRule="auto"/>
    </w:pPr>
    <w:tblPr>
      <w:tblStyleRowBandSize w:val="1"/>
      <w:tblStyleColBandSize w:val="1"/>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sz w:val="22"/>
      </w:rPr>
      <w:tblPr/>
    </w:tblStylePr>
    <w:tblStylePr w:type="band1Vert">
      <w:rPr>
        <w:sz w:val="22"/>
      </w:rPr>
      <w:tblPr/>
    </w:tblStylePr>
    <w:tblStylePr w:type="band2Horz">
      <w:rPr>
        <w:sz w:val="22"/>
      </w:rPr>
      <w:tblPr/>
      <w:tcPr>
        <w:shd w:val="clear" w:color="FFFFFF" w:fill="FDE9D8" w:themeFill="accent6" w:themeFillTint="34"/>
      </w:tcPr>
    </w:tblStylePr>
    <w:tblStylePr w:type="band2Vert">
      <w:rPr>
        <w:sz w:val="22"/>
      </w:rPr>
      <w:tblPr/>
      <w:tcPr>
        <w:shd w:val="clear" w:color="FFFFFF" w:fill="FDE9D8" w:themeFill="accent6" w:themeFillTint="34"/>
      </w:tcPr>
    </w:tblStylePr>
    <w:tblStylePr w:type="firstCol">
      <w:rPr>
        <w:sz w:val="22"/>
      </w:rPr>
      <w:tblPr/>
      <w:tcPr>
        <w:shd w:val="clear" w:color="FFFFFF" w:fill="F79646" w:themeFill="accent6"/>
      </w:tcPr>
    </w:tblStylePr>
    <w:tblStylePr w:type="firstRow">
      <w:rPr>
        <w:sz w:val="22"/>
      </w:rPr>
      <w:tblPr/>
      <w:tcPr>
        <w:shd w:val="clear" w:color="FFFFFF" w:fill="F79646" w:themeFill="accent6"/>
      </w:tcPr>
    </w:tblStylePr>
    <w:tblStylePr w:type="lastCol">
      <w:rPr>
        <w:sz w:val="22"/>
      </w:rPr>
      <w:tblPr/>
      <w:tcPr>
        <w:shd w:val="clear" w:color="FFFFFF" w:fill="F79646" w:themeFill="accent6"/>
      </w:tcPr>
    </w:tblStylePr>
    <w:tblStylePr w:type="lastRow">
      <w:rPr>
        <w:sz w:val="22"/>
      </w:rPr>
      <w:tblPr/>
      <w:tcPr>
        <w:shd w:val="clear" w:color="FFFFFF" w:fill="F79646" w:themeFill="accent6"/>
      </w:tcPr>
    </w:tblStylePr>
  </w:style>
  <w:style w:type="table" w:styleId="898">
    <w:name w:val="Bordered"/>
    <w:uiPriority w:val="99"/>
    <w:pPr>
      <w:spacing w:after="0" w:line="240" w:lineRule="auto"/>
    </w:pPr>
    <w:tblPr>
      <w:tblStyleRowBandSize w:val="1"/>
      <w:tblStyleColBandSize w:val="1"/>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styleId="899">
    <w:name w:val="Bordered - Accent 1"/>
    <w:uiPriority w:val="99"/>
    <w:pPr>
      <w:spacing w:after="0" w:line="240" w:lineRule="auto"/>
    </w:pPr>
    <w:tblPr>
      <w:tblStyleRowBandSize w:val="1"/>
      <w:tblStyleColBandSize w:val="1"/>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sz w:val="22"/>
      </w:rPr>
      <w:tblPr/>
      <w:tcPr>
        <w:tcBorders>
          <w:top w:val="single" w:color="000000" w:themeColor="accent1" w:sz="4" w:space="0"/>
          <w:left w:val="single" w:color="000000" w:themeColor="accent1" w:sz="4" w:space="0"/>
          <w:bottom w:val="single" w:color="000000" w:themeColor="accent1" w:sz="4" w:space="0"/>
          <w:right w:val="single" w:color="000000" w:themeColor="accent1" w:sz="4" w:space="0"/>
        </w:tcBorders>
      </w:tcPr>
    </w:tblStylePr>
    <w:tblStylePr w:type="firstCol">
      <w:rPr>
        <w:sz w:val="22"/>
      </w:rPr>
      <w:tblPr/>
    </w:tblStylePr>
    <w:tblStylePr w:type="firstRow">
      <w:rPr>
        <w:sz w:val="22"/>
      </w:rPr>
      <w:tblPr/>
      <w:tcPr>
        <w:tcBorders>
          <w:bottom w:val="single" w:color="000000" w:themeColor="accent1" w:sz="12" w:space="0"/>
        </w:tcBorders>
      </w:tcPr>
    </w:tblStylePr>
    <w:tblStylePr w:type="lastCol">
      <w:rPr>
        <w:sz w:val="22"/>
      </w:rPr>
      <w:tblPr/>
      <w:tcPr>
        <w:tcBorders>
          <w:left w:val="single" w:color="000000" w:themeColor="accent1" w:sz="12" w:space="0"/>
        </w:tcBorders>
      </w:tcPr>
    </w:tblStylePr>
    <w:tblStylePr w:type="lastRow">
      <w:rPr>
        <w:sz w:val="22"/>
      </w:rPr>
      <w:tblPr/>
      <w:tcPr>
        <w:tcBorders>
          <w:top w:val="single" w:color="000000" w:themeColor="accent1" w:sz="12" w:space="0"/>
        </w:tcBorders>
      </w:tcPr>
    </w:tblStylePr>
  </w:style>
  <w:style w:type="table" w:styleId="900">
    <w:name w:val="Bordered - Accent 2"/>
    <w:uiPriority w:val="99"/>
    <w:pPr>
      <w:spacing w:after="0" w:line="240" w:lineRule="auto"/>
    </w:pPr>
    <w:tblPr>
      <w:tblStyleRowBandSize w:val="1"/>
      <w:tblStyleColBandSize w:val="1"/>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sz w:val="22"/>
      </w:rPr>
      <w:tblPr/>
      <w:tcPr>
        <w:tcBorders>
          <w:top w:val="single" w:color="000000" w:themeColor="accent2" w:sz="4" w:space="0"/>
          <w:left w:val="single" w:color="000000" w:themeColor="accent2" w:sz="4" w:space="0"/>
          <w:bottom w:val="single" w:color="000000" w:themeColor="accent2" w:sz="4" w:space="0"/>
          <w:right w:val="single" w:color="000000" w:themeColor="accent2" w:sz="4" w:space="0"/>
        </w:tcBorders>
      </w:tcPr>
    </w:tblStylePr>
    <w:tblStylePr w:type="firstCol">
      <w:rPr>
        <w:sz w:val="22"/>
      </w:rPr>
      <w:tblPr/>
    </w:tblStylePr>
    <w:tblStylePr w:type="firstRow">
      <w:rPr>
        <w:sz w:val="22"/>
      </w:rPr>
      <w:tblPr/>
      <w:tcPr>
        <w:tcBorders>
          <w:bottom w:val="single" w:color="000000" w:themeColor="accent2" w:sz="12" w:space="0"/>
        </w:tcBorders>
      </w:tcPr>
    </w:tblStylePr>
    <w:tblStylePr w:type="lastCol">
      <w:rPr>
        <w:sz w:val="22"/>
      </w:rPr>
      <w:tblPr/>
      <w:tcPr>
        <w:tcBorders>
          <w:left w:val="single" w:color="000000" w:themeColor="accent2" w:sz="12" w:space="0"/>
        </w:tcBorders>
      </w:tcPr>
    </w:tblStylePr>
    <w:tblStylePr w:type="lastRow">
      <w:rPr>
        <w:sz w:val="22"/>
      </w:rPr>
      <w:tblPr/>
      <w:tcPr>
        <w:tcBorders>
          <w:top w:val="single" w:color="000000" w:themeColor="accent2" w:sz="12" w:space="0"/>
        </w:tcBorders>
      </w:tcPr>
    </w:tblStylePr>
  </w:style>
  <w:style w:type="table" w:styleId="901">
    <w:name w:val="Bordered - Accent 3"/>
    <w:uiPriority w:val="99"/>
    <w:pPr>
      <w:spacing w:after="0" w:line="240" w:lineRule="auto"/>
    </w:pPr>
    <w:tblPr>
      <w:tblStyleRowBandSize w:val="1"/>
      <w:tblStyleColBandSize w:val="1"/>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sz w:val="22"/>
      </w:rPr>
      <w:tblPr/>
      <w:tcPr>
        <w:tcBorders>
          <w:top w:val="single" w:color="000000" w:themeColor="accent3" w:sz="4" w:space="0"/>
          <w:left w:val="single" w:color="000000" w:themeColor="accent3" w:sz="4" w:space="0"/>
          <w:bottom w:val="single" w:color="000000" w:themeColor="accent3" w:sz="4" w:space="0"/>
          <w:right w:val="single" w:color="000000" w:themeColor="accent3" w:sz="4" w:space="0"/>
        </w:tcBorders>
      </w:tcPr>
    </w:tblStylePr>
    <w:tblStylePr w:type="firstCol">
      <w:rPr>
        <w:sz w:val="22"/>
      </w:rPr>
      <w:tblPr/>
    </w:tblStylePr>
    <w:tblStylePr w:type="firstRow">
      <w:rPr>
        <w:sz w:val="22"/>
      </w:rPr>
      <w:tblPr/>
      <w:tcPr>
        <w:tcBorders>
          <w:bottom w:val="single" w:color="000000" w:themeColor="accent3" w:sz="12" w:space="0"/>
        </w:tcBorders>
      </w:tcPr>
    </w:tblStylePr>
    <w:tblStylePr w:type="lastCol">
      <w:rPr>
        <w:sz w:val="22"/>
      </w:rPr>
      <w:tblPr/>
      <w:tcPr>
        <w:tcBorders>
          <w:left w:val="single" w:color="000000" w:themeColor="accent3" w:sz="12" w:space="0"/>
        </w:tcBorders>
      </w:tcPr>
    </w:tblStylePr>
    <w:tblStylePr w:type="lastRow">
      <w:rPr>
        <w:sz w:val="22"/>
      </w:rPr>
      <w:tblPr/>
      <w:tcPr>
        <w:tcBorders>
          <w:top w:val="single" w:color="000000" w:themeColor="accent3" w:sz="12" w:space="0"/>
        </w:tcBorders>
      </w:tcPr>
    </w:tblStylePr>
  </w:style>
  <w:style w:type="table" w:styleId="902">
    <w:name w:val="Bordered - Accent 4"/>
    <w:uiPriority w:val="99"/>
    <w:pPr>
      <w:spacing w:after="0" w:line="240" w:lineRule="auto"/>
    </w:pPr>
    <w:tblPr>
      <w:tblStyleRowBandSize w:val="1"/>
      <w:tblStyleColBandSize w:val="1"/>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sz w:val="22"/>
      </w:rPr>
      <w:tblPr/>
      <w:tcPr>
        <w:tcBorders>
          <w:top w:val="single" w:color="000000" w:themeColor="accent4" w:sz="4" w:space="0"/>
          <w:left w:val="single" w:color="000000" w:themeColor="accent4" w:sz="4" w:space="0"/>
          <w:bottom w:val="single" w:color="000000" w:themeColor="accent4" w:sz="4" w:space="0"/>
          <w:right w:val="single" w:color="000000" w:themeColor="accent4" w:sz="4" w:space="0"/>
        </w:tcBorders>
      </w:tcPr>
    </w:tblStylePr>
    <w:tblStylePr w:type="firstCol">
      <w:rPr>
        <w:sz w:val="22"/>
      </w:rPr>
      <w:tblPr/>
    </w:tblStylePr>
    <w:tblStylePr w:type="firstRow">
      <w:rPr>
        <w:sz w:val="22"/>
      </w:rPr>
      <w:tblPr/>
      <w:tcPr>
        <w:tcBorders>
          <w:bottom w:val="single" w:color="000000" w:themeColor="accent4" w:sz="12" w:space="0"/>
        </w:tcBorders>
      </w:tcPr>
    </w:tblStylePr>
    <w:tblStylePr w:type="lastCol">
      <w:rPr>
        <w:sz w:val="22"/>
      </w:rPr>
      <w:tblPr/>
      <w:tcPr>
        <w:tcBorders>
          <w:left w:val="single" w:color="000000" w:themeColor="accent4" w:sz="12" w:space="0"/>
        </w:tcBorders>
      </w:tcPr>
    </w:tblStylePr>
    <w:tblStylePr w:type="lastRow">
      <w:rPr>
        <w:sz w:val="22"/>
      </w:rPr>
      <w:tblPr/>
      <w:tcPr>
        <w:tcBorders>
          <w:top w:val="single" w:color="000000" w:themeColor="accent4" w:sz="12" w:space="0"/>
        </w:tcBorders>
      </w:tcPr>
    </w:tblStylePr>
  </w:style>
  <w:style w:type="table" w:styleId="903">
    <w:name w:val="Bordered - Accent 5"/>
    <w:uiPriority w:val="99"/>
    <w:pPr>
      <w:spacing w:after="0" w:line="240" w:lineRule="auto"/>
    </w:pPr>
    <w:tblPr>
      <w:tblStyleRowBandSize w:val="1"/>
      <w:tblStyleColBandSize w:val="1"/>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sz w:val="22"/>
      </w:rPr>
      <w:tblPr/>
      <w:tcPr>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firstCol">
      <w:rPr>
        <w:sz w:val="22"/>
      </w:rPr>
      <w:tblPr/>
    </w:tblStylePr>
    <w:tblStylePr w:type="firstRow">
      <w:rPr>
        <w:sz w:val="22"/>
      </w:rPr>
      <w:tblPr/>
      <w:tcPr>
        <w:tcBorders>
          <w:bottom w:val="single" w:color="000000" w:themeColor="accent5" w:sz="12" w:space="0"/>
        </w:tcBorders>
      </w:tcPr>
    </w:tblStylePr>
    <w:tblStylePr w:type="lastCol">
      <w:rPr>
        <w:sz w:val="22"/>
      </w:rPr>
      <w:tblPr/>
      <w:tcPr>
        <w:tcBorders>
          <w:left w:val="single" w:color="000000" w:themeColor="accent5" w:sz="12" w:space="0"/>
        </w:tcBorders>
      </w:tcPr>
    </w:tblStylePr>
    <w:tblStylePr w:type="lastRow">
      <w:rPr>
        <w:sz w:val="22"/>
      </w:rPr>
      <w:tblPr/>
      <w:tcPr>
        <w:tcBorders>
          <w:top w:val="single" w:color="000000" w:themeColor="accent5" w:sz="12" w:space="0"/>
        </w:tcBorders>
      </w:tcPr>
    </w:tblStylePr>
  </w:style>
  <w:style w:type="table" w:styleId="904">
    <w:name w:val="Bordered - Accent 6"/>
    <w:uiPriority w:val="99"/>
    <w:pPr>
      <w:spacing w:after="0" w:line="240" w:lineRule="auto"/>
    </w:pPr>
    <w:tblPr>
      <w:tblStyleRowBandSize w:val="1"/>
      <w:tblStyleColBandSize w:val="1"/>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sz w:val="22"/>
      </w:rPr>
      <w:tblPr/>
      <w:tcPr>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firstCol">
      <w:rPr>
        <w:sz w:val="22"/>
      </w:rPr>
      <w:tblPr/>
    </w:tblStylePr>
    <w:tblStylePr w:type="firstRow">
      <w:rPr>
        <w:sz w:val="22"/>
      </w:rPr>
      <w:tblPr/>
      <w:tcPr>
        <w:tcBorders>
          <w:bottom w:val="single" w:color="000000" w:themeColor="accent6" w:sz="12" w:space="0"/>
        </w:tcBorders>
      </w:tcPr>
    </w:tblStylePr>
    <w:tblStylePr w:type="lastCol">
      <w:rPr>
        <w:sz w:val="22"/>
      </w:rPr>
      <w:tblPr/>
      <w:tcPr>
        <w:tcBorders>
          <w:left w:val="single" w:color="000000" w:themeColor="accent6" w:sz="12" w:space="0"/>
        </w:tcBorders>
      </w:tcPr>
    </w:tblStylePr>
    <w:tblStylePr w:type="lastRow">
      <w:rPr>
        <w:sz w:val="22"/>
      </w:rPr>
      <w:tblPr/>
      <w:tcPr>
        <w:tcBorders>
          <w:top w:val="single" w:color="000000" w:themeColor="accent6" w:sz="12" w:space="0"/>
        </w:tcBorders>
      </w:tcPr>
    </w:tblStylePr>
  </w:style>
  <w:style w:type="table" w:default="1" w:styleId="905">
    <w:name w:val="Normal Table"/>
    <w:uiPriority w:val="99"/>
    <w:semiHidden/>
    <w:unhideWhenUsed/>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mailto:perm-mail@ural.rt.ru" TargetMode="External"/><Relationship Id="rId10" Type="http://schemas.openxmlformats.org/officeDocument/2006/relationships/hyperlink" Target="http://www.gorodperm.ru/" TargetMode="External"/><Relationship Id="rId11" Type="http://schemas.openxmlformats.org/officeDocument/2006/relationships/hyperlink" Target="http://utp.sberbank-ast.ru/AP/Notice/653/Requisites"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1213</TotalTime>
  <Application>LibreOffice/7.6.7.2$Linux_X86_64 LibreOffice_project/60$Build-2</Application>
  <AppVersion>15.0000</AppVersion>
  <Pages>25</Pages>
  <Words>7689</Words>
  <Characters>54817</Characters>
  <CharactersWithSpaces>62435</CharactersWithSpaces>
  <Paragraphs>369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2023-10-30T09:15:00Z</dcterms:created>
  <dc:creator>Tatyannikova</dc:creator>
  <dc:description/>
  <dc:language>ru-RU</dc:language>
  <cp:lastModifiedBy/>
  <dcterms:modified xsi:type="dcterms:W3CDTF">2025-01-20T17:24:47Z</dcterms:modified>
  <cp:revision>191</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