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Приложение </w:t>
      </w:r>
      <w:r>
        <w:rPr>
          <w:rFonts w:eastAsia="Times New Roman" w:cs="Times New Roman" w:ascii="Times New Roman" w:hAnsi="Times New Roman"/>
          <w:sz w:val="20"/>
          <w:szCs w:val="20"/>
        </w:rPr>
        <w:t>2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к извещению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 xml:space="preserve">о проведении 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27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.0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2</w:t>
      </w: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>.2025</w:t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val="en-US"/>
        </w:rPr>
        <w:t xml:space="preserve">электронных аукционов </w:t>
      </w:r>
      <w:r>
        <w:rPr>
          <w:rFonts w:cs="Times New Roman" w:ascii="Times New Roman" w:hAnsi="Times New Roman"/>
          <w:sz w:val="20"/>
          <w:szCs w:val="20"/>
          <w:lang w:val="en-US"/>
        </w:rPr>
        <w:t>на право заключения</w:t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en-US"/>
        </w:rPr>
        <w:t>договоров аренды земельных участков</w:t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/>
      </w:r>
    </w:p>
    <w:p>
      <w:pPr>
        <w:pStyle w:val="BodyTextIndent2"/>
        <w:numPr>
          <w:ilvl w:val="0"/>
          <w:numId w:val="0"/>
        </w:numPr>
        <w:spacing w:lineRule="auto" w:line="276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77988</w:t>
      </w:r>
    </w:p>
    <w:p>
      <w:pPr>
        <w:pStyle w:val="Normal"/>
        <w:widowControl w:val="false"/>
        <w:spacing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7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в дальнейшем Арендодатель, </w:t>
      </w:r>
      <w:r>
        <w:rPr>
          <w:rFonts w:cs="Times New Roman" w:ascii="Times New Roman" w:hAnsi="Times New Roman"/>
          <w:b/>
          <w:sz w:val="24"/>
          <w:szCs w:val="24"/>
        </w:rPr>
        <w:t xml:space="preserve">в лице ___________________________________, действующего </w:t>
        <w:br/>
        <w:t>на основании доверенности от ______________ № _________________________</w:t>
      </w:r>
      <w:r>
        <w:rPr>
          <w:rFonts w:cs="Times New Roman" w:ascii="Times New Roman" w:hAnsi="Times New Roman"/>
          <w:sz w:val="24"/>
          <w:szCs w:val="24"/>
        </w:rPr>
        <w:t xml:space="preserve">, именуемый </w:t>
        <w:br/>
        <w:t xml:space="preserve">в дальнейшем Арендатор, действующий на основании ________, с другой стороны, совместно именуемые «Стороны», на основании </w:t>
      </w:r>
      <w:r>
        <w:rPr>
          <w:rFonts w:cs="Times New Roman" w:ascii="Times New Roman" w:hAnsi="Times New Roman"/>
          <w:b/>
          <w:sz w:val="24"/>
          <w:szCs w:val="24"/>
        </w:rPr>
        <w:t xml:space="preserve">протокола о результатах электронного аукциона </w:t>
        <w:br/>
        <w:t xml:space="preserve">на право заключения договоров аренды земельных участков от </w:t>
      </w:r>
      <w:r>
        <w:rPr>
          <w:rFonts w:cs="Times New Roman" w:ascii="Times New Roman" w:hAnsi="Times New Roman"/>
          <w:sz w:val="24"/>
          <w:szCs w:val="24"/>
        </w:rPr>
        <w:t xml:space="preserve">_________ по лоту </w:t>
        <w:br/>
        <w:t xml:space="preserve">№ ________ (далее – протокол), заключили настоящий договор о следующем. 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59:01:4713931:147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 xml:space="preserve">1361 </w:t>
      </w:r>
      <w:r>
        <w:rPr>
          <w:rFonts w:cs="Times New Roman" w:ascii="Times New Roman" w:hAnsi="Times New Roman"/>
          <w:sz w:val="24"/>
          <w:szCs w:val="24"/>
        </w:rPr>
        <w:t xml:space="preserve">кв.м, расположенный на землях населенных пунктов 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4-я Субботинская, з/у 19а </w:t>
      </w:r>
      <w:r>
        <w:rPr>
          <w:rFonts w:cs="Times New Roman" w:ascii="Times New Roman" w:hAnsi="Times New Roman"/>
          <w:sz w:val="24"/>
          <w:szCs w:val="24"/>
        </w:rPr>
        <w:t xml:space="preserve">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территориальной зоне индивидуальной усадебной жилой застройки (Ж-5).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с особым условием использования территории - приаэродромная территория аэродрома аэропорта Большое Савино.</w:t>
      </w:r>
    </w:p>
    <w:p>
      <w:pPr>
        <w:pStyle w:val="ConsPlusNonformat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  <w:lang w:val="x-none"/>
        </w:rPr>
        <w:t xml:space="preserve">Проектирование и строительство необходимо вести в соответствии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x-none"/>
        </w:rPr>
        <w:t>с пунктом 4.5 СП 55.13330.2016 Свода Правил. Дома жилые одноквартирные. СНиП 31-02-2001, утвержденным и введенным в действие Приказом Министерства строительства и жилищно-коммунального хозяйства Российской Федерации от 20.10.2016 № 725/пр. Дом должен включать жилые комнаты – одну или несколько (общую комнату или гостиную, спальню),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</w:t>
      </w:r>
      <w:r>
        <w:rPr>
          <w:rFonts w:ascii="Times New Roman" w:hAnsi="Times New Roman"/>
          <w:sz w:val="24"/>
          <w:szCs w:val="24"/>
        </w:rPr>
        <w:t>, переднюю.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6.1 СП 55.13330.2016 площади помещений строящихся и реконструируемых жилых домов должны быть не менее: общей комнаты в однокомнатном доме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14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, общей комнаты в доме с числом комнат две и более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, спальни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(на двух человек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10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); кухни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8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; кухонной зоны в кухне-столовой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 xml:space="preserve"> при условии, что общая жилая комната имеет площадь не менее 16 м</w:t>
      </w:r>
      <w:r>
        <w:rPr>
          <w:rFonts w:ascii="Times New Roman" w:hAnsi="Times New Roman"/>
          <w:sz w:val="24"/>
          <w:szCs w:val="24"/>
          <w:vertAlign w:val="superscript"/>
          <w:lang w:val="x-none"/>
        </w:rPr>
        <w:t>2</w:t>
      </w:r>
      <w:r>
        <w:rPr>
          <w:rFonts w:ascii="Times New Roman" w:hAnsi="Times New Roman"/>
          <w:sz w:val="24"/>
          <w:szCs w:val="24"/>
          <w:lang w:val="x-none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</w:t>
      </w:r>
      <w:r>
        <w:rPr>
          <w:rFonts w:ascii="Times New Roman" w:hAnsi="Times New Roman"/>
          <w:sz w:val="24"/>
          <w:szCs w:val="24"/>
        </w:rPr>
        <w:br/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не менее 2,5 м. Высота внутридомовых коридоров, холлов, передних, антресолей должна составлять не менее 2,1 м,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 xml:space="preserve">а высота пути эвакуации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  <w:lang w:val="x-none"/>
        </w:rPr>
        <w:t xml:space="preserve"> не менее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2,2 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x-none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до потолка), относительно нормируемой на площади, не превышающей 50%.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Согласно информации, содержащейся в градостроительном плане земельного участка от 24.06.2024 № РФ-59-2-03-0-00-2024-1293-0 (далее – ГПЗУ), предельная высота зданий, строений  не более 10,5 м. 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tabs>
          <w:tab w:val="clear" w:pos="708"/>
          <w:tab w:val="right" w:pos="6000" w:leader="none"/>
        </w:tabs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процент застройки в границах Участка – 40%.</w:t>
      </w:r>
    </w:p>
    <w:p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</w:t>
      </w:r>
      <w:r>
        <w:rPr>
          <w:rFonts w:ascii="Times New Roman" w:hAnsi="Times New Roman"/>
          <w:sz w:val="24"/>
          <w:szCs w:val="24"/>
        </w:rPr>
        <w:t xml:space="preserve">часток находится в свободном доступе. На участке произрастают </w:t>
        <w:br/>
        <w:t xml:space="preserve">26 деревьев породы тополя и клен ясенелистный. На территории </w:t>
      </w:r>
      <w:r>
        <w:rPr>
          <w:rFonts w:cs="Times New Roman" w:ascii="Times New Roman" w:hAnsi="Times New Roman"/>
          <w:sz w:val="24"/>
          <w:szCs w:val="24"/>
        </w:rPr>
        <w:t>земельного у</w:t>
      </w:r>
      <w:r>
        <w:rPr>
          <w:rFonts w:ascii="Times New Roman" w:hAnsi="Times New Roman"/>
          <w:sz w:val="24"/>
          <w:szCs w:val="24"/>
        </w:rPr>
        <w:t>частка капитальные и некапитальные объекты отсутствуют.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2.1.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Арендодатель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 Арендодатель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2.2.4. в 3-дневный срок после получения уведомления, указанного в пункте </w:t>
        <w:br/>
        <w:t>3.2.18 настоящего договора, провести осмотр земельного участка, составить акт осмотра земельного участка, подтверждающий снос самовольной постройки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 xml:space="preserve">3.1.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3.1.1. использовать земельный участок в соответствии с условиями настоящего договора.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за исключением сооружений, которые могут размещаться на таких земельных участках на основании сервитута, публичного сервитута или в соответствии со </w:t>
      </w:r>
      <w:hyperlink r:id="rId2">
        <w:r>
          <w:rPr>
            <w:rStyle w:val="ListLabel19"/>
            <w:rFonts w:cs="Times New Roman" w:ascii="Times New Roman" w:hAnsi="Times New Roman"/>
            <w:sz w:val="24"/>
            <w:szCs w:val="24"/>
          </w:rPr>
          <w:t>статьей 39.36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3.2.2. использовать земельный участок в границах, сведения 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3.2.3.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3.2.4.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3.2.5.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3.2.6.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3.2.7.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3.2.8. не </w:t>
      </w:r>
      <w:r>
        <w:rPr>
          <w:rFonts w:cs="Times New Roman" w:ascii="Times New Roman" w:hAnsi="Times New Roman"/>
          <w:sz w:val="24"/>
          <w:szCs w:val="24"/>
        </w:rPr>
        <w:t xml:space="preserve">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3">
        <w:r>
          <w:rPr>
            <w:rStyle w:val="ListLabel19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Арендатор не вправе уступать права и осуществлять перевод долга по обязательствам, возникшим из договора аренды. 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3.2.10.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3.2.11.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в случае изменения адреса или иных реквизитов Арендатора в пятидневный срок направить Арендодателю письменное уведомление.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В случае неисполнения Арендатором этого условия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3.2.13.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3.2.14.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</w:t>
        <w:br/>
        <w:t>и привести участок в прежнее состояние за свой счет в срок, установленный в уведомлении Арендодателя.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В случае выявления объектов некапитального типа арендатор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обязан осуществить демонтаж выявленных объектов за счет собственных средств и (или) </w:t>
        <w:br/>
        <w:t xml:space="preserve">с привлечением средств других лиц без отнесения соответствующих расходов </w:t>
        <w:br/>
        <w:t>на территориальный орган администрации города Перми, департамент земельных отношений администрации города Перми или иной функциональный орган или подразделение администрации города Перми</w:t>
      </w: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eastAsia="Calibri" w:cs="Times New Roman" w:eastAsiaTheme="minorHAnsi"/>
          <w:sz w:val="24"/>
          <w:szCs w:val="24"/>
          <w:lang w:eastAsia="en-US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3.2.15.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</w:t>
        <w:br/>
        <w:t>и иных правил, нормативов;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 w:ascii="Times New Roman" w:hAnsi="Times New Roman" w:eastAsiaTheme="minorHAnsi"/>
          <w:sz w:val="24"/>
          <w:szCs w:val="24"/>
          <w:lang w:eastAsia="en-US"/>
        </w:rPr>
        <w:t xml:space="preserve">3.2.16. не допускать загрязнение, истощение, деградацию, порчу, уничтожение земель </w:t>
        <w:br/>
        <w:t>и почв и иное негативное воздействие на земли и почвы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3.2.17.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в течение 3 дней после осуществления сноса самовольной постройки в срок, установленный пунктом 3.2.17 настоящего договора, направить Арендодателю письменное уведомление об этом для составления акта осмотра земельного участка в соответствии </w:t>
        <w:br/>
        <w:t>с пунктом 2.2.4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3.2.19.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3.2.20. при проектировании и строительстве объекта капитального строительства соблюдать требования по разработке паспорта внешнего облика объекта капитального строительства (далее – колерный паспорт), установленные правилами благоустройства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Колерный паспорт подлежит согласованию с функциональным органом администрации города Перми, осуществляющим функции управления в сфере градостроительства;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3.2.21. проектом строительства предусмотреть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нанесение существующих деревьев на стройгенплан. На земельном участке произрастают 26 деревьев породы тополя и клен ясенелистный;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5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ведение сноса деревьев, попадающих в пятно застройки, на основании акта комиссионного обследования земельных насаждений в соответствии решением Пермской городской Думы </w:t>
        <w:br/>
        <w:t>от 15.12.2020 № 277. Указанный акт должен быть составлен на основании проектной документации. Остальные деревья сохранить;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восстановление зеленых насаждений в соответствии с решением Пермской городской Думы от 15.12.2020 № 277;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сбора и отвод ливневых вод с использованием вариантов решений 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образующих отходов и мест их размещения на период эксплуатации; </w:t>
      </w:r>
    </w:p>
    <w:p>
      <w:pPr>
        <w:pStyle w:val="Normal"/>
        <w:numPr>
          <w:ilvl w:val="0"/>
          <w:numId w:val="1"/>
        </w:numPr>
        <w:spacing w:lineRule="auto" w:line="240" w:before="0" w:after="0"/>
        <w:ind w:firstLine="426"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для присоединения земельного участка к уличной дорожной сети г. Перми необходимо: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разработать проект организации дорожного движения и согласовать в установленном порядке с ГКУ «Центр безопасности дорожного движения Пермского края» (ул. Пермская, 164, тел. 236-21-84);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получить согласие владельца автомобильной дороги (порядок выдачи согласия владельца автомобильной дороги общего пользования местного значения в целях строительства, реконструкции, капитального ремонта, ремонта являющихся сооружениями пересечения автомобильной дороги общего пользования местного значения с другими автомобильными дорогами, примыкания автомобильной дороги общего пользования местного значения к другой автомобильной дороге, а также перечень документов, необходимых для выдачи согласия, утверждены Постановлением администрации города Перми от 31.01.2022 </w:t>
        <w:br/>
        <w:t>№ 45).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3.2.23.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Перми», в том числе: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поверхностный водоотвод решить проектом без подтопления смежных территорий, </w:t>
        <w:br/>
        <w:t>в соответствии с действующими нормативно-правовыми актами и природоохранным законодательством;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предусмотреть электроосвещение территории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стоянку для временного хранения транспорта разместить в границах отведенного </w:t>
        <w:br/>
        <w:t>под строительство земельного участка вне территории общего пользования;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="Symbol" w:cs="Symbol" w:ascii="Symbol" w:hAnsi="Symbol"/>
          <w:sz w:val="24"/>
          <w:szCs w:val="24"/>
        </w:rPr>
        <w:sym w:font="Symbol" w:char="f02d"/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предусмотреть устройство подъезда к земельному участку или ликвидацию разрушений, повреждений дорожного покрытия существующего проезда от границ земельного участка </w:t>
        <w:br/>
        <w:t>до существующей улично-дорожной сети города Перми, а также наружное освещение подъезда.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2.2.24. соблюдать правила охранных зон воздушного пространства, установленные постановлением Правительства РФ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3.2.25.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bookmarkStart w:id="1" w:name="P53"/>
      <w:bookmarkStart w:id="2" w:name="P53"/>
      <w:bookmarkEnd w:id="2"/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51"/>
      <w:bookmarkEnd w:id="3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в течение 15 дней со дня размещения протокола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года, а также подлежит индексации на уровень инфляции, установленный </w:t>
        <w:br/>
        <w:t xml:space="preserve">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</w:t>
        <w:br/>
        <w:t>на очередной финансовый год и плановый период.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3.2.11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в течение 15 дней со дня размещения протокола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7.5.5. невыполнения Арендатором обязательства, предусмотренного пунктом 3.2.18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p>
      <w:pPr>
        <w:pStyle w:val="ConsPlusNormal"/>
        <w:spacing w:lineRule="auto" w:line="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614000, г. Пермь,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7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212-31-70,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7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spacing w:lineRule="auto" w:line="276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7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4" w:name="P133"/>
            <w:bookmarkEnd w:id="4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76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76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76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 xml:space="preserve">                     </w:t>
            </w: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Дата _______________ М.П.                                                  Дата _______________</w:t>
      </w:r>
    </w:p>
    <w:sectPr>
      <w:headerReference w:type="default" r:id="rId4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447844052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 xml:space="preserve"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9</w:t>
        </w:r>
        <w:r>
          <w:rPr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sid w:val="00c14e7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сноски Знак"/>
    <w:basedOn w:val="DefaultParagraphFont"/>
    <w:uiPriority w:val="99"/>
    <w:semiHidden/>
    <w:qFormat/>
    <w:rsid w:val="00c14e7d"/>
    <w:rPr>
      <w:sz w:val="20"/>
      <w:szCs w:val="20"/>
    </w:rPr>
  </w:style>
  <w:style w:type="character" w:styleId="Style15">
    <w:name w:val="Символ сноски"/>
    <w:semiHidden/>
    <w:unhideWhenUsed/>
    <w:qFormat/>
    <w:rsid w:val="00c14e7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sid w:val="00ad532c"/>
    <w:rPr>
      <w:rFonts w:ascii="Times New Roman" w:hAnsi="Times New Roman" w:cs="Times New Roman"/>
      <w:b/>
      <w:bCs w:val="false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622ab2"/>
    <w:rPr/>
  </w:style>
  <w:style w:type="character" w:styleId="Style17" w:customStyle="1">
    <w:name w:val="Нижний колонтитул Знак"/>
    <w:basedOn w:val="DefaultParagraphFont"/>
    <w:uiPriority w:val="99"/>
    <w:qFormat/>
    <w:rsid w:val="00622ab2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ce1e5a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rsid w:val="00f90216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rsid w:val="00c14e7d"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14"/>
    <w:uiPriority w:val="99"/>
    <w:semiHidden/>
    <w:unhideWhenUsed/>
    <w:rsid w:val="00c14e7d"/>
    <w:pPr>
      <w:spacing w:lineRule="auto" w:line="240" w:before="0" w:after="0"/>
    </w:pPr>
    <w:rPr>
      <w:sz w:val="20"/>
      <w:szCs w:val="20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622ab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ce1e5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14e7d"/>
    <w:pPr>
      <w:spacing w:after="0" w:line="240" w:lineRule="auto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82851&amp;dst=1095" TargetMode="External"/><Relationship Id="rId3" Type="http://schemas.openxmlformats.org/officeDocument/2006/relationships/hyperlink" Target="https://login.consultant.ru/link/?req=doc&amp;base=LAW&amp;n=471026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Application>LibreOffice/7.6.7.2$Linux_X86_64 LibreOffice_project/60$Build-2</Application>
  <AppVersion>15.0000</AppVersion>
  <Pages>9</Pages>
  <Words>3544</Words>
  <Characters>25210</Characters>
  <CharactersWithSpaces>28857</CharactersWithSpaces>
  <Paragraphs>167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cp:lastPrinted>2022-01-24T06:29:00Z</cp:lastPrinted>
  <dcterms:modified xsi:type="dcterms:W3CDTF">2025-01-14T11:56:35Z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