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31.01.2025 № 059-19-01-11-5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Извещение о проведении 06.03.2025 электронных аукционов по продаже земельных участков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Электронные аукционы по продаже земельных участков (далее – аукцион) проводятся 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                   и участков, собственность на которые не разграничена, объектов незавершенного строительства, расположенных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                         </w:t>
      </w:r>
      <w:r>
        <w:rPr>
          <w:rFonts w:eastAsia="Droid Sans Fallback" w:cs="Lohit Devanagari"/>
          <w:color w:val="000000"/>
          <w:kern w:val="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8"/>
        </w:rPr>
        <w:t>31.01.2025 № 059-19-01-11-5.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участка, либо на право заключения договора аренды земельного участка: </w:t>
      </w:r>
      <w:r>
        <w:rPr>
          <w:bCs/>
        </w:rPr>
        <w:t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1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8"/>
        <w:gridCol w:w="3269"/>
        <w:gridCol w:w="6294"/>
      </w:tblGrid>
      <w:tr>
        <w:trPr>
          <w:trHeight w:val="877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28 июля 2023 г. № 21-01-03-4777                             «О проведении аукциона по продаже земельного участка             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край Пермский, г.о. Пермский,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Пермь, ж/р Ново-Бродовский, ул. Пасечная, зу 37</w:t>
            </w:r>
          </w:p>
        </w:tc>
      </w:tr>
      <w:tr>
        <w:trPr>
          <w:trHeight w:val="148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 кв. м</w:t>
            </w:r>
          </w:p>
        </w:tc>
      </w:tr>
      <w:tr>
        <w:trPr>
          <w:trHeight w:val="155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59:01:5010064:27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под строительство индивидуального жилого дома</w:t>
            </w:r>
          </w:p>
        </w:tc>
      </w:tr>
      <w:tr>
        <w:trPr>
          <w:trHeight w:val="576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19.11.2024г. № КУВИ-001/2024-281288147;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27.06.2023 № РФ-59-2-03-0-00-2023-1295-0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Участке преобладает густая растительность (деревья, кустарники), доступ на Участок свободный.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Расположение близлежащих источников противопожарного водоснабжения: ул. Виноградная, 22 (жилой комплекс «Янтарный»), ул. Ореховая, 102.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>администрации Свердловского района города Перми</w:t>
            </w:r>
            <w:r>
              <w:rPr>
                <w:color w:val="000000"/>
                <w:sz w:val="24"/>
                <w:szCs w:val="24"/>
              </w:rPr>
              <w:t xml:space="preserve"> от 20.06.2023 № 059-39-01-29/03-363).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сведениям, содержащимся в ЕГРН, ГПЗУ и справке по градостроительным условиям участка </w:t>
              <w:br/>
              <w:t> от 19.11.2024</w:t>
            </w:r>
            <w:r>
              <w:rPr>
                <w:color w:val="000000"/>
              </w:rPr>
              <w:t xml:space="preserve"> № </w:t>
            </w:r>
            <w:r>
              <w:rPr>
                <w:color w:val="000000"/>
                <w:sz w:val="24"/>
              </w:rPr>
              <w:t>613482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Участок полностью расположен </w:t>
              <w:br/>
              <w:t xml:space="preserve"> в границах </w:t>
            </w:r>
            <w:r>
              <w:rPr>
                <w:b/>
                <w:color w:val="000000"/>
                <w:sz w:val="24"/>
              </w:rPr>
              <w:t>зон с особыми условиями использования территории</w:t>
            </w:r>
            <w:r>
              <w:rPr>
                <w:color w:val="000000"/>
                <w:sz w:val="24"/>
              </w:rPr>
              <w:t>: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Приаэродромной территории аэродрома аэропорта Большое Савино (реестровый номер границы 59:32-6.553).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Проектирование и строительство вести в соответствии</w:t>
              <w:br/>
              <w:t> с постановлением Правительства Российской Федерации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br/>
              <w:t> 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на удалении до 30 км, а вне полос воздушных подходов – 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Участке произрастают 20 деревьев пород: ива – 5 шт., черемуха – 1 шт., ель – 1 шт., осина – 3 шт., липа – 5 шт., клен – 5 шт.,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Восстановительная стоимость сносимых зеленых насаждений в ценах 2023 года: одного лиственного дерева </w:t>
              <w:br/>
              <w:t> от 17 тыс. руб., хвойной – от 20 тыс. руб.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val="000000"/>
                <w:sz w:val="24"/>
              </w:rPr>
              <w:t>у</w:t>
            </w:r>
            <w:r>
              <w:rPr>
                <w:b/>
                <w:color w:val="000000"/>
                <w:sz w:val="24"/>
                <w:szCs w:val="24"/>
              </w:rPr>
              <w:t>правления по экологии и природопользованию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09.06.2023 № 059-33-01-10/3-482).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Мероприятия по проектированию, строительству, реконструкции и капитальному ремонту улично-дорожной сети в границах Участка бюджетом города Перми </w:t>
              <w:br/>
              <w:t> на 2023 год не запланированы.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Федеральным Законом от 08.11.2007 </w:t>
              <w:br/>
              <w:t xml:space="preserve"> № 257-ФЗ, расходы на строительство, реконструкцию, капитальный ремонт, ремонт пересечений и примыканий, </w:t>
              <w:br/>
              <w:t> 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д</w:t>
            </w:r>
            <w:r>
              <w:rPr>
                <w:b/>
                <w:color w:val="000000"/>
                <w:sz w:val="24"/>
              </w:rPr>
              <w:t>епартамента дорог и благоустройства администрации города Перми</w:t>
            </w:r>
            <w:r>
              <w:rPr>
                <w:color w:val="000000"/>
                <w:sz w:val="24"/>
              </w:rPr>
              <w:t xml:space="preserve"> от 18.06.2023 № 059-24-01-36/3-2044).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Ближайшее подразделение пожарной охраны расположено по адресу: ул. Белинского, 52 (ПСЧ-5 10-ПСО).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Объекты общественной безопасности, отнесенные </w:t>
              <w:br/>
              <w:t xml:space="preserve"> к объектам полиции (участковые пункты полиции) отсутствуют. Ближайший участковый пункт расположен </w:t>
              <w:br/>
              <w:t> по адресу: г. Пермь, ул. Казахская, д. 104 (Свердловский район).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Помещения для аварийно-спасательных формирований на указанной территории отсутствуют.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Источники противопожарного водоснабжения на указанной территории отсутствуют.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При размещении объектов на вышеуказанной территории необходимо соблюдать нормы и требования действующего законодательства: федеральных законов от 21 декабря 1994 г.</w:t>
            </w:r>
            <w:r>
              <w:rPr>
                <w:color w:val="000000"/>
              </w:rPr>
              <w:t xml:space="preserve"> № </w:t>
            </w:r>
            <w:r>
              <w:rPr>
                <w:color w:val="000000"/>
                <w:sz w:val="24"/>
              </w:rPr>
              <w:t>69-ФЗ «О пожарной безопасности» и от 22 июля 2008 г.</w:t>
            </w:r>
            <w:r>
              <w:rPr>
                <w:color w:val="000000"/>
              </w:rPr>
              <w:t xml:space="preserve"> № </w:t>
            </w:r>
            <w:r>
              <w:rPr>
                <w:color w:val="000000"/>
                <w:sz w:val="24"/>
              </w:rPr>
              <w:t>123-ФЗ «Технический 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постановлением Правительства Пермского края от 22 июля 2016 г. № 489-п, а также Свода правил 8.13130.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 на объектах защиты. Требования к объемно-планировочным и конструктивным решениям» и иной документации, касающейся норм противопожарной безопасности.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Участок попадает в зону возможного химического заражения.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На указанной территории оконечные устройства системы оповещения населения города Перми отсутствуют, необходимо предусматривать размещение сиренно - речевых узлов системы оповещения согласно пунктам 6.38, 6.39  СП 165.1325800.2014 «Свод правил. Инженерно-технические мероприятия по гражданской обороне. Актуализированная редакция СНиП 2.01.51-90».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</w:rPr>
              <w:t xml:space="preserve"> от 09.06.2023 № 059-10-01-27/3-959).</w:t>
            </w:r>
          </w:p>
          <w:p>
            <w:pPr>
              <w:pStyle w:val="Normal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Согласно градостроительному плану Земельного участка от 27.06.2023 № РФ-59-2-03-0-00-2023-1295-0 (далее – ГПЗУ): Минимальный отступ от границ Участка до места допустимого размещения зданий, строений (за исключением границ со стороны территории общего пользования,  где отступ определяется с учетом красных линий и линий регулирования застройки, установленных проектом планировки территории, а также границ смежных земельных участков при блокированной жилой застройке) – 3 м; предельная высота зданий, строений – не более 10,5 м.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соответствии с проектом планировки территории, утвержденным постановлением администрации города Перми от 22.12.20217 № 1178, установлена предельная высота жилой застройки до 10,5 м.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Проектирование и строительство необходимо вести </w:t>
              <w:br/>
              <w:t> 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 Дом должен включать комнаты - одну или несколько (общую комнату или гостиную, спальню),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а также вспомогательные помещения: переднюю, кухню [в том числе кухню-столовую и (или) кухню-нишу], ванные комнаты и (или) душевые, туалет (уборную) или совмещенный санузел, переднюю. Согласно пункту 6.1 СП 55.13330.2016 площади помещений строящихся и реконструируемых жилых домов должны быть не менее: общей комнаты в однокомнатном доме - 14 м2, общей комнаты в доме с числом комнат две и более - 16 м2, спальни - 8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(на двух человек - 10 м2); кухни - 8 м2; кухонной зоны в кухне-столовой - 6 м2. В домах с одной комнатой допускается проектировать кухни или кухни-ниши площадью не менее 5 м2.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Площадь спальни и кухни в мансардном этаже (или этаже с наклонными ограждающими конструкциями) допускается  не менее 7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 условии, что общая жилая комната имеет площадь не менее 16 м2.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Высота (от пола до потолка) комнат и кухни (кухни-столовой) в климатических районах строительства IА, IБ, IГ, IД, определяемых по </w:t>
            </w:r>
            <w:r>
              <w:rPr>
                <w:color w:val="0000FF"/>
                <w:sz w:val="24"/>
                <w:u w:val="single"/>
              </w:rPr>
              <w:t>СП 131.13330</w:t>
            </w:r>
            <w:r>
              <w:rPr>
                <w:color w:val="000000"/>
                <w:sz w:val="24"/>
              </w:rPr>
              <w:t>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а высота пути эвакуации - не менее 2,2 м. 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В жилых комнатах и кухнях, расположенных в этажах</w:t>
              <w:br/>
              <w:t xml:space="preserve"> с наклонными ограждающими конструкциями </w:t>
              <w:br/>
              <w:t> 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Победителю аукциона (единственному участнику) рекомендовано обратиться в уполномоченный орган </w:t>
              <w:br/>
              <w:t> с уведомлением о планируемом строительстве жилого дома.</w:t>
            </w:r>
          </w:p>
          <w:p>
            <w:pPr>
              <w:pStyle w:val="Normal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технической возможности технологического присоединения к электросетям филиала энергопринимающего устройства объекта капитального строительства с предполагаемой максимальной мощностью 15 кВт.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Правилами недискриминационного доступа к услугам по передаче электрической энергии</w:t>
              <w:br/>
              <w:t> и оказания этих услуг, Правил недискриминационного доступа к услугам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</w:t>
              <w:br/>
              <w:t> и оказания этих услуг и Правил технологического присоединения энергопринимающих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</w:t>
            </w:r>
            <w:r>
              <w:rPr>
                <w:color w:val="000000"/>
              </w:rPr>
              <w:t xml:space="preserve"> № </w:t>
            </w:r>
            <w:r>
              <w:rPr>
                <w:color w:val="000000"/>
                <w:sz w:val="24"/>
              </w:rPr>
              <w:t>861 (далее – Правил), конкретные технические условия на электроснабжение объекта будут разработаны в составе договора о технологическом присоединении.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Плата за технологическое присоединение энергопринимающих устройств устанавливается исходя </w:t>
              <w:br/>
              <w:t> из стоимости мероприятий по технологическому присоединению, размер платы определяется в соответствии с Постановлением Министерства тарифного регулирования и энергетики Пермского края от 23.11.2023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121-тп.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Электроснабжение объектов, размещаемых на указанной площадке, возможно будет осуществить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при условии строительства питающих линий электропередач 0,4 кВ на основании договора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Для заключения договора на технологическое присоединение необходимо подать заявку через единый федеральный портал электросетевых услуг группы компаний «Россети» на сайте: https://портал-тп.рф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или через Мобильное приложение ПАО «Россети».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>ОАО «Межрегиональная распределительная сетевая компания Урала» – филиал «Пермэнерго»</w:t>
            </w:r>
            <w:r>
              <w:rPr>
                <w:color w:val="000000"/>
                <w:sz w:val="24"/>
                <w:szCs w:val="24"/>
              </w:rPr>
              <w:t xml:space="preserve"> от 12.04.2024 № ПЭ/ПГЭС/22/237).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Участок находится вне зоны теплоснабжения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ПАО «Т Плюс».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ПАО «Т Плюс»</w:t>
            </w:r>
            <w:r>
              <w:rPr>
                <w:color w:val="000000"/>
                <w:sz w:val="24"/>
              </w:rPr>
              <w:t xml:space="preserve"> от 17.04.2024 № 51000-32-01194).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Отсутствует техническая возможность подключения объектов к сетям теплоснабжения.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обеспечения нужд отопления и горячего водоснабжения индивидуальных жилых домов рекомендуется рассмотреть альтернативный источник теплоснабжения – газ.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департамент жилищно-коммунального хозяйства администрации города Перми</w:t>
            </w:r>
            <w:r>
              <w:rPr>
                <w:color w:val="000000"/>
                <w:sz w:val="24"/>
              </w:rPr>
              <w:t xml:space="preserve">  от 16.06.2023 № 059-04-17/3-476-ри).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с предполагаемой максимальной нагрузкой 8 куб.м/час  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запрос с приложением необходимых документов и сведений на электронную почту post@pf.ugaz.ru, либо почтовым отправлением по адресу:  г. Пермь, ул. Уральская, 104, через Единый центр предоставления услуг по адресу: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г. Пермь, ул. Уральская, д. 104, каб. 101.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</w:rPr>
              <w:t> от 15.04.2024 № ПФ-2225).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Ближайшие сети водоснабжения, эксплуатируемые </w:t>
              <w:br/>
              <w:t> ООО «Новогор-Прикамье», располагаются в районе здания  по Бродовскому тракту, 15 ориентировочно на расстоянии – 10 км от Участка.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Ближайшие сети водоотведения, эксплуатируемые </w:t>
              <w:br/>
              <w:t> ООО «Новогор-Прикамье», располагаются в районе зданий по ул. Героев Хасана, 109/2 ориентировочно на расстоянии – 11 км от Участка.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При проектировании могут быть применены альтернативный способ водоснабжения без подключения </w:t>
              <w:br/>
              <w:t> к централизованной системе  водоснабжения (от скважины) и альтернативный способ канализования без подключения к централизованной системе канализации г. Перми (отвод стоков на локальные очистные сооружения, канализование объекта в выгребную яму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с последующим вывозом стоков спец. машинами), которые должны соответствовать всем нормативным требованиям Российской Федерации.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ООО «НОВОГОР-Прикамье» не располагает сведениями о наличии сетей 3-х лиц в границах Участка.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 xml:space="preserve">ООО «НОВОГОР-Прикамье» </w:t>
            </w:r>
            <w:r>
              <w:rPr>
                <w:color w:val="000000"/>
                <w:sz w:val="24"/>
              </w:rPr>
              <w:t>от 16.04.2024 № 110-5661).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Технологическое присоединение к сетям связи ПАО «Ростелеком» планируемых к строительству объектов в границах Участка может быть произведено в точке подключения узел ВОЛС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(г. Пермь, ул. Кронита, д. 8),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ПАО «Ростелеком»</w:t>
            </w:r>
            <w:r>
              <w:rPr>
                <w:color w:val="000000"/>
                <w:sz w:val="24"/>
              </w:rPr>
              <w:t> от 04.06.2024 № 01/05/79219/24).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/>
            </w:pPr>
            <w:r>
              <w:rPr>
                <w:color w:val="000000"/>
                <w:sz w:val="24"/>
              </w:rPr>
              <w:t>На период до 2028 года 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не предусмотрено строительство сетей водоснабжения и водоотведения.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департамента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</w:rPr>
              <w:t xml:space="preserve"> от 13.06.2023 № 059-04-17/3-464-ри).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(рыночная стоимость земельного участка)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аукциона, иное лицо, с которым договор заключается в соответствии с п.13, п.14 или п. 20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</w:rPr>
              <w:t>в течение 15 дней</w:t>
            </w:r>
            <w:r>
              <w:rPr>
                <w:sz w:val="24"/>
                <w:szCs w:val="24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</w:rPr>
              <w:t xml:space="preserve">перечислить денежные средства </w:t>
            </w:r>
            <w:r>
              <w:rPr>
                <w:sz w:val="24"/>
                <w:szCs w:val="24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2 718 800 руб.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(3% от начальной цены)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81 564 руб.</w:t>
            </w:r>
          </w:p>
        </w:tc>
      </w:tr>
      <w:tr>
        <w:trPr>
          <w:trHeight w:val="416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аукциона,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(50% от начальной цены)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1 359 400 руб.</w:t>
            </w:r>
          </w:p>
        </w:tc>
      </w:tr>
      <w:tr>
        <w:trPr>
          <w:trHeight w:val="1884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утвержден постановлением администрации города Перми от 29.05.2015 № 322, является Приложением 2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на сайтах www.torgi.gov.ru, www.gorodperm.ru (раздел Деятельность/ </w:t>
              <w:br/>
              <w:t>Муниципальная собственность/ Торговая площадка</w:t>
              <w:br/>
              <w:t>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2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45"/>
        <w:gridCol w:w="3275"/>
        <w:gridCol w:w="6301"/>
      </w:tblGrid>
      <w:tr>
        <w:trPr>
          <w:trHeight w:val="877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29 августа 2024 г. № 21-01-03-7886                 «О проведении аукциона по продаже земельного участка в Кировском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край Пермский, городской округ Пермский, город Пермь, улица Бузулукская, з/у 32в</w:t>
            </w:r>
          </w:p>
        </w:tc>
      </w:tr>
      <w:tr>
        <w:trPr>
          <w:trHeight w:val="155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 кв. м</w:t>
            </w:r>
          </w:p>
        </w:tc>
      </w:tr>
      <w:tr>
        <w:trPr>
          <w:trHeight w:val="155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59:01:1810008:209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16.01.2025г. No КУВИ-001/2025-11540768;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от 02.08.2024 № РФ-59-2-03-0-00-2024-1614-0 (далее – ГПЗУ).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>В ходе обследования установлено: Участок не огорожен, движимых и (или) недвижимых объектов не выявлено, капитальных/некапитальных строений не обнаружено.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Ближайшие  источники противопожарного водоснабжения относительно Участка расположены </w:t>
              <w:br/>
              <w:t xml:space="preserve">на ул. Ирбитская, 34 (пожарный водоем), </w:t>
              <w:br/>
              <w:t>ул. Кудымкарская, 24 (пожарный водоем).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администрации Кировского района города Перми</w:t>
            </w:r>
            <w:r>
              <w:rPr>
                <w:color w:val="000000"/>
                <w:sz w:val="24"/>
                <w:szCs w:val="24"/>
              </w:rPr>
              <w:t xml:space="preserve"> от 25.07.2024 № 059-23-01-25/3-314).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>Согласно сведениям, содержащимся в ГПЗУ,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ЕГРН </w:t>
              <w:br/>
              <w:t xml:space="preserve">и справке по градостроительным условиям от 16.01.2025 № 619169, Участок расположен в границах зон </w:t>
              <w:br/>
              <w:t>с особыми условиями использования территории: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полностью в приаэродромной территории аэродрома аэропорта Большое Савино, реестровый номер границы 59:32-6.553. Проектирование и строительство вести </w:t>
              <w:br/>
              <w:t xml:space="preserve">в соответствии с постановлением Правительства Российской Федерации от 11.03.2010 № 138 </w:t>
              <w:br/>
              <w:t>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Normal"/>
              <w:ind w:firstLine="311" w:right="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>На Участке произрастает 33 шт. дерева породы – сосна 18 шт., береза 14 шт., осина 1 шт.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>Победителю аукциона необходимо соблюдать следующие условия строительства, а также проектом предусмотреть: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1. Нанесение существующих деревьев </w:t>
              <w:br/>
              <w:t>на стройгенплане;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2. Снос деревьев, попадающих в пятно застройки, вести на основании акта комиссионного обследования земельных насаждений в соответствии решением Пермской городской Думы от 15.12.2020 № 277. Указанный акт должен быть составлен </w:t>
              <w:br/>
              <w:t>на основании проектной документации. Остальные деревья сохранить;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3.</w:t>
              <w:tab/>
              <w:t xml:space="preserve">Восстановление зеленых насаждений вести </w:t>
              <w:br/>
              <w:t>в соответствии с решением Пермской городской Думы от 15.12.2020 № 277;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4.</w:t>
              <w:tab/>
              <w:t>Сбор и отвод ливневых вод с использованием вариантов решений в зависимости от: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- наличия централизованной системы ливневой канализации;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- площади водосбора с учетом транзитных вод </w:t>
              <w:br/>
              <w:t>с прилегающей территории;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- угла наклона рельефа, включающий прилегающие территории;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- применения иных решений равномерного отвода поверхностного стока с запрашиваемой территории </w:t>
              <w:br/>
              <w:t>на прилегающей территории;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5.</w:t>
              <w:tab/>
              <w:t>Определение видов образующих отходов и мест их размещения на период эксплуатации;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6.</w:t>
              <w:tab/>
              <w:t>Конкретные мероприятия по охране окружающей среды на период строительства, включая: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- установку временного защитного ограждения строительной площадки;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- ограждение существующих зеленых насаждений, </w:t>
              <w:br/>
              <w:t>не попадающих под пятно застройки;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- прокладку коммуникаций осуществлять </w:t>
              <w:br/>
              <w:t xml:space="preserve">на расстоянии не менее 2 м. от ствола дерева, </w:t>
              <w:br/>
              <w:t>чтобы не повредить корневую систему;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- не использовать приствольные круги существующих деревьев (диаметром 1м) под складирование материалов и установки временных сооружений;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- определение видов и объемов образующихся отходов и мест их размещения;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- систематический вывоз отходов;</w:t>
            </w:r>
          </w:p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- недопущение загрязнения атмосферы, почвы </w:t>
              <w:br/>
              <w:t>и подземных вод;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предотвращение выноса грязи автотранспортом, выезжающим со строительной площадки.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управления по экологии и природопользованию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23.07.2024 № 059-33-01-10/3-455).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На территории, где расположен Участок, схемами </w:t>
              <w:br/>
              <w:t xml:space="preserve">не предусмотрено строительство сетей водоснабжения </w:t>
              <w:br/>
              <w:t>и водоотведения. 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 для проведения гидравлического расчета.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департамента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30.07.2024 № 059-04-17/3-726-ри).</w:t>
            </w:r>
          </w:p>
          <w:p>
            <w:pPr>
              <w:pStyle w:val="Normal"/>
              <w:ind w:firstLine="311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>Для примыкания Участка к улично-дорожной сети города Перми необходимо: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разработать проект организации дорожного движения </w:t>
              <w:br/>
              <w:t xml:space="preserve">и согласовать в установленном порядке с ГКУ «Центр безопасности дорожного движения Пермского края» </w:t>
              <w:br/>
              <w:t>(ул. Пермская, 164, тел. 236-21-84);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получить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дороге, </w:t>
              <w:br/>
              <w:t>а также перечень документов, необходимых для выдачи Согласия, утверждены Постановлением администрации города Перми от 31.01.2022 № 45).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Дополнительно направлена информация </w:t>
              <w:br/>
              <w:t xml:space="preserve">о соблюдении при строительстве объекта недвижимости на Участке, предоставленном на аукционе, Правил благоустройства территории города Перми, утвержденных решением Пермской городской Думы </w:t>
              <w:br/>
              <w:t>от 15.12.2020 № 277: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поверхностный водоотвод решить проектом </w:t>
              <w:br/>
              <w:t xml:space="preserve">без подтопления смежных территорий, в соответствии </w:t>
              <w:br/>
              <w:t xml:space="preserve">с действующими нормативно-правовыми актами </w:t>
              <w:br/>
              <w:t>и природоохранным законодательством;</w:t>
            </w:r>
          </w:p>
          <w:p>
            <w:pPr>
              <w:pStyle w:val="Normal"/>
              <w:ind w:firstLine="311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предусмотреть электроосвещение территории объекта;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стоянку временного транспорта разместить </w:t>
              <w:br/>
              <w:t>в границах отведенного под строительство земельного участка вне территории общего пользования;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предусмотреть устройство подъезда к Участку или ликвидацию разрушений, повреждений дорожного покрытия существующих проездов от границ Участка </w:t>
              <w:br/>
              <w:t xml:space="preserve">до существующей улично-дорожной сети, </w:t>
              <w:br/>
              <w:t>а также наружное освещение подъездов.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В соответствии с бюджетом города Перми на 2024 год и плановый период 2025-2026 годов мероприятий </w:t>
              <w:br/>
              <w:t>по строительству, реконструкции, капитальному ремонту улично-дорожной сети на данной территории не запланировано.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Для сведения сообщается, что в соответствии </w:t>
              <w:br/>
              <w:t xml:space="preserve">с Федеральным законом от 08.11.2007 № 257-ФЗ </w:t>
              <w:br/>
              <w:t xml:space="preserve">«Об автомобильных дорогах и о дорожной деятельности в Российской Федерации и о внесении изменений </w:t>
              <w:br/>
              <w:t xml:space="preserve">в отдельные законодательные акты Российской Федерации», расходы на строительство, реконструкцию, капитальный ремонт, ремонт пересечений </w:t>
              <w:br/>
              <w:t xml:space="preserve">и примыканий, в том числе расходы на выполнение дополнительных работ, связанных с обеспечением безопасности дорожного движения, водоотведения </w:t>
              <w:br/>
              <w:t xml:space="preserve">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</w:t>
              <w:br/>
              <w:t>или примыканий.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b/>
                <w:color w:val="000000"/>
                <w:sz w:val="24"/>
                <w:szCs w:val="24"/>
              </w:rPr>
              <w:t>епартамента дорог и благоустройства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19.07.2024 № 059-24-01-36/3-2621).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сточники противопожарного водоснабжения (пожарные гидранты, водоемы) на Участке отсутствуют;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ближайшее подразделение пожарной охраны расположено по адресу: ул. Сысольская, 16 (ПСЧ-6 </w:t>
              <w:br/>
              <w:t>10-ПСО);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объект общественной безопасности, отнесенные </w:t>
              <w:br/>
              <w:t xml:space="preserve">к объектам полиции (участковые пункты полиции) </w:t>
              <w:br/>
              <w:t xml:space="preserve">в данном микрорайоне отсутствует. </w:t>
            </w:r>
            <w:r>
              <w:rPr>
                <w:sz w:val="24"/>
                <w:szCs w:val="22"/>
              </w:rPr>
              <w:t xml:space="preserve">Ближайший участковый пункт расположен по адресу: г. Пермь, </w:t>
              <w:br/>
              <w:t>ул. Судозаводская, д. 8, (м-н Нижняя Курья, Кировский район). В настоящее время в указанном микрорайоне строительство (приобретение) участковых пунктов полиции не планируется;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2"/>
              </w:rPr>
              <w:t xml:space="preserve">помещения для аварийно-спасательных служб </w:t>
              <w:br/>
              <w:t xml:space="preserve">и (или) аварийно-спасательных формирований </w:t>
              <w:br/>
              <w:t>на указанной территории отсутствуют;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2"/>
              </w:rPr>
              <w:t>по информации, предоставленной министерством территориальной безопасности Пермского края, рассматриваемая территория попадает в зону возможного химического заражения в особый период;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color w:val="000000"/>
                <w:sz w:val="24"/>
                <w:szCs w:val="22"/>
                <w:highlight w:val="white"/>
              </w:rPr>
              <w:t xml:space="preserve">При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</w:t>
              <w:br/>
              <w:t xml:space="preserve">и от 22.07.2008 № 123-ФЗ «Технический регламент </w:t>
              <w:br/>
              <w:t xml:space="preserve">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и градостроительной деятельности Пермского края от 25.02.2021 № 31-02-1-4-248, </w:t>
              <w:br/>
              <w:t xml:space="preserve">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 на объектах защиты. Требования к объемно-планировочным </w:t>
              <w:br/>
              <w:t xml:space="preserve">и конструктивным решениям», утвержденных Приказом МЧС России от 24.04.2013 № 288 и иной документации, касающейся норм противопожарной безопасности (предусмотрев и запроектировав соответствующее расстояние между строений для обеспечения подъезда </w:t>
              <w:br/>
              <w:t xml:space="preserve">и разворота пожарной техники, а также источники противопожарного водоснабжения с пожарными гидрантами, которые надлежит размещать из условия обслуживания ими зданий, находящихся в радиусе </w:t>
              <w:br/>
              <w:t xml:space="preserve">200 м. Ширина проездов для пожарной техники </w:t>
              <w:br/>
              <w:t>в зависимости от высоты зданий или сооружений должна составлять не менее: 3,5 метров - при высоте зданий или сооружения до 13,0 метров включительно; 4,2 метра - при высоте здания от 13,0 метров до 46,0 метров включительно; 6,0 метров - при высоте здания более 46 метров).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  <w:szCs w:val="22"/>
                <w:highlight w:val="white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 24.07.2024 № 059-10-01-27/3-1102).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262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>Согласно градостроительному плану Земельного участка от 02.08.2024 № РФ-59-2-03-0-00-2024-1614-0 (далее – ГПЗУ): Минимальный отступ от границ земельного участка – 3 м, до места допустимого размещения зданий, строений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границ смежных земельных участков при блокированной жилой застройке).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</w:t>
              <w:br/>
              <w:t>– 40 %.</w:t>
            </w:r>
          </w:p>
          <w:p>
            <w:pPr>
              <w:pStyle w:val="Normal"/>
              <w:ind w:firstLine="311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Предельная высота зданий, сооружений – не более 10,5 м.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В случае если в границах территориальной зоны предусматривается осуществление деятельности </w:t>
              <w:br/>
              <w:t>по комплексному развитию территории, расчет показателей минимально допустимого уровня обеспеченности территории объектами коммунальной, транспортной,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 xml:space="preserve">социальной инфраструктур и расчет  показателей максимально допустимого уровня территориальной доступности указанных объектов </w:t>
              <w:br/>
              <w:t xml:space="preserve">для населения осуществляются в соответствии </w:t>
              <w:br/>
              <w:t>с утвержденными нормативами градостроительного проектирования.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Проектирование и строительство необходимо вести </w:t>
              <w:br/>
              <w:t xml:space="preserve">в соответствии с пунктом 4.5 СП 55.13330.2016 Свода </w:t>
            </w:r>
            <w:r>
              <w:rPr>
                <w:spacing w:val="-2"/>
                <w:sz w:val="24"/>
                <w:szCs w:val="24"/>
              </w:rPr>
              <w:t>Правил. Дома жилые одноквартирные. СНиП 31-02-2001</w:t>
            </w:r>
            <w:r>
              <w:rPr>
                <w:sz w:val="24"/>
                <w:szCs w:val="24"/>
              </w:rPr>
              <w:t xml:space="preserve">, утвержденным и введенным в действие Приказом Министерства строительства и жилищно-коммунального </w:t>
            </w:r>
            <w:r>
              <w:rPr>
                <w:spacing w:val="-2"/>
                <w:sz w:val="24"/>
                <w:szCs w:val="24"/>
              </w:rPr>
              <w:t>хозяйства Российской Федерации от 20.10.2016 № 725/пр.</w:t>
            </w:r>
            <w:r>
              <w:rPr>
                <w:sz w:val="24"/>
                <w:szCs w:val="24"/>
              </w:rPr>
              <w:t xml:space="preserve"> Дом должен включать комнаты -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</w:t>
              <w:br/>
              <w:t xml:space="preserve">или совмещенный санузел, переднюю. Согласно пункту 6.1 СП 55.13330.2016 площади помещений строящихся </w:t>
              <w:br/>
              <w:t xml:space="preserve">и реконструируемых жилых домов должны быть </w:t>
              <w:br/>
              <w:t>не менее: общей комнаты в однокомнатном доме - 14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, общей комнаты в доме с числом комнат две и более - </w:t>
              <w:br/>
              <w:t>16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, спальни - 8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(на двух человек - 10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); кухни - </w:t>
              <w:br/>
              <w:t>8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; кухонной зоны в кухне-столовой - 6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. В домах </w:t>
              <w:br/>
              <w:t xml:space="preserve">с одной комнатой допускается проектировать кухни </w:t>
              <w:br/>
              <w:t>или кухни-ниши площадью не менее 5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Площадь спальни и кухни в мансардном этаже </w:t>
              <w:br/>
              <w:t>(или этаже с наклонными ограждающими конструкциями) допускается не менее 7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при условии, что общая жилая комната имеет площадь не менее 16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Высота (от пола до потолка) комнат и кухни (кухни-столовой) в климатических районах строительства IА, IБ, IГ, IД, определяемых по </w:t>
            </w:r>
            <w:hyperlink r:id="rId9">
              <w:r>
                <w:rPr>
                  <w:rStyle w:val="Hyperlink"/>
                  <w:color w:val="000000"/>
                  <w:sz w:val="24"/>
                  <w:szCs w:val="24"/>
                </w:rPr>
                <w:t>СП 131.13330</w:t>
              </w:r>
            </w:hyperlink>
            <w:r>
              <w:rPr>
                <w:sz w:val="24"/>
                <w:szCs w:val="24"/>
              </w:rPr>
              <w:t xml:space="preserve">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</w:t>
            </w:r>
            <w:r>
              <w:rPr>
                <w:spacing w:val="-4"/>
                <w:sz w:val="24"/>
                <w:szCs w:val="24"/>
              </w:rPr>
              <w:t>составлять не менее 2,1 м, а высота пути эвакуации -</w:t>
            </w:r>
            <w:r>
              <w:rPr>
                <w:sz w:val="24"/>
                <w:szCs w:val="24"/>
              </w:rPr>
              <w:t xml:space="preserve"> </w:t>
              <w:br/>
              <w:t>не менее 2,2 м.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В жилых комнатах и кухнях, расположенных </w:t>
              <w:br/>
              <w:t>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ind w:firstLine="311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Победителю аукциона (единственному участнику) рекомендовано обратиться в уполномоченный орган </w:t>
              <w:br/>
              <w:t>с уведомлением о планируемом строительстве жилого дома.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hyperlink r:id="rId10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15 кВт, сообщается следующее.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>по производству электрической энергии, 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(далее – Правила), конкретные технические условия 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 размер платы определяется </w:t>
              <w:br/>
              <w:t>по утвержденным тарифам согласно постановлению Министерства тарифного регулирования и энергетики Пермского края от 23.11.2023 № 121-тп (в последней редакции).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</w:rPr>
              <w:t xml:space="preserve">Для заключения договора на технологическое присоединение необходимо представить письменную заявку с приложением необходимых документов </w:t>
              <w:br/>
              <w:t>и сведений, указанных в п. 10 Правил.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Подать заявку на технологическое присоединение возможно через единый федеральный портал электросетевых услуг группы компаний «Россети» </w:t>
              <w:br/>
              <w:t xml:space="preserve">на сайте: </w:t>
            </w:r>
            <w:r>
              <w:rPr>
                <w:rStyle w:val="Hyperlink"/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rStyle w:val="Hyperlink"/>
                <w:sz w:val="24"/>
                <w:szCs w:val="24"/>
                <w:u w:val="single"/>
              </w:rPr>
              <w:t>://портал-тп.рф</w:t>
            </w:r>
            <w:r>
              <w:rPr>
                <w:sz w:val="24"/>
                <w:szCs w:val="24"/>
              </w:rPr>
              <w:t xml:space="preserve"> или через Мобильное приложение ПАО «Россети».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Филиала ПАО «Россети Урал» - «Пермэнерго»</w:t>
            </w:r>
            <w:r>
              <w:rPr>
                <w:color w:val="000000"/>
                <w:sz w:val="24"/>
                <w:szCs w:val="24"/>
              </w:rPr>
              <w:t xml:space="preserve"> (ранее – ОАО «МРСК Урала – филиал Пермэнерго») от 20.08.2024 № ПЭ/ПГЭС/01/22/8763).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ехническая возможность подключения объекта капитального строительства с предполагаемой максимальной нагрузкой (часовым расходом газа) 8м3/час </w:t>
              <w:br/>
              <w:t>к существующим сетям газораспределения имеется.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>Для рассмотрения вопроса о предоставлении технических условий   на подключение (технологическое присоединение) необходимо направить заявку о заключении договора по типовой форме с приложением необходимых документов и сведений, указанных в пунктах 11 и 16 Правил подключения на электронную почту post@pf.ugaz.ru, либо почтовым отправлением по адресу: г.</w:t>
            </w:r>
            <w:r>
              <w:rPr>
                <w:sz w:val="24"/>
                <w:szCs w:val="22"/>
              </w:rPr>
              <w:t xml:space="preserve"> Пермь, ул. Уральская, 104, через Единый центр предоставления услуг по адресу: г. Пермь, ул. Уральская, д. 104, Петропавловская, 43, через личный кабинет на сайте </w:t>
            </w:r>
            <w:r>
              <w:rPr>
                <w:sz w:val="24"/>
                <w:szCs w:val="22"/>
                <w:lang w:val="en-US"/>
              </w:rPr>
              <w:t>ugaz</w:t>
            </w:r>
            <w:r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  <w:lang w:val="en-US"/>
              </w:rPr>
              <w:t>ru</w:t>
            </w:r>
            <w:r>
              <w:rPr>
                <w:sz w:val="24"/>
                <w:szCs w:val="22"/>
              </w:rPr>
              <w:t xml:space="preserve">, на портале единого оператора газификации: </w:t>
            </w:r>
            <w:hyperlink r:id="rId11">
              <w:r>
                <w:rPr>
                  <w:rStyle w:val="Hyperlink"/>
                  <w:sz w:val="24"/>
                  <w:szCs w:val="22"/>
                  <w:lang w:val="en-US"/>
                </w:rPr>
                <w:t>https</w:t>
              </w:r>
              <w:r>
                <w:rPr>
                  <w:rStyle w:val="Hyperlink"/>
                  <w:sz w:val="24"/>
                  <w:szCs w:val="22"/>
                </w:rPr>
                <w:t>://</w:t>
              </w:r>
              <w:r>
                <w:rPr>
                  <w:rStyle w:val="Hyperlink"/>
                  <w:sz w:val="24"/>
                  <w:szCs w:val="22"/>
                  <w:lang w:val="en-US"/>
                </w:rPr>
                <w:t>connectgas</w:t>
              </w:r>
              <w:r>
                <w:rPr>
                  <w:rStyle w:val="Hyperlink"/>
                  <w:sz w:val="24"/>
                  <w:szCs w:val="22"/>
                </w:rPr>
                <w:t>.</w:t>
              </w:r>
              <w:r>
                <w:rPr>
                  <w:rStyle w:val="Hyperlink"/>
                  <w:sz w:val="24"/>
                  <w:szCs w:val="22"/>
                  <w:lang w:val="en-US"/>
                </w:rPr>
                <w:t>ru</w:t>
              </w:r>
            </w:hyperlink>
            <w:r>
              <w:rPr>
                <w:sz w:val="24"/>
                <w:szCs w:val="22"/>
              </w:rPr>
              <w:t>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  <w:szCs w:val="22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АО «Газпром газораспределение Пермь» </w:t>
            </w:r>
            <w:r>
              <w:rPr>
                <w:color w:val="000000"/>
                <w:sz w:val="24"/>
                <w:szCs w:val="24"/>
              </w:rPr>
              <w:t>от 29.07.2024 № ПФ-4769).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О наличии технической возможности подключения объекта капитального строительства с планируемой величиной подключаемой нагрузки по водоснабжению </w:t>
              <w:br/>
              <w:t>и водоотведению – 1,0 м3/сут. к централизованным системам водоснабжения и водоотведения сообщается следующее.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Ближайшие сети водоснабжения и водоотведения, эксплуатируемые ООО «НОВОГОР-Прикамье», располагаются по ул. Солдатская, ориентировочно </w:t>
              <w:br/>
              <w:t>на расстоянии – более 2 км от Участка.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При проектировании может быть применен альтернативный способ снабжения водой </w:t>
              <w:br/>
              <w:t xml:space="preserve">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города Перми (отвод стоков возможен на локальные очистные сооружения, канализование объекта  в выгребную яму </w:t>
              <w:br/>
              <w:t xml:space="preserve">с последующим вывозом стоков спец. машинами), </w:t>
              <w:br/>
              <w:t>который должен соответствовать всем нормативным требованиям Российской Федерации.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>В связи с тем, что ООО «НОВОГОР-Прикамье» эксплуатирует только централизованные системы водоснабжения и водоотведения, по вопросу возможности обеспечения жилого дома холодным водоснабжением от скважины и отвод канализационных локально предложено обратиться в организации, регулирующие недропользование.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>ООО «НОВОГОР-Прикамье» не располагает сведениями о наличии сетей 3-х лиц в границах Участка.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ООО «НОВОГОР-Прикамье»</w:t>
            </w:r>
            <w:r>
              <w:rPr>
                <w:color w:val="000000"/>
                <w:sz w:val="24"/>
                <w:szCs w:val="24"/>
              </w:rPr>
              <w:t xml:space="preserve"> от 29.07.2024  № 110-12426).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>О возможности технологического присоединения  к системе теплоснабжения объекта сообщается, что Участок находится вне зоны теплоснабжения ПАО «Т плюс».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>Филиала «Пермский ПАО «Т Плюс»</w:t>
            </w:r>
            <w:r>
              <w:rPr>
                <w:color w:val="000000"/>
                <w:sz w:val="24"/>
                <w:szCs w:val="24"/>
              </w:rPr>
              <w:t xml:space="preserve"> от 26.07.2024 № 51000-32-02426).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2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газ, пеллеты, дрова.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  <w:szCs w:val="22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  <w:szCs w:val="22"/>
              </w:rPr>
              <w:t>де</w:t>
            </w:r>
            <w:r>
              <w:rPr>
                <w:b/>
                <w:color w:val="000000"/>
                <w:sz w:val="24"/>
                <w:szCs w:val="22"/>
              </w:rPr>
              <w:t>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  <w:szCs w:val="22"/>
              </w:rPr>
              <w:t xml:space="preserve"> от 16.08.2024 059-04-17/3-803-ри).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- узел ВОЛС (ул. Заречная (Дзержинский р-н), д. 162а), максимальную нагрузку в точке подключения (технологического присоединения) определить на стадии проектирования. В границах указанного земельного участка линии и сооружения связи ПАО «Ростелеком» отсутствуют.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Для подключения (технологического присоединения) вышеуказанных объектов к сетям электросвязи 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>о подключении в порядке, определенном действующим законодательством.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Срок действия технических условий составляет </w:t>
              <w:br/>
              <w:t xml:space="preserve">3 года (при комплексном развитии территории 5 лет) </w:t>
              <w:br/>
              <w:t>со дня выдачи технических условий.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sz w:val="24"/>
                <w:szCs w:val="24"/>
              </w:rPr>
              <w:t xml:space="preserve">В случае, если в течение 1 года (при комплексном развитии территории – 3 лет) со дня выдачи технических условий заявителем не будет подана заявка </w:t>
              <w:br/>
              <w:t xml:space="preserve">о подключении, срок действия технических </w:t>
              <w:br/>
              <w:t>условий прекращается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Российской Федерации от 01.07.2022 № 1196).</w:t>
            </w:r>
          </w:p>
          <w:p>
            <w:pPr>
              <w:pStyle w:val="Normal"/>
              <w:ind w:firstLine="311" w:right="0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Для получения ТУ на подключение к сетям связи ПАО «Ростелеком» необходимо обратиться в Отдел продаж и обслуживания по адресу: г. Пермь, </w:t>
              <w:br/>
              <w:t xml:space="preserve">ул. Крупской, 2, тел.: +7 (342) 235-57-34 </w:t>
              <w:br/>
              <w:t xml:space="preserve">или направить запрос на </w:t>
            </w:r>
            <w:hyperlink r:id="rId12">
              <w:r>
                <w:rPr>
                  <w:rStyle w:val="Hyperlink"/>
                  <w:color w:val="000000"/>
                  <w:sz w:val="24"/>
                  <w:szCs w:val="24"/>
                  <w:u w:val="single"/>
                </w:rPr>
                <w:t>perm-mail@ural.rt.ru</w:t>
              </w:r>
            </w:hyperlink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ПАО «Ростелеком»</w:t>
            </w:r>
            <w:r>
              <w:rPr>
                <w:color w:val="000000"/>
                <w:sz w:val="24"/>
                <w:szCs w:val="24"/>
              </w:rPr>
              <w:t xml:space="preserve"> от 31.07.2024 № 01/05/110628/24).</w:t>
            </w:r>
          </w:p>
          <w:p>
            <w:pPr>
              <w:pStyle w:val="BodyText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(рыночная стоимость земельного участка)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аукциона, иное лицо, с которым договор заключается в соответствии с п.13, п.14 или п. 20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</w:rPr>
              <w:t>в течение 15 дней</w:t>
            </w:r>
            <w:r>
              <w:rPr>
                <w:sz w:val="24"/>
                <w:szCs w:val="24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</w:rPr>
              <w:t xml:space="preserve">перечислить денежные средства </w:t>
            </w:r>
            <w:r>
              <w:rPr>
                <w:sz w:val="24"/>
                <w:szCs w:val="24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2 154 700 руб.</w:t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(3% от начальной цены)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64 641 руб.</w:t>
            </w:r>
          </w:p>
        </w:tc>
      </w:tr>
      <w:tr>
        <w:trPr>
          <w:trHeight w:val="416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(50% от начальной цены)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1 077 350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884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0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утвержден постановлением администрации города Перми от 29.05.2015 № 322, является Приложением 3 к настоящему извещению 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на сайтах www.torgi.gov.ru, www.gorodperm.ru (раздел Деятельность/ </w:t>
              <w:br/>
              <w:t>Муниципальная собственность/ Торговая площадка</w:t>
              <w:br/>
              <w:t>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3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45"/>
        <w:gridCol w:w="3275"/>
        <w:gridCol w:w="6301"/>
      </w:tblGrid>
      <w:tr>
        <w:trPr>
          <w:trHeight w:val="877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26 ноября 2024 г. № 21-01-03-10464                 «О проведении аукциона по продаже земельного участка в Ленинском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Средняя, з/у 33</w:t>
            </w:r>
          </w:p>
        </w:tc>
      </w:tr>
      <w:tr>
        <w:trPr>
          <w:trHeight w:val="155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 кв. м</w:t>
            </w:r>
          </w:p>
        </w:tc>
      </w:tr>
      <w:tr>
        <w:trPr>
          <w:trHeight w:val="155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59:01:2010368:170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13.01.2025г. № КУВИ-001/2025-7400133;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от 25.10.2024 № РФ-59-2-03-0-00-2024-2260-0 (далее – ГПЗУ).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 соответствии со сведениями из ЕГРН в границах Участка объекты капитального строительства отсутствуют.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  <w:shd w:fill="auto" w:val="clear"/>
              </w:rPr>
              <w:t xml:space="preserve"> соответствии с копией планшета М 1:500 (требующего корректуры) ориентировочно вдоль границ Участка расположены сети связи и электроснабжения.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 данным геодезической съемки, выполненной в 2024 году, в границах Участка находится фундамент.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Размещение объекта необходимо предусматривать строго за пределами охранных зон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сетей в соответствии </w:t>
              <w:br/>
              <w:t> с нормами СП 42.13330.2016 «Градостроительство планировка и застройка городских и сельских поселений», в том числе в соответствии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с таблицей 12.5 </w:t>
              <w:br/>
              <w:t xml:space="preserve"> СП 42.13330.2016 «Градостроительство планировка </w:t>
              <w:br/>
              <w:t> и застройка городских и сельских поселений».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Участке установлен забор, имеется мусор.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администрации Ленинского района города Перми</w:t>
            </w:r>
            <w:r>
              <w:rPr>
                <w:color w:val="000000"/>
                <w:sz w:val="24"/>
              </w:rPr>
              <w:t xml:space="preserve"> от 25.10.2024 № 059-26-01-16/3-165).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сведениям, содержащимся в ГПЗУ, ЕГРН </w:t>
              <w:br/>
              <w:t> и справке по градостроительным условиям от 13.01.2025</w:t>
            </w:r>
            <w:r>
              <w:rPr>
                <w:color w:val="000000"/>
              </w:rPr>
              <w:t xml:space="preserve">  № </w:t>
            </w:r>
            <w:r>
              <w:rPr>
                <w:color w:val="000000"/>
                <w:sz w:val="24"/>
              </w:rPr>
              <w:t>618833, Участок расположен в границах зон с особыми условиями использования территории: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полностью в Приаэродромной территории аэродрома аэропорта Большое Савино, (59:32-6.553).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Проектирование и строительство вести в соответствии с постановлением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Правительства Российской Федерации от 11.03.2010 № 138 «Об утверждении Федеральных правил использования воздушного пространства Российской Федерации»;</w:t>
            </w:r>
          </w:p>
          <w:p>
            <w:pPr>
              <w:pStyle w:val="BodyText"/>
              <w:spacing w:before="0" w:after="0"/>
              <w:ind w:firstLine="312" w:left="0" w:right="0"/>
              <w:jc w:val="both"/>
              <w:rPr/>
            </w:pPr>
            <w:r>
              <w:rPr>
                <w:color w:val="000000"/>
                <w:sz w:val="24"/>
              </w:rPr>
              <w:t>полностью в зоне затопления территорий, прилегающих к зарегулированной р. Кама (Воткинскому водохранилищу) в нижнем бьефе Камского гидроузла  в г. Перми Пермского края, затапливаемых при пропуске Камским гидроузлом паводков расчетной обеспеченности 1%», (59:00-6.2017)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(Приказ Камского бассейнового водного управления Федерального агентства водных ресурсов от 21.11.2022 № 239 «Об установлении границ зон затопления на территориях, прилегающих </w:t>
              <w:br/>
              <w:t xml:space="preserve"> к зарегулированной р. Кама (Воткинскому водохранилищу). Необходимо учитывать ограничения использования объектов недвижимости в соответствии </w:t>
              <w:br/>
              <w:t> с частью 3 статьи 67.1 Водного кодекса Российской Федерации.</w:t>
            </w:r>
          </w:p>
          <w:p>
            <w:pPr>
              <w:pStyle w:val="BodyText"/>
              <w:spacing w:before="0" w:after="0"/>
              <w:ind w:firstLine="459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частично в охранной зоне газопроводов (среднего </w:t>
              <w:br/>
              <w:t xml:space="preserve"> и низкого давления, газификации жилых домов, </w:t>
              <w:br/>
              <w:t> к комплексу жилых домов), (59:01-6.7261) (Постановление Правительства Российской Федерации от 20.11.2000 № 878 «Об утверждении Правил охраны газораспределительных сетей»). Проектирование и строительство вести в соответствии с Постановлением Правительства РФ  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878 от 20.11.2000 «Об утверждении правил охраны газораспределительных сетей».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частично в охранной зоне распределительной кабельной сети п. Курья, (59:01-6.8241). Проектирование </w:t>
              <w:br/>
              <w:t> и строительство вести в соответствии с постановлением Правительства Российской Федерации от 09 июня 1995 г.</w:t>
            </w:r>
            <w:r>
              <w:rPr>
                <w:color w:val="000000"/>
              </w:rPr>
              <w:t xml:space="preserve"> № </w:t>
            </w:r>
            <w:r>
              <w:rPr>
                <w:color w:val="000000"/>
                <w:sz w:val="24"/>
              </w:rPr>
              <w:t xml:space="preserve">578 «Об утверждении Правил охраны линий </w:t>
              <w:br/>
              <w:t> и сооружений связи Российской Федерации»).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Победителю аукциона необходимо соблюдать условия строительства, указанные  в  письме (прилагается).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Участке произрастают 2 дерева породы «ива».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Восстановительная стоимость сносимых зеленых насаждений в ценах 2024 года: одного лиственного дерева от 25 тыс. руб., хвойной – от 30 тыс. руб.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val="000000"/>
                <w:sz w:val="24"/>
              </w:rPr>
              <w:t>у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правления по экологии  и природопользованию администрации города Перми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 18.10.2024 № 059-33-01-10/3-680).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Бюджетом города Перми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на 2024 год и плановый период 2025-2026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примыкания Участка к улично-дорожной сети города Перми необходимо выполнить условия, указанные в указанном письме (прилагается).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Также направлена информация о соблюдении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Федеральным законом от 08.11.2007 № 257, расходы на строительства, реконструкцию, капитальный ремонт, ремонт пересечений и примыканий, </w:t>
              <w:br/>
              <w:t> в том числе расходы на выполнение дополнительных работ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д</w:t>
            </w:r>
            <w:r>
              <w:rPr>
                <w:b/>
                <w:color w:val="000000"/>
                <w:sz w:val="24"/>
              </w:rPr>
              <w:t>епартамент дорог и благоустройства администрации города Перми</w:t>
            </w:r>
            <w:r>
              <w:rPr>
                <w:color w:val="000000"/>
                <w:sz w:val="24"/>
              </w:rPr>
              <w:t xml:space="preserve"> от 17.10.2024 № 059-24-01-36/3-3787).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Ближайшее подразделение пожарной охраны расположено по адресу: ул. Екатерининская, 53 А </w:t>
              <w:br/>
              <w:t> (ПСЧ-110 10-ПСО);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помещения для аварийно-спасательных формирований </w:t>
              <w:br/>
              <w:t xml:space="preserve"> на территории, где расположен Участок, отсутствуют. </w:t>
              <w:br/>
              <w:t> В настоящее время потребность в обеспечении служебными помещениями для аварийно-спасательных формирований в указанном микрорайоне отсутствует;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источники противопожарного водоснабжения на указанной территории отсутствуют.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объекты общественной безопасности, отнесенные к объектам полиции (участковые пункты полиции), в данном микрорайоне (Камская Долина) отсутствуют. Ближайший участковый пункт расположен по адресу:  г. Пермь, ул. Профессора Дедюкина, д. 7 (микрорайон СтудГородок Ленинского района). В 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информации, предоставленной Министерством территориальной безопасности Пермского края, рассматриваемый земельный участок попадает в зону возможного химического заражения в особый период.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</w:t>
              <w:br/>
              <w:t> по гражданской обороне. Актуализированная  редакция СНиП 2.01.51-90».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(Аналогичная информация отражена в письме</w:t>
            </w:r>
            <w:r>
              <w:rPr>
                <w:color w:val="000000"/>
              </w:rPr>
              <w:t xml:space="preserve">  </w:t>
            </w:r>
            <w:r>
              <w:rPr>
                <w:b/>
                <w:color w:val="000000"/>
                <w:sz w:val="24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от 17.10.2024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059-10-01-27/3-1714).</w:t>
            </w:r>
          </w:p>
          <w:p>
            <w:pPr>
              <w:pStyle w:val="BodyText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62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tabs>
                <w:tab w:val="clear" w:pos="708"/>
                <w:tab w:val="right" w:pos="6000" w:leader="none"/>
              </w:tabs>
              <w:ind w:firstLine="36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Проектирование и строительство необходимо вести </w:t>
              <w:br/>
              <w:t xml:space="preserve"> 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 (ред. от 17.05.2023): дом должен включать жилые комнаты - одну или несколько (общую комнату или гостиную, спальню), а также вспомогательные помещения: переднюю, кухню (в том числе кухню-столовую </w:t>
              <w:br/>
              <w:t> 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м2, общей комнаты в доме с числом комнат две и более - 16 м2, спальни - 8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(на двух человек - 10 м2); кухни - 8 м2; кухонной зоны в кухне-столовой - 6 м2.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домах с одной комнатой допускается проектировать кухни или кухни-ниши площадью не менее 5 м2.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Площадь спальни и кухни в мансардном этаже (или этаже с наклонными ограждающими конструкциями) допускается не менее 7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 условии, что общая жилая комната имеет площадь не менее 16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пункту 6.2 СП 55.13330.2016 высота (от пола </w:t>
              <w:br/>
              <w:t xml:space="preserve"> до потолка) комнат и кухни (кухни-столовой) </w:t>
              <w:br/>
              <w:t xml:space="preserve"> в климатических районах строительства IА, IБ, IГ, IД, определяемых по СП 131.13330, должна быть не менее </w:t>
              <w:br/>
              <w:t> 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br/>
              <w:t> а высота пути эвакуации - не менее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2,2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жилых комнатах и кухнях, расположенных в этажах </w:t>
              <w:br/>
              <w:t> с наклонными ограждающими конструкциями  или в мансардном этаже, допускается уменьшение высоты помещений (от пола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до потолка), относительно нормируемой на площади, 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информации, содержащейся в ГПЗУ </w:t>
              <w:br/>
              <w:t> от 25.10.2024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РФ-59-2-03-0-00-2024-2260-0, предельная высота зданий, строений не более 10,5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Минимальный отступ от границ Участка до места допустимого размещения зданий, строений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3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 из плоскости наружной стены фасада здания на высоте </w:t>
              <w:br/>
              <w:t xml:space="preserve"> не менее 4,5 м над территорией общего пользования, составляет не более 1,2 м от красной линии. </w:t>
              <w:br/>
              <w:t> 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  <w:p>
            <w:pPr>
              <w:pStyle w:val="BodyText"/>
              <w:tabs>
                <w:tab w:val="clear" w:pos="708"/>
                <w:tab w:val="right" w:pos="6000" w:leader="none"/>
              </w:tabs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hyperlink r:id="rId13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 xml:space="preserve">О наличии технической возможности технологического присоединения энергопринимающего устройства объекта </w:t>
              <w:br/>
              <w:t> с предполагаемым электоропотреблением 15 кВт сообщается следующее.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 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</w:t>
              <w:br/>
              <w:t> в составе договора о технологическом присоединении.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Плата за технологическое присоединение энергопринимающих устройств устанавливается исходя </w:t>
              <w:br/>
              <w:t xml:space="preserve"> из стоимости мероприятий по технологическому присоединению, размер платы определяется </w:t>
              <w:br/>
              <w:t> по утвержденным тарифам согласно постановлению РСТ Пермского края от 23.11.2023 № 121-тп (в последней редакции).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</w:t>
              <w:br/>
              <w:t> 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 xml:space="preserve">Филиала ПАО «Россети Урал» - «Пермэнерго» </w:t>
            </w:r>
            <w:r>
              <w:rPr>
                <w:color w:val="000000"/>
                <w:sz w:val="24"/>
                <w:szCs w:val="24"/>
              </w:rPr>
              <w:t>от 23.10.2024 № ПЭ/ПГЭС/01/22/11473).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 м3/час 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</w:rPr>
              <w:t> от 16.10.2024 № ПФ-6845).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О наличии технической возможности подключения объекта капитального строительства с планируемой величиной подключаемой нагрузки по водоснабжению </w:t>
              <w:br/>
              <w:t> и водоотведению – 1,0 м3/сут. к централизованным системам водоснабжения и водоотведения,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а так же предоставлении информации о наличии сетей водопровода и канализации в границах указанного земельного участка, с указанием их охранной зоны, сообщается следующее.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границах вышеуказанного земельного участка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отсутствуют сети водопровода и канализации, эксплуатируемые ООО «НОВОГОР- Прикамье».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Ближайшие сети водоснабжения, эксплуатируемые </w:t>
              <w:br/>
              <w:t> ООО «НОВОГОР-Прикамье», располагаются по ул. Борцов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Революции, ориентировочно на расстоянии – более 2 км  от Участка.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Ближайшие сети водоотведения, эксплуатируемые </w:t>
              <w:br/>
              <w:t> ООО «НОВОГОР-Прикамье», располагаются в районе зданий по ул. 6-я Линия, ориентировочно на расстоянии – более 2 км от Участка.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При проектировании может бытъ применен альтернативный способ водоснабжения без подключения </w:t>
              <w:br/>
              <w:t> 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канализования объекта в выгребную яму с последующие вывозом стоков спец. 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ООО «НОВОГОР-Прикамье» не располагает сведениями о наличии сетей 3-x лиц в границах вышеуказанного земельного участка.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 xml:space="preserve">ООО «НОВОГОР-Прикамье» </w:t>
            </w:r>
            <w:r>
              <w:rPr>
                <w:color w:val="000000"/>
                <w:sz w:val="24"/>
              </w:rPr>
              <w:t>от 17.10.2024 № 110-17064).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Участок расположен вне зоны теплоснабжения ПАО  «Т Плюс».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Филиала «Пермский ПАО «Т Плюс»</w:t>
            </w:r>
            <w:r>
              <w:rPr>
                <w:color w:val="000000"/>
                <w:sz w:val="24"/>
              </w:rPr>
              <w:t xml:space="preserve"> от 17.10.2024             № 51000-32-03608).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газ, дрова, пеллеты.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де</w:t>
            </w:r>
            <w:r>
              <w:rPr>
                <w:b/>
                <w:color w:val="000000"/>
                <w:sz w:val="24"/>
              </w:rPr>
              <w:t xml:space="preserve">партамента жилищно-коммунального хозяйства администрации города Перми </w:t>
            </w:r>
            <w:r>
              <w:rPr>
                <w:color w:val="000000"/>
                <w:sz w:val="24"/>
              </w:rPr>
              <w:t xml:space="preserve"> от 23.10.2024 059-04-25/3-126-ри).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Технологическое присоединение к сетям связи ПАО «Ростелеком» планируемых к строительству объектов </w:t>
              <w:br/>
              <w:t> в границах Участка может быть произведено в точке подключения узел ВОЛС (г. Пермь, ул. Попова, 17),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Для подключения (технологического присоединения) вышеуказанных объектов к сетям электросвязи </w:t>
              <w:br/>
              <w:t> ПАО «Ростелеком»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> о подключении в порядке, определенном действующим законодательством.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ПАО «Ростелеком»</w:t>
            </w:r>
            <w:r>
              <w:rPr>
                <w:color w:val="000000"/>
                <w:sz w:val="24"/>
              </w:rPr>
              <w:t xml:space="preserve"> от 22.10.2024 от 01/05/159095/24).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</w:t>
              <w:br/>
              <w:t> до 2028 года не предусмотрено строительство сетей водоотведения.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Также сообщается, что в рамках муниципальной программы Развитие системы жилищно-коммунального хозяйства в г. Перми», утвержденной постановлением администрации г. Перми от 20.10.2021 № 924, реализовано мероприятие «Строительство сетей водоснабжения </w:t>
              <w:br/>
              <w:t> по ул. Борцов Революции в мкр. Средняя Курья Ленинского района г. Перми».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де</w:t>
            </w:r>
            <w:r>
              <w:rPr>
                <w:b/>
                <w:color w:val="000000"/>
                <w:sz w:val="24"/>
              </w:rPr>
              <w:t xml:space="preserve">партамента жилищно-коммунального хозяйства администрации города Перми   </w:t>
            </w:r>
            <w:r>
              <w:rPr>
                <w:b w:val="false"/>
                <w:bCs w:val="false"/>
                <w:color w:val="000000"/>
                <w:sz w:val="24"/>
              </w:rPr>
              <w:t xml:space="preserve">от 22.10.2024 </w:t>
              <w:br/>
              <w:t> № 059-04-17/3-1055-ри).</w:t>
            </w:r>
          </w:p>
          <w:p>
            <w:pPr>
              <w:pStyle w:val="BodyText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(рыночная стоимость земельного участка)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аукциона, иное лицо, с которым договор заключается в соответствии с п.13, п.14 или п. 20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</w:rPr>
              <w:t>в течение 15 дней</w:t>
            </w:r>
            <w:r>
              <w:rPr>
                <w:sz w:val="24"/>
                <w:szCs w:val="24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</w:rPr>
              <w:t xml:space="preserve">перечислить денежные средства </w:t>
            </w:r>
            <w:r>
              <w:rPr>
                <w:sz w:val="24"/>
                <w:szCs w:val="24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3 894 000 руб.</w:t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(3% от начальной цены)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116 820 руб.</w:t>
            </w:r>
          </w:p>
        </w:tc>
      </w:tr>
      <w:tr>
        <w:trPr>
          <w:trHeight w:val="416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(50% от начальной цены)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1 947 000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884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0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утвержден постановлением администрации города Перми от 29.05.2015 № 322, является Приложением 4 к настоящему извещению 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на сайтах www.torgi.gov.ru, www.gorodperm.ru (раздел Деятельность/ </w:t>
              <w:br/>
              <w:t>Муниципальная собственность/ Торговая площадка</w:t>
              <w:br/>
              <w:t>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widowControl w:val="false"/>
        <w:spacing w:before="0" w:after="0"/>
        <w:contextualSpacing/>
        <w:rPr>
          <w:rFonts w:eastAsia="Courier New"/>
          <w:b/>
          <w:bCs/>
          <w:sz w:val="24"/>
          <w:szCs w:val="24"/>
          <w:highlight w:val="none"/>
        </w:rPr>
      </w:pPr>
      <w:r>
        <w:rPr>
          <w:rFonts w:eastAsia="Courier New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4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45"/>
        <w:gridCol w:w="3275"/>
        <w:gridCol w:w="6301"/>
      </w:tblGrid>
      <w:tr>
        <w:trPr>
          <w:trHeight w:val="877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20 декабря 2024 г.  № 21-01-03-11555                 «О проведении аукциона по продаже земельного участка в Ленинском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край Пермский, городской округ Пермский, город Пермь, улица Рыбацкая, з/у 34а</w:t>
            </w:r>
          </w:p>
        </w:tc>
      </w:tr>
      <w:tr>
        <w:trPr>
          <w:trHeight w:val="155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 кв. м</w:t>
            </w:r>
          </w:p>
        </w:tc>
      </w:tr>
      <w:tr>
        <w:trPr>
          <w:trHeight w:val="155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59:01:2018011:146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10.01.2025г. № КУВИ-001/2025-5175391;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от 23.10.2024 № РФ-59-2-03-0-00-2024-2217-0 (далее – ГПЗУ).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 соответствии со сведениями из ЕГРН и копией планшета М 1:500 (требующего корректуры) в границах Участка объекты капитального строительства отсутствуют.</w:t>
            </w:r>
          </w:p>
          <w:p>
            <w:pPr>
              <w:pStyle w:val="BodyText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Согласно геодезической съемке, выполненной в апреле 2024 года, в границах Участка расположена сеть электроснабжения.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Размещение объекта необходимо предусматривать строго за пределами охранных зон сетей в соответствии с нормами СП 42.13330.2016 «Градостроительство планировка  и застройка городских и сельских поселений», постановления Правительства РФ                       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 южной границе Участка расположена сеть газоснабжения. Проектирование и строительство вести </w:t>
              <w:br/>
              <w:t> в соответствии с постановлением Правительства РФ              № 878 от 20.11.2000 «Об утверждении правил охраны газораспределительных сетей».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Участок ничем не огорожен, строения отсутствуют.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 xml:space="preserve">администрации Ленинского района города Перми            </w:t>
            </w:r>
            <w:r>
              <w:rPr>
                <w:color w:val="000000"/>
                <w:sz w:val="24"/>
              </w:rPr>
              <w:t xml:space="preserve"> от 14.11.2024 № 059-26-01-16/3-185).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сведениям, содержащимся в ГПЗУ, ЕГРН </w:t>
              <w:br/>
              <w:t> и справке по градостроительным условиям от 10.01.2025 № 618710 Участок расположен в границах зон с особыми условиями использования территории: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полностью в Приаэродромной территории аэродрома аэропорта Большое Савино, (59:32-6.553)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(Правительства Российской Федерации от 11.03.2010 № 138 </w:t>
              <w:br/>
              <w:t> «Об утверждении Федеральных правил использования воздушного пространства Российской Федерации»);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полностью в зоне затопления территорий, прилегающих  к зарегулированной р. Кама (Воткинскому водохранилищу) в нижнем бьефе Камского гидроузла в г. Перми Пермского края, затапливаемых при пропуске Камским гидроузлом паводков расчетной обеспеченности 1%», 59:00-6.2017 (Приказ Камского бассейнового водного управления Федерального агентства водных ресурсов от 21.11.2022  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239 «Об установлении границ зон затопления  на территориях, прилегающих к зарегулированной р. Кама (Воткинскому водохранилищу).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Победителю аукциона необходимо соблюдать условия строительства, указанные в  письме (прилагается).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Участке произрастают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32 дерева пород: береза </w:t>
              <w:br/>
              <w:t> 22 шт., ива 8 шт., черемуха 2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шт.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Восстановительная стоимость сносимых зеленых насаждений в ценах 2024 года: одного лиственного дерева от 25 тыс. руб., хвойной – от 30 тыс. руб.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val="000000"/>
                <w:sz w:val="24"/>
              </w:rPr>
              <w:t>у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правления по экологии и природопользованию администрации города Перми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от 18.10.2024 № 059-33-01-10/3-676).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Бюджетом города Перми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на 2024 год и плановый период 2025-2026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примыкания Участка к улично-дорожной сети города Перми необходимо выполнить условия, указанные в письме (прилагается).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Также направлена информация о соблюдении Правил благоустройства территории города Перми, утвержденных решением Пермской городской Думы от 15.12.2020 № 277,  при строительстве объектов недвижимости.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Федеральным законом от 08.11.2007 № 257, расходы на строительства, реконструкцию, капитальный ремонт, ремонт пересечений и примыканий, </w:t>
              <w:br/>
              <w:t> в том числе расходы на выполнение дополнительных работ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д</w:t>
            </w:r>
            <w:r>
              <w:rPr>
                <w:b/>
                <w:color w:val="000000"/>
                <w:sz w:val="24"/>
              </w:rPr>
              <w:t xml:space="preserve">епартамента дорог и благоустройства администрации города Перми </w:t>
            </w:r>
            <w:r>
              <w:rPr>
                <w:color w:val="000000"/>
                <w:sz w:val="24"/>
              </w:rPr>
              <w:t>от 16.10.2024 № 059-24-01-36/3-3775).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Ближайшее подразделение пожарной охраны расположено по адресу: ул. Екатерининская, 53 А </w:t>
              <w:br/>
              <w:t> (ПСЧ-110 10-ПСО);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помещения для аварийно-спасательных формирований </w:t>
              <w:br/>
              <w:t xml:space="preserve"> на территории, где расположен Участок, отсутствуют. </w:t>
              <w:br/>
              <w:t> В настоящее время потребность в обеспечении служебными помещениями для аварийно-спасательных формирований в указанном микрорайоне отсутствует;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источники противопожарного водоснабжения </w:t>
              <w:br/>
              <w:t> на указанной территории отсутствуют.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При планировке и размещении объектов </w:t>
              <w:br/>
              <w:t> на вышеуказанной территории необходимо соблюдать нормы и требования действующего законодательства: Федеральных законов от 21.12.1994 № 69-ФЗ                     «О пожарной безопасности» и от 22.07.2008 № 123-ФЗ «Технический 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имуществом и градостроительной деятельности Пермского края от 25.02.2021 № 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утвержденных приказом МЧС России от 30.03.2020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 xml:space="preserve">225, Свода правил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</w:t>
              <w:br/>
              <w:t> 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288 и иной документации, касающейся норм противопожарной безопасности.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указанном микрорайоне Камская Долина Ленинского района города Перми объекты общественной безопасности, отнесенные к объектам полиции (участковые пункты полиции), на указанной территории отсутствуют. С учетом активной застройки, увеличение населения данного микрорайона и при размещении объектов строительства многоквартирных жилых домов необходимо предусмотреть помещения под участковые пункты полиции.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 информации, предоставленной Министерством территориальной безопасности Пермского края, Участок попадает в зону возможного химического заражения </w:t>
              <w:br/>
              <w:t> в особый период.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сиренно-речевых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узлов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согласно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пунктам 6.38, 6.39 СП 165.1325800.2014 «Свод правил. Инженерно-технические мероприятия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br/>
              <w:t> по гражданской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обороне.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Актуализированная редакция СНиП 2.01.51-90».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</w:rPr>
              <w:t xml:space="preserve"> от 10.10.2024 № 059-10-01-27/3-1666).</w:t>
            </w:r>
          </w:p>
          <w:p>
            <w:pPr>
              <w:pStyle w:val="BodyText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62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tabs>
                <w:tab w:val="clear" w:pos="708"/>
                <w:tab w:val="right" w:pos="6000" w:leader="none"/>
              </w:tabs>
              <w:ind w:firstLine="36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Проектирование и строительство необходимо вести </w:t>
              <w:br/>
              <w:t xml:space="preserve"> 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 (ред. от 17.05.2023): дом должен включать жилые комнаты – одну или несколько (общую комнату или гостиную, спальню), а также вспомогательные помещения: переднюю, кухню (в том числе кухню-столовую </w:t>
              <w:br/>
              <w:t> 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м2, общей комнаты в доме с числом комнат две и более - 16 м2, спальни - 8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(на двух человек - 10 м2); кухни - 8 м2; кухонной зоны в кухне-столовой - 6 м2.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 В домах с одной комнатой допускается проектировать кухни или кухни-ниши площадью не менее 5 м2.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Площадь спальни и кухни в мансардном этаже (или этаже  с наклонными ограждающими конструкциями) допускается не менее 7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 условии, что общая жилая комната имеет площадь не менее 16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пункту 6.2 СП 55.13330.2016 высота (от пола </w:t>
              <w:br/>
              <w:t xml:space="preserve"> до потолка) комнат и кухни (кухни-столовой) </w:t>
              <w:br/>
              <w:t xml:space="preserve"> в климатических районах строительства IА, IБ, IГ, IД, определяемых по СП 131.13330, должна быть не менее </w:t>
              <w:br/>
              <w:t> 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br/>
              <w:t> а высота пути эвакуации - не менее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2,2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жилых комнатах и кухнях, расположенных в этажах </w:t>
              <w:br/>
              <w:t xml:space="preserve"> с наклонными ограждающими конструкциями </w:t>
              <w:br/>
              <w:t> или в мансардном этаже, допускается уменьшение высоты помещений (от пола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до потолка), относительно нормируемой на площади, 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информации, содержащейся в ГПЗУ </w:t>
              <w:br/>
              <w:t> от 23.10.2024 № РФ-59-2-03-0-00-2024-2217-0, предельная высота зданий, строений не более 10,5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Минимальный отступ от границ Участка до места допустимого размещения зданий, строений, сооружений – 3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 из плоскости наружной стены фасада здания на высоте </w:t>
              <w:br/>
              <w:t xml:space="preserve"> не менее 4,5 м над территорией общего пользования, составляет не более 1,2 м от красной линии. </w:t>
              <w:br/>
              <w:t> 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  <w:p>
            <w:pPr>
              <w:pStyle w:val="BodyText"/>
              <w:tabs>
                <w:tab w:val="clear" w:pos="708"/>
                <w:tab w:val="right" w:pos="6000" w:leader="none"/>
              </w:tabs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hyperlink r:id="rId14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 xml:space="preserve">О наличии технической возможности технологического присоединения энергопринимающего устройства объекта </w:t>
              <w:br/>
              <w:t> с предполагаемым электоропотреблением 15 кВт сообщается следующее.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 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</w:t>
              <w:br/>
              <w:t> в составе договора о технологическом присоединении.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Плата за технологическое присоединение энергопринимающих устройств устанавливается исходя  из стоимости мероприятий по технологическому присоединению, размер платы определяется по утвержденным тарифам согласно постановлению РСТ Пермского края от 23.11.2023 № 121-тп (в последней редакции).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Электроснабжение объекта возможно будет осуществить  при условии строительства питающей линии электропередачи 0,4 кВ на основании договора 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Филиала ПАО «Россети Урал» - «Пермэнерго»                   </w:t>
            </w:r>
            <w:r>
              <w:rPr>
                <w:color w:val="000000"/>
                <w:sz w:val="24"/>
                <w:szCs w:val="24"/>
              </w:rPr>
              <w:t>от 17.10.2024 № ПЭ/ПГЭС/01/22/11217).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 м3/час 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                </w:t>
            </w:r>
            <w:r>
              <w:rPr>
                <w:b/>
                <w:color w:val="000000"/>
                <w:sz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</w:rPr>
              <w:t> от 11.10.2024 № ПФ-6723).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О наличии технической возможности подключения объекта капитального строительства с планируемой величиной подключаемой нагрузки по водоснабжению </w:t>
              <w:br/>
              <w:t> и водоотведению – 1,0 м3/сут. к централизованным системам водоснабжения и водоотведения,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0"/>
              </w:rPr>
              <w:br/>
              <w:t> 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так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же предоставлении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информации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наличии сетей водопровода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и канализации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границах указанного земельного участка, с указанием их охранной зоны,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сообщается следующее.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границах Участка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отсутствуют сети водопровода </w:t>
              <w:br/>
              <w:t> и канализации, эксплуатируемые ООО «НОВОГОР- Прикамье».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Ближайшие сети водоснабжения, эксплуатируемые </w:t>
              <w:br/>
              <w:t> ООО «НОВОГОР-Прикамье», располагаются по ул. Борцов Революции, ориентировочно на расстоянии – более 2 км от Участка.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Ближайшие сети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водоотведения, эксплуатируемые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br/>
              <w:t> ООО «НОВОГОР-Прикамье», располагаются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районе зданий по ул. 6-я Линия, ориентировочно на расстоянии – более 2 км от Участка.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При проектировании может бытъ применен альтернативный способ водоснабжения без подключения </w:t>
              <w:br/>
              <w:t> к централизованной системе водоснабжения                        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канализования объекта в выгребную яму с последующие вывозом стоков спец. 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ООО «НОВОГОР-Прикамье» не располагает сведениями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о наличии сетей 3-x лиц в границах вышеуказанного земельного участка.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 xml:space="preserve">ООО «НОВОГОР-Прикамье» </w:t>
            </w:r>
            <w:r>
              <w:rPr>
                <w:color w:val="000000"/>
                <w:sz w:val="24"/>
              </w:rPr>
              <w:t>от 17.10.2024 № 110-17066).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Участок расположен вне зоны теплоснабжения ПАО  «Т Плюс».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Филиала «Пермский ПАО «Т Плюс»</w:t>
            </w:r>
            <w:r>
              <w:rPr>
                <w:color w:val="000000"/>
                <w:sz w:val="24"/>
              </w:rPr>
              <w:t> от 14.10.2024               № 51000-32-03562).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 теплоснабжения – газ, электричество, дрова, пеллеты.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д</w:t>
            </w:r>
            <w:r>
              <w:rPr>
                <w:b/>
                <w:color w:val="000000"/>
                <w:sz w:val="24"/>
              </w:rPr>
              <w:t>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</w:rPr>
              <w:t xml:space="preserve"> от 18.11.2024 059-04-25/3-135-ри).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Технологическое присоединение к сетям связи ПАО «Ростелеком» планируемых к строительству объектов в границах Участка может быть произведено в точке подключения узел ВОЛС (г. Пермь, ул. Попова, 17),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Для подключения (технологического присоединения) вышеуказанных объектов к сетям электросвязи </w:t>
              <w:br/>
              <w:t> </w:t>
            </w:r>
            <w:r>
              <w:rPr>
                <w:b/>
                <w:color w:val="000000"/>
                <w:sz w:val="24"/>
              </w:rPr>
              <w:t>ПАО «Ростелеком»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> о подключении в порядке, определенном действующим законодательством.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ПАО «Ростелеком»</w:t>
            </w:r>
            <w:r>
              <w:rPr>
                <w:color w:val="000000"/>
                <w:sz w:val="24"/>
              </w:rPr>
              <w:t xml:space="preserve"> от 11.10.2024 № 01/05/153170/24).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территории, где расположен Участок,</w:t>
            </w:r>
            <w:r>
              <w:rPr>
                <w:color w:val="FF0000"/>
              </w:rPr>
              <w:t> </w:t>
            </w:r>
            <w:r>
              <w:rPr>
                <w:color w:val="000000"/>
                <w:sz w:val="24"/>
              </w:rPr>
              <w:t xml:space="preserve">схемами водоснабжения и водоотведения города Перми, утвержденными постановлением администрации города Перми от 28.12.2018 № 1085, на период </w:t>
              <w:br/>
              <w:t> до 2028 года не предусмотрено строительство сетей водоснабжения и водоотведения.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val="000000"/>
                <w:sz w:val="24"/>
              </w:rPr>
              <w:t>д</w:t>
            </w:r>
            <w:r>
              <w:rPr>
                <w:b/>
                <w:color w:val="000000"/>
                <w:sz w:val="24"/>
              </w:rPr>
              <w:t xml:space="preserve">епартамента жилищно-коммунального хозяйства администрации города Перми  </w:t>
            </w:r>
            <w:r>
              <w:rPr>
                <w:b w:val="false"/>
                <w:bCs w:val="false"/>
                <w:color w:val="000000"/>
                <w:sz w:val="24"/>
              </w:rPr>
              <w:t xml:space="preserve">от 11.10.2024 </w:t>
              <w:br/>
              <w:t> № 059-04-17/3-1022-ри).</w:t>
            </w:r>
          </w:p>
          <w:p>
            <w:pPr>
              <w:pStyle w:val="BodyText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(рыночная стоимость земельного участка)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аукциона, иное лицо, с которым договор заключается в соответствии с п.13, п.14 или п. 20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</w:rPr>
              <w:t>в течение 15 дней</w:t>
            </w:r>
            <w:r>
              <w:rPr>
                <w:sz w:val="24"/>
                <w:szCs w:val="24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</w:rPr>
              <w:t xml:space="preserve">перечислить денежные средства </w:t>
            </w:r>
            <w:r>
              <w:rPr>
                <w:sz w:val="24"/>
                <w:szCs w:val="24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3 667 000 руб.</w:t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(3% от начальной цены)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110 010 руб.</w:t>
            </w:r>
          </w:p>
        </w:tc>
      </w:tr>
      <w:tr>
        <w:trPr>
          <w:trHeight w:val="416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(50% от начальной цены)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1 833 500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884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0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утвержден постановлением администрации города Перми от 29.05.2015 № 322, является Приложением 5 к настоящему извещению 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на сайтах www.torgi.gov.ru, www.gorodperm.ru (раздел Деятельность/ </w:t>
              <w:br/>
              <w:t>Муниципальная собственность/ Торговая площадка</w:t>
              <w:br/>
              <w:t>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widowControl w:val="false"/>
        <w:spacing w:before="0" w:after="0"/>
        <w:contextualSpacing/>
        <w:rPr>
          <w:rFonts w:eastAsia="Courier New"/>
          <w:b/>
          <w:bCs/>
          <w:sz w:val="24"/>
          <w:szCs w:val="24"/>
          <w:highlight w:val="none"/>
        </w:rPr>
      </w:pPr>
      <w:r>
        <w:rPr>
          <w:rFonts w:eastAsia="Courier New"/>
          <w:b/>
          <w:bCs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01.02.2025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04.03.2025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05.03.2025.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06.03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5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01.02.2025 по 04.03.2025.</w:t>
      </w:r>
    </w:p>
    <w:p>
      <w:pPr>
        <w:pStyle w:val="Normal"/>
        <w:widowControl w:val="false"/>
        <w:ind w:hanging="0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lang w:bidi="ru-RU"/>
        </w:rPr>
        <w:br w:type="textWrapping" w:clear="all"/>
      </w:r>
      <w:r>
        <w:rPr>
          <w:lang w:bidi="ru-RU"/>
        </w:rPr>
        <w:t xml:space="preserve">в течение трех рабочих дней со дня оформления протокола приема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 или единственного принявшего участие </w:t>
        <w:br/>
        <w:t>в аукционе участника.</w:t>
      </w:r>
    </w:p>
    <w:p>
      <w:pPr>
        <w:pStyle w:val="Normal"/>
        <w:widowControl w:val="false"/>
        <w:ind w:firstLine="567" w:left="-567"/>
        <w:jc w:val="both"/>
        <w:rPr>
          <w:lang w:bidi="ru-RU"/>
        </w:rPr>
      </w:pPr>
      <w:r>
        <w:rPr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</w:t>
        <w:br/>
        <w:t xml:space="preserve">в соответствии с пунктами 13, 14, 20 ст.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</w:t>
        <w:br/>
        <w:t xml:space="preserve">от заключения указанных договоров,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jc w:val="center"/>
        <w:rPr>
          <w:rFonts w:eastAsia="Courier New"/>
          <w:lang w:bidi="ru-RU"/>
        </w:rPr>
      </w:pPr>
      <w:r>
        <w:rPr>
          <w:b/>
        </w:rPr>
        <w:t>Организатор аукциона вправе: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о проведении аукциона. 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Извещение об отказе </w:t>
        <w:br/>
        <w:t xml:space="preserve">в проведении аукциона размещается на официальном сайте организатором аукциона </w:t>
        <w:br/>
        <w:t>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В случае отмены аукциона организатором аукциона (в т. ч. одного или нескольких лотов) </w:t>
      </w:r>
      <w:r>
        <w:rPr/>
        <w:br w:type="textWrapping" w:clear="all"/>
      </w:r>
      <w:r>
        <w:rPr/>
        <w:t>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lang w:bidi="ru-RU"/>
        </w:rPr>
      </w:pPr>
      <w:r>
        <w:rPr>
          <w:rFonts w:eastAsia="Courier New"/>
          <w:b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b/>
          <w:color w:val="000000"/>
        </w:rPr>
      </w:pPr>
      <w:r>
        <w:rPr>
          <w:bCs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01.02.2025 по 04.03.2025 с 9.00 до 18.00 по местному времени (7:00 – 16:00 МСК). </w:t>
      </w:r>
    </w:p>
    <w:p>
      <w:pPr>
        <w:pStyle w:val="NormalWeb"/>
        <w:jc w:val="center"/>
        <w:rPr>
          <w:bCs/>
          <w:lang w:bidi="ru-RU"/>
        </w:rPr>
      </w:pPr>
      <w:r>
        <w:rPr>
          <w:b/>
          <w:color w:val="000000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</w:rPr>
      </w:pPr>
      <w:r>
        <w:rPr>
          <w:b/>
          <w:bCs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rFonts w:eastAsia="Courier New"/>
          <w:lang w:bidi="ru-RU"/>
        </w:rPr>
      </w:pPr>
      <w:r>
        <w:rPr/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/>
        <w:br w:type="textWrapping" w:clear="all"/>
      </w:r>
      <w:r>
        <w:rPr/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rFonts w:eastAsia="Calibri"/>
        </w:rPr>
      </w:pPr>
      <w:r>
        <w:rPr>
          <w:rFonts w:eastAsia="Courier New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3) надлежащим образом заверенный перевод на русский язык документов </w:t>
      </w:r>
      <w:r>
        <w:rPr>
          <w:rFonts w:eastAsia="Calibri"/>
        </w:rPr>
        <w:br w:type="textWrapping" w:clear="all"/>
      </w:r>
      <w:r>
        <w:rPr>
          <w:rFonts w:eastAsia="Calibri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8"/>
        <w:jc w:val="center"/>
        <w:rPr>
          <w:b/>
        </w:rPr>
      </w:pPr>
      <w:r>
        <w:rPr>
          <w:b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</w:rPr>
      </w:pPr>
      <w:r>
        <w:rPr>
          <w:b/>
        </w:rPr>
      </w:r>
    </w:p>
    <w:p>
      <w:pPr>
        <w:pStyle w:val="Normal"/>
        <w:ind w:firstLine="567" w:left="-567"/>
        <w:jc w:val="both"/>
        <w:rPr/>
      </w:pPr>
      <w:r>
        <w:rPr/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/>
      </w:pPr>
      <w:r>
        <w:rPr/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/>
      </w:pPr>
      <w:r>
        <w:rPr/>
        <w:t xml:space="preserve">Подача заявки осуществляется заявителем, зарегистрированным в торговой секции, </w:t>
      </w:r>
      <w:r>
        <w:rPr/>
        <w:br w:type="textWrapping" w:clear="all"/>
      </w:r>
      <w:r>
        <w:rPr/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/>
      </w:pPr>
      <w:r>
        <w:rPr/>
        <w:t xml:space="preserve">Заявитель вправе подать заявку в любое время с момента размещения извещения </w:t>
      </w:r>
      <w:r>
        <w:rPr/>
        <w:br w:type="textWrapping" w:clear="all"/>
      </w:r>
      <w:r>
        <w:rPr/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/>
      </w:pPr>
      <w:r>
        <w:rPr/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/>
      </w:pPr>
      <w:r>
        <w:rPr/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/>
      </w:pPr>
      <w:r>
        <w:rPr/>
        <w:t xml:space="preserve">Участие в аукционе возможно при наличии на лицевом счете заявителя денежных средств </w:t>
      </w:r>
      <w:r>
        <w:rPr/>
        <w:br w:type="textWrapping" w:clear="all"/>
      </w:r>
      <w:r>
        <w:rPr/>
        <w:t xml:space="preserve">в размере не менее чем размер задатка на участие в аукционе, предусмотренный извещением </w:t>
      </w:r>
      <w:r>
        <w:rPr/>
        <w:br w:type="textWrapping" w:clear="all"/>
      </w:r>
      <w:r>
        <w:rPr/>
        <w:t>о проведении аукциона.</w:t>
      </w:r>
    </w:p>
    <w:p>
      <w:pPr>
        <w:pStyle w:val="Normal"/>
        <w:ind w:firstLine="567" w:left="-567"/>
        <w:jc w:val="both"/>
        <w:rPr/>
      </w:pPr>
      <w:r>
        <w:rPr/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bCs/>
        </w:rPr>
      </w:pPr>
      <w:r>
        <w:rPr/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bCs/>
        </w:rPr>
      </w:pPr>
      <w:r>
        <w:rPr>
          <w:bCs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а) отсутствия на лицевом счете заявителя достаточной суммы денежных средств </w:t>
      </w:r>
      <w:r>
        <w:rPr>
          <w:bCs/>
        </w:rPr>
        <w:br w:type="textWrapping" w:clear="all"/>
      </w:r>
      <w:r>
        <w:rPr>
          <w:bCs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bCs/>
        </w:rPr>
      </w:pPr>
      <w:r>
        <w:rPr>
          <w:bCs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Протокол рассмотрения заявок на участие в аукционе подписывается не позднее чем </w:t>
      </w:r>
      <w:r>
        <w:rPr>
          <w:bCs/>
        </w:rPr>
        <w:br w:type="textWrapping" w:clear="all"/>
      </w:r>
      <w:r>
        <w:rPr>
          <w:bCs/>
        </w:rPr>
        <w:t>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</w:rPr>
      </w:pPr>
      <w:r>
        <w:rPr>
          <w:bCs/>
        </w:rPr>
      </w:r>
    </w:p>
    <w:p>
      <w:pPr>
        <w:pStyle w:val="Normal"/>
        <w:widowControl w:val="false"/>
        <w:ind w:left="502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rFonts w:eastAsia="Courier New"/>
          <w:lang w:bidi="ru-RU"/>
        </w:rPr>
      </w:pPr>
      <w:r>
        <w:rPr/>
        <w:t xml:space="preserve">Заявитель имеет право отозвать принятую организатором аукциона заявку на участие </w:t>
      </w:r>
      <w:r>
        <w:rPr/>
        <w:br w:type="textWrapping" w:clear="all"/>
      </w:r>
      <w:r>
        <w:rPr/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Определение участников аукциона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567" w:left="-567"/>
        <w:jc w:val="both"/>
        <w:rPr/>
      </w:pPr>
      <w:r>
        <w:rPr>
          <w:bCs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</w:rPr>
        <w:br w:type="textWrapping" w:clear="all"/>
      </w:r>
      <w:r>
        <w:rPr>
          <w:bCs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sz w:val="20"/>
        </w:rPr>
      </w:pPr>
      <w:r>
        <w:rPr/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z w:val="20"/>
        </w:rPr>
        <w:t xml:space="preserve">1) </w:t>
      </w:r>
      <w:r>
        <w:rPr/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/>
      </w:pPr>
      <w:r>
        <w:rPr/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По результатам рассмотрения заявок и документов к ним комиссия принимает решение </w:t>
        <w:br/>
        <w:t xml:space="preserve">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</w:t>
        <w:br/>
        <w:t xml:space="preserve">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рассмотрения </w:t>
        <w:br/>
        <w:t>и размещается на официальных сайтах и на электронной площадке не позднее чем на следующий день после дня подписания протокола.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Заявитель приобретает статус участника аукциона с момента подписания протокола </w:t>
      </w:r>
      <w:r>
        <w:rPr/>
        <w:br w:type="textWrapping" w:clear="all"/>
      </w:r>
      <w:r>
        <w:rPr/>
        <w:t>о признании претендентов участниками аукциона.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Normal"/>
        <w:widowControl w:val="false"/>
        <w:spacing w:lineRule="auto" w:line="276"/>
        <w:ind w:firstLine="567" w:left="-567"/>
        <w:jc w:val="both"/>
        <w:rPr/>
      </w:pPr>
      <w:r>
        <w:rPr/>
      </w:r>
    </w:p>
    <w:p>
      <w:pPr>
        <w:pStyle w:val="Normal"/>
        <w:jc w:val="center"/>
        <w:rPr>
          <w:rFonts w:eastAsia="Courier New"/>
          <w:b/>
          <w:bCs/>
          <w:lang w:bidi="ru-RU"/>
        </w:rPr>
      </w:pPr>
      <w:r>
        <w:rPr>
          <w:b/>
          <w:bCs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</w:rPr>
        <w:br w:type="textWrapping" w:clear="all"/>
      </w:r>
      <w:r>
        <w:rPr>
          <w:rFonts w:eastAsia="Calibri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</w:rPr>
        <w:br w:type="textWrapping" w:clear="all"/>
      </w:r>
      <w:r>
        <w:rPr>
          <w:rFonts w:eastAsia="Calibri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>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</w:rPr>
        <w:br w:type="textWrapping" w:clear="all"/>
      </w:r>
      <w:r>
        <w:rPr>
          <w:rFonts w:eastAsia="Calibri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</w:rPr>
        <w:br w:type="textWrapping" w:clear="all"/>
      </w:r>
      <w:r>
        <w:rPr>
          <w:rFonts w:eastAsia="Calibri"/>
        </w:rPr>
        <w:t>за земельный участок или наибольший размер ежегодной арендной платы за земельный участок.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Cs/>
        </w:rPr>
      </w:pPr>
      <w:r>
        <w:rPr>
          <w:b/>
          <w:bCs/>
        </w:rPr>
        <w:t>Порядок и срок заключения договора</w:t>
      </w:r>
      <w:r>
        <w:rPr>
          <w:b/>
          <w:bCs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</w:t>
        <w:br/>
        <w:t xml:space="preserve">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</w:t>
        <w:br/>
        <w:t>в государственной или муниципальной собственности, либо подписанный проект договора аренды такого участка.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По результатам проведения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bCs/>
        </w:rPr>
      </w:pPr>
      <w:r>
        <w:rPr>
          <w:bCs/>
        </w:rPr>
        <w:t>Проекты договоров являются частью извещения и представлены в Приложениях 2-5  к настоящему извещению.</w:t>
        <w:tab/>
      </w:r>
    </w:p>
    <w:p>
      <w:pPr>
        <w:pStyle w:val="Normal"/>
        <w:ind w:firstLine="567" w:left="-567"/>
        <w:jc w:val="both"/>
        <w:rPr>
          <w:bCs/>
        </w:rPr>
      </w:pPr>
      <w:r>
        <w:rPr>
          <w:bCs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департамент земельных отношений администрации города Перми,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rFonts w:eastAsia="Courier New"/>
          <w:lang w:bidi="ru-RU"/>
        </w:rPr>
      </w:pPr>
      <w:r>
        <w:rPr>
          <w:bCs/>
        </w:rPr>
        <w:tab/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департамент земельных отношений администрации города Перми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</w:t>
        <w:br/>
        <w:t xml:space="preserve">с которыми указанные договоры заключаются в соответствии с пунктом 13, 14 или 20 </w:t>
        <w:br/>
        <w:t>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sectPr>
      <w:headerReference w:type="default" r:id="rId16"/>
      <w:headerReference w:type="first" r:id="rId17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u w:val="none"/>
        <w:szCs w:val="24"/>
        <w:color w:val="00000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  <w:u w:val="none"/>
        <w:szCs w:val="24"/>
        <w:color w:val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eastAsia="Courier New"/>
        <w:lang w:bidi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Calibri"/>
        <w:lang w:eastAsia="en-US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bCs/>
        <w:lang w:eastAsia="en-US" w:bidi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b/>
        <w:bCs/>
        <w:lang w:bidi="ru-RU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77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8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8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8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0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0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1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1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1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1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1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1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1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1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1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2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2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2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2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2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2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2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2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2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2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7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7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7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7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7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7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7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7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87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8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8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8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8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8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8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8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8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8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8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9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9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9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9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9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9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9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9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9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9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0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0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0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0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0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05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s://login.consultant.ru/link/?req=doc&amp;demo=1&amp;base=STR&amp;n=30822&amp;date=23.01.2024" TargetMode="External"/><Relationship Id="rId10" Type="http://schemas.openxmlformats.org/officeDocument/2006/relationships/hyperlink" Target="http://www.gorodperm.ru/" TargetMode="External"/><Relationship Id="rId11" Type="http://schemas.openxmlformats.org/officeDocument/2006/relationships/hyperlink" Target="https://connectgas.ru/" TargetMode="External"/><Relationship Id="rId12" Type="http://schemas.openxmlformats.org/officeDocument/2006/relationships/hyperlink" Target="mailto:perm-mail@ural.rt.ru" TargetMode="External"/><Relationship Id="rId13" Type="http://schemas.openxmlformats.org/officeDocument/2006/relationships/hyperlink" Target="http://www.gorodperm.ru/" TargetMode="External"/><Relationship Id="rId14" Type="http://schemas.openxmlformats.org/officeDocument/2006/relationships/hyperlink" Target="http://www.gorodperm.ru/" TargetMode="External"/><Relationship Id="rId15" Type="http://schemas.openxmlformats.org/officeDocument/2006/relationships/hyperlink" Target="http://utp.sberbank-ast.ru/AP/Notice/653/Requisites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Application>LibreOffice/7.6.7.2$Linux_X86_64 LibreOffice_project/60$Build-2</Application>
  <AppVersion>15.0000</AppVersion>
  <Pages>40</Pages>
  <Words>11869</Words>
  <Characters>85267</Characters>
  <CharactersWithSpaces>97375</CharactersWithSpaces>
  <Paragraphs>579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2023-10-30T09:15:00Z</dcterms:created>
  <dc:creator>Tatyannikova</dc:creator>
  <dc:description/>
  <dc:language>ru-RU</dc:language>
  <cp:lastModifiedBy/>
  <dcterms:modified xsi:type="dcterms:W3CDTF">2025-01-31T12:14:08Z</dcterms:modified>
  <cp:revision>208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