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numPr>
          <w:ilvl w:val="0"/>
          <w:numId w:val="0"/>
        </w:numPr>
        <w:spacing w:lineRule="exact" w:line="280"/>
        <w:ind w:hanging="0" w:left="0"/>
        <w:outlineLvl w:val="0"/>
        <w:rPr>
          <w:b/>
        </w:rPr>
      </w:pPr>
      <w:r>
        <w:rPr>
          <w:b/>
        </w:rPr>
      </w:r>
    </w:p>
    <w:p>
      <w:pPr>
        <w:pStyle w:val="Normal"/>
        <w:numPr>
          <w:ilvl w:val="0"/>
          <w:numId w:val="0"/>
        </w:numPr>
        <w:spacing w:lineRule="exact" w:line="280"/>
        <w:ind w:hanging="0" w:left="0"/>
        <w:jc w:val="center"/>
        <w:outlineLvl w:val="0"/>
        <w:rPr>
          <w:sz w:val="24"/>
          <w:szCs w:val="24"/>
        </w:rPr>
      </w:pPr>
      <w:r>
        <w:rPr>
          <w:sz w:val="24"/>
          <w:szCs w:val="24"/>
        </w:rPr>
        <w:t>Департамент имущественных отношений администрации города Перми</w:t>
      </w:r>
    </w:p>
    <w:p>
      <w:pPr>
        <w:pStyle w:val="Normal"/>
        <w:spacing w:lineRule="exact" w:line="280"/>
        <w:rPr/>
      </w:pPr>
      <w:r>
        <w:rPr/>
      </w:r>
    </w:p>
    <w:p>
      <w:pPr>
        <w:pStyle w:val="Normal"/>
        <w:numPr>
          <w:ilvl w:val="0"/>
          <w:numId w:val="0"/>
        </w:numPr>
        <w:spacing w:lineRule="exact" w:line="280"/>
        <w:ind w:hanging="0" w:left="0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Протокол</w:t>
      </w:r>
    </w:p>
    <w:p>
      <w:pPr>
        <w:pStyle w:val="Normal"/>
        <w:numPr>
          <w:ilvl w:val="0"/>
          <w:numId w:val="0"/>
        </w:numPr>
        <w:spacing w:lineRule="exact" w:line="280"/>
        <w:ind w:hanging="0" w:left="0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приема заявок на участие в аукционе в электронной форме </w:t>
      </w:r>
    </w:p>
    <w:p>
      <w:pPr>
        <w:pStyle w:val="Normal"/>
        <w:numPr>
          <w:ilvl w:val="0"/>
          <w:numId w:val="0"/>
        </w:numPr>
        <w:spacing w:lineRule="exact" w:line="280"/>
        <w:ind w:hanging="0" w:left="0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на право заключения договора аренды лесного участка, находящегося </w:t>
      </w:r>
      <w:r>
        <w:rPr>
          <w:b/>
          <w:sz w:val="24"/>
          <w:szCs w:val="24"/>
        </w:rPr>
        <w:br w:type="textWrapping" w:clear="all"/>
      </w:r>
      <w:r>
        <w:rPr>
          <w:b/>
          <w:sz w:val="24"/>
          <w:szCs w:val="24"/>
        </w:rPr>
        <w:t>в муниципальной собственности города Перми</w:t>
      </w:r>
    </w:p>
    <w:p>
      <w:pPr>
        <w:pStyle w:val="Normal"/>
        <w:numPr>
          <w:ilvl w:val="0"/>
          <w:numId w:val="0"/>
        </w:numPr>
        <w:spacing w:lineRule="exact" w:line="280"/>
        <w:ind w:hanging="0" w:left="0"/>
        <w:outlineLvl w:val="0"/>
        <w:rPr/>
      </w:pPr>
      <w:r>
        <w:rPr/>
      </w:r>
    </w:p>
    <w:p>
      <w:pPr>
        <w:pStyle w:val="Normal"/>
        <w:numPr>
          <w:ilvl w:val="0"/>
          <w:numId w:val="0"/>
        </w:numPr>
        <w:spacing w:lineRule="exact" w:line="280"/>
        <w:ind w:hanging="0" w:left="0"/>
        <w:outlineLvl w:val="0"/>
        <w:rPr/>
      </w:pPr>
      <w:r>
        <w:rPr/>
      </w:r>
    </w:p>
    <w:p>
      <w:pPr>
        <w:pStyle w:val="Normal"/>
        <w:spacing w:lineRule="exact" w:line="280"/>
        <w:jc w:val="both"/>
        <w:rPr/>
      </w:pPr>
      <w:r>
        <w:rPr/>
        <w:t>г. Пермь</w:t>
        <w:tab/>
        <w:t xml:space="preserve">                                                                                                                           03.02.2025</w:t>
      </w:r>
    </w:p>
    <w:p>
      <w:pPr>
        <w:pStyle w:val="Normal"/>
        <w:spacing w:lineRule="exact" w:line="280"/>
        <w:jc w:val="both"/>
        <w:rPr/>
      </w:pPr>
      <w:r>
        <w:rPr/>
      </w:r>
    </w:p>
    <w:p>
      <w:pPr>
        <w:pStyle w:val="Normal"/>
        <w:tabs>
          <w:tab w:val="clear" w:pos="708"/>
          <w:tab w:val="left" w:pos="2805" w:leader="none"/>
        </w:tabs>
        <w:spacing w:lineRule="exact" w:line="280"/>
        <w:ind w:firstLine="720"/>
        <w:jc w:val="both"/>
        <w:rPr/>
      </w:pPr>
      <w:r>
        <w:rPr/>
        <w:t xml:space="preserve">Аукционная комиссия по проведению аукционов на право заключения договора аренды лесного участка, находящегося в муниципальной собственности города Перми, утвержденная приказом начальника департамента имущественных отношений администрации города Перми от 16.01.2020 № 059-19-01-11-5, в составе: </w:t>
      </w:r>
    </w:p>
    <w:p>
      <w:pPr>
        <w:pStyle w:val="Normal"/>
        <w:spacing w:lineRule="exact" w:line="280"/>
        <w:jc w:val="both"/>
        <w:rPr/>
      </w:pPr>
      <w:r>
        <w:rPr/>
        <w:t xml:space="preserve">             </w:t>
      </w:r>
    </w:p>
    <w:p>
      <w:pPr>
        <w:pStyle w:val="Normal"/>
        <w:spacing w:before="0" w:after="120"/>
        <w:ind w:hanging="2520" w:left="2520"/>
        <w:rPr>
          <w:lang w:eastAsia="en-US"/>
        </w:rPr>
      </w:pPr>
      <w:r>
        <w:rPr>
          <w:lang w:eastAsia="en-US"/>
        </w:rPr>
        <w:t xml:space="preserve">Председатель комиссии: Хаткевич А.А., начальник департамента имущественных отношений администрации города Перми;   </w:t>
      </w:r>
    </w:p>
    <w:p>
      <w:pPr>
        <w:pStyle w:val="Normal"/>
        <w:rPr/>
      </w:pPr>
      <w:r>
        <w:rPr/>
        <w:t>Заместитель председателя комиссии: Сабурова М.В., начальник отдела лесов и особо</w:t>
      </w:r>
      <w:r>
        <w:rPr/>
        <w:br w:type="textWrapping" w:clear="all"/>
      </w:r>
      <w:r>
        <w:rPr/>
        <w:t xml:space="preserve"> </w:t>
        <w:tab/>
        <w:tab/>
        <w:tab/>
        <w:tab/>
        <w:tab/>
        <w:t xml:space="preserve">      охраняемых природных территорий управления </w:t>
      </w:r>
      <w:r>
        <w:rPr/>
        <w:br w:type="textWrapping" w:clear="all"/>
      </w:r>
      <w:r>
        <w:rPr/>
        <w:t xml:space="preserve"> </w:t>
        <w:tab/>
        <w:tab/>
        <w:tab/>
        <w:tab/>
        <w:tab/>
        <w:t xml:space="preserve">      по экологии  и природопользованию   администрации</w:t>
      </w:r>
      <w:r>
        <w:rPr/>
        <w:br w:type="textWrapping" w:clear="all"/>
      </w:r>
      <w:r>
        <w:rPr/>
        <w:t xml:space="preserve"> </w:t>
        <w:tab/>
        <w:tab/>
        <w:tab/>
        <w:tab/>
        <w:tab/>
        <w:t xml:space="preserve">      города Перми;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Секретарь комиссии: Павлова О.И., консультант отдела по распоряжению муниципальным</w:t>
      </w:r>
      <w:r>
        <w:rPr/>
        <w:br w:type="textWrapping" w:clear="all"/>
      </w:r>
      <w:r>
        <w:rPr/>
        <w:t xml:space="preserve"> </w:t>
        <w:tab/>
        <w:tab/>
        <w:tab/>
        <w:t xml:space="preserve">  имуществом управления по распоряжению муниципальным имуществом</w:t>
      </w:r>
      <w:r>
        <w:rPr/>
        <w:br w:type="textWrapping" w:clear="all"/>
      </w:r>
      <w:r>
        <w:rPr/>
        <w:t xml:space="preserve"> </w:t>
        <w:tab/>
        <w:tab/>
        <w:tab/>
        <w:t xml:space="preserve">  департамента имущественных отношений администрации города Перми;                                                    </w:t>
      </w:r>
    </w:p>
    <w:p>
      <w:pPr>
        <w:pStyle w:val="Normal"/>
        <w:rPr/>
      </w:pPr>
      <w:r>
        <w:rPr/>
      </w:r>
    </w:p>
    <w:p>
      <w:pPr>
        <w:pStyle w:val="Normal"/>
        <w:rPr>
          <w:highlight w:val="none"/>
        </w:rPr>
      </w:pPr>
      <w:r>
        <w:rPr/>
        <w:t>Члены комиссии: Меденникова С.В., заместитель начальника управления по распоряжению</w:t>
      </w:r>
      <w:r>
        <w:rPr/>
        <w:br w:type="textWrapping" w:clear="all"/>
      </w:r>
      <w:r>
        <w:rPr/>
        <w:t xml:space="preserve">       </w:t>
        <w:tab/>
        <w:tab/>
        <w:t xml:space="preserve">       муниципальным имуществом – начальник отдела по распоряжению</w:t>
      </w:r>
      <w:r>
        <w:rPr/>
        <w:br w:type="textWrapping" w:clear="all"/>
      </w:r>
      <w:r>
        <w:rPr/>
        <w:t xml:space="preserve">       </w:t>
        <w:tab/>
        <w:tab/>
        <w:t xml:space="preserve">       муниципальным имуществом департамента имущественных отношений</w:t>
      </w:r>
      <w:r>
        <w:rPr/>
        <w:br w:type="textWrapping" w:clear="all"/>
      </w:r>
      <w:r>
        <w:rPr/>
        <w:t xml:space="preserve">       </w:t>
        <w:tab/>
        <w:tab/>
        <w:t xml:space="preserve">       администрации города Перми;</w:t>
      </w:r>
    </w:p>
    <w:p>
      <w:pPr>
        <w:pStyle w:val="Normal"/>
        <w:ind w:left="1716"/>
        <w:rPr/>
      </w:pPr>
      <w:r>
        <w:rPr/>
        <w:t xml:space="preserve">  </w:t>
      </w:r>
      <w:r>
        <w:rPr/>
        <w:t>Сердюк В.А., консультант отдела лесов и особо охраняемых природных</w:t>
        <w:br/>
        <w:t xml:space="preserve">  территорий управления по экологии и природопользованию   администрации</w:t>
        <w:br/>
        <w:t xml:space="preserve">  города Перми;</w:t>
      </w:r>
    </w:p>
    <w:p>
      <w:pPr>
        <w:pStyle w:val="Normal"/>
        <w:ind w:firstLine="300" w:left="1416"/>
        <w:rPr/>
      </w:pPr>
      <w:r>
        <w:rPr/>
        <w:t xml:space="preserve">  </w:t>
      </w:r>
      <w:r>
        <w:rPr/>
        <w:t>Четина Ю.И., заместитель начальника отдела по распоряжению</w:t>
        <w:br/>
        <w:t xml:space="preserve">       муниципальным имуществом управления по распоряжению</w:t>
        <w:br/>
        <w:t xml:space="preserve">       муниципальным имуществом департамента имущественных</w:t>
        <w:br/>
        <w:t xml:space="preserve">       отношений администрации города Перми.                                                            </w:t>
      </w:r>
    </w:p>
    <w:p>
      <w:pPr>
        <w:pStyle w:val="Style14"/>
        <w:tabs>
          <w:tab w:val="clear" w:pos="708"/>
          <w:tab w:val="left" w:pos="2520" w:leader="none"/>
        </w:tabs>
        <w:spacing w:lineRule="exact" w:line="28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</w:r>
    </w:p>
    <w:p>
      <w:pPr>
        <w:pStyle w:val="Normal"/>
        <w:ind w:left="1716"/>
        <w:rPr/>
      </w:pPr>
      <w:r>
        <w:rPr/>
      </w:r>
    </w:p>
    <w:p>
      <w:pPr>
        <w:pStyle w:val="Normal"/>
        <w:spacing w:lineRule="exact" w:line="280"/>
        <w:jc w:val="both"/>
        <w:rPr>
          <w:szCs w:val="28"/>
        </w:rPr>
      </w:pPr>
      <w:r>
        <w:rPr>
          <w:szCs w:val="28"/>
        </w:rPr>
        <w:t>Повестка дня:</w:t>
      </w:r>
    </w:p>
    <w:p>
      <w:pPr>
        <w:pStyle w:val="Normal"/>
        <w:spacing w:lineRule="exact" w:line="280"/>
        <w:ind w:firstLine="708"/>
        <w:jc w:val="both"/>
        <w:rPr>
          <w:szCs w:val="28"/>
        </w:rPr>
      </w:pPr>
      <w:r>
        <w:rPr>
          <w:szCs w:val="28"/>
        </w:rPr>
      </w:r>
    </w:p>
    <w:p>
      <w:pPr>
        <w:pStyle w:val="BodyTextIndent"/>
        <w:tabs>
          <w:tab w:val="left" w:pos="708" w:leader="none"/>
        </w:tabs>
        <w:ind w:left="0"/>
        <w:jc w:val="both"/>
        <w:rPr>
          <w:lang w:val="ru-RU"/>
        </w:rPr>
      </w:pPr>
      <w:r>
        <w:rPr>
          <w:szCs w:val="28"/>
        </w:rPr>
        <w:tab/>
        <w:t xml:space="preserve">Процедура </w:t>
      </w:r>
      <w:r>
        <w:rPr/>
        <w:t>рассмотрения заявок на участие в аукционе в электронной форме  на право заключения договор</w:t>
      </w:r>
      <w:r>
        <w:rPr>
          <w:lang w:val="ru-RU"/>
        </w:rPr>
        <w:t>а аренды лесного участка, находящегося в муниципальной собственности города Перми</w:t>
      </w:r>
      <w:r>
        <w:rPr/>
        <w:t xml:space="preserve">, назначенном на </w:t>
      </w:r>
      <w:r>
        <w:rPr>
          <w:lang w:val="ru-RU"/>
        </w:rPr>
        <w:t>04</w:t>
      </w:r>
      <w:r>
        <w:rPr/>
        <w:t>.</w:t>
      </w:r>
      <w:r>
        <w:rPr>
          <w:lang w:val="ru-RU"/>
        </w:rPr>
        <w:t>02</w:t>
      </w:r>
      <w:r>
        <w:rPr/>
        <w:t>.20</w:t>
      </w:r>
      <w:r>
        <w:rPr>
          <w:lang w:val="ru-RU"/>
        </w:rPr>
        <w:t xml:space="preserve">25 </w:t>
      </w:r>
      <w:r>
        <w:rPr/>
        <w:t xml:space="preserve">(процедура </w:t>
      </w:r>
      <w:r>
        <w:rPr>
          <w:sz w:val="24"/>
          <w:szCs w:val="24"/>
          <w:lang w:val="ru-RU" w:eastAsia="en-US" w:bidi="ar-SA"/>
        </w:rPr>
        <w:t>№ SBR012-2412270025).</w:t>
      </w:r>
    </w:p>
    <w:p>
      <w:pPr>
        <w:pStyle w:val="Normal"/>
        <w:widowControl w:val="false"/>
        <w:jc w:val="both"/>
        <w:rPr>
          <w:rFonts w:eastAsia="Courier New"/>
          <w:lang w:bidi="ru-RU"/>
        </w:rPr>
      </w:pPr>
      <w:r>
        <w:rPr>
          <w:rFonts w:eastAsia="Courier New"/>
          <w:lang w:bidi="ru-RU"/>
        </w:rPr>
        <w:t>Дата начала срока подачи заявок на участие в аукционе – 28.12.2024.</w:t>
      </w:r>
    </w:p>
    <w:p>
      <w:pPr>
        <w:pStyle w:val="Normal"/>
        <w:widowControl w:val="false"/>
        <w:jc w:val="both"/>
        <w:rPr>
          <w:rFonts w:eastAsia="Courier New"/>
          <w:lang w:bidi="ru-RU"/>
        </w:rPr>
      </w:pPr>
      <w:r>
        <w:rPr>
          <w:rFonts w:eastAsia="Courier New"/>
          <w:lang w:bidi="ru-RU"/>
        </w:rPr>
        <w:t xml:space="preserve">Дата окончания срока подачи заявок на участие в аукционе – 02.02.2025. 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9355" w:leader="none"/>
        </w:tabs>
        <w:ind w:firstLine="709" w:left="0"/>
        <w:jc w:val="both"/>
        <w:outlineLvl w:val="0"/>
        <w:rPr/>
      </w:pPr>
      <w:r>
        <w:rPr/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9355" w:leader="none"/>
        </w:tabs>
        <w:ind w:firstLine="709" w:left="0"/>
        <w:jc w:val="both"/>
        <w:outlineLvl w:val="0"/>
        <w:rPr>
          <w:bCs/>
        </w:rPr>
      </w:pPr>
      <w:r>
        <w:rPr/>
        <w:t>Характеристика лота № 1 представлена в документации об аукционе в электронной форме, утвержденной приказом начальника департамента имущественных отношений администрации города Перми от 23.12.2024 № 059-19-01-11-126.</w:t>
      </w:r>
    </w:p>
    <w:p>
      <w:pPr>
        <w:pStyle w:val="Style14"/>
        <w:tabs>
          <w:tab w:val="clear" w:pos="708"/>
          <w:tab w:val="left" w:pos="851" w:leader="none"/>
        </w:tabs>
        <w:spacing w:lineRule="exact" w:line="2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Style14"/>
        <w:tabs>
          <w:tab w:val="clear" w:pos="708"/>
          <w:tab w:val="left" w:pos="851" w:leader="none"/>
        </w:tabs>
        <w:spacing w:lineRule="exact" w:line="28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  <w:lang w:val="ru-RU"/>
        </w:rPr>
        <w:t>Р</w:t>
      </w:r>
      <w:r>
        <w:rPr>
          <w:rFonts w:ascii="Times New Roman" w:hAnsi="Times New Roman"/>
          <w:sz w:val="24"/>
          <w:szCs w:val="24"/>
        </w:rPr>
        <w:t>ассмотрев заявки на участие в аукционе</w:t>
      </w:r>
      <w:r>
        <w:rPr>
          <w:rFonts w:ascii="Times New Roman" w:hAnsi="Times New Roman"/>
          <w:sz w:val="24"/>
          <w:szCs w:val="24"/>
          <w:lang w:val="ru-RU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  <w:lang w:val="ru-RU"/>
        </w:rPr>
        <w:t xml:space="preserve">комиссия </w:t>
      </w:r>
      <w:r>
        <w:rPr>
          <w:rFonts w:ascii="Times New Roman" w:hAnsi="Times New Roman"/>
          <w:b/>
          <w:sz w:val="24"/>
          <w:szCs w:val="28"/>
        </w:rPr>
        <w:t>установила</w:t>
      </w:r>
      <w:r>
        <w:rPr>
          <w:rFonts w:ascii="Times New Roman" w:hAnsi="Times New Roman"/>
          <w:b/>
          <w:bCs/>
          <w:sz w:val="24"/>
          <w:szCs w:val="24"/>
        </w:rPr>
        <w:t>:</w:t>
      </w:r>
    </w:p>
    <w:p>
      <w:pPr>
        <w:pStyle w:val="Style14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</w:r>
    </w:p>
    <w:p>
      <w:pPr>
        <w:pStyle w:val="Normal"/>
        <w:jc w:val="both"/>
        <w:rPr>
          <w:highlight w:val="none"/>
        </w:rPr>
      </w:pPr>
      <w:r>
        <w:rPr/>
      </w:r>
    </w:p>
    <w:p>
      <w:pPr>
        <w:pStyle w:val="Normal"/>
        <w:jc w:val="both"/>
        <w:rPr>
          <w:highlight w:val="none"/>
        </w:rPr>
      </w:pPr>
      <w:r>
        <w:rPr>
          <w:b/>
        </w:rPr>
        <w:t xml:space="preserve">по лоту № 1 - </w:t>
      </w:r>
      <w:r>
        <w:rPr>
          <w:sz w:val="24"/>
          <w:szCs w:val="24"/>
          <w:lang w:val="ru-RU" w:eastAsia="ru-RU" w:bidi="ar-SA"/>
        </w:rPr>
        <w:t xml:space="preserve">лесной участок площадью 0,8132 га с кадастровым номером 59:01:0912010:245, находящийся в собственности муниципального образования город Пермь, предоставляемый в аренду имеет местоположение: Пермский край, г. Пермь, Пермское городское лесничество, Мотовилихинское участковое лесничество, квартал 26, часть выдела 44; адрес: Российская Федерация, Пермский край, городской округ Пермский, город Пермь, р-н Мотовилихинский, Мотовилихинское участковое лесничество, квартал № 26 (ч.44). </w:t>
      </w:r>
      <w:r>
        <w:rPr/>
        <w:t>Разрешенный вид использования – осуществление рекреационной деятельности, начальная цена предмета аукциона -  52 562,00</w:t>
      </w:r>
      <w:r>
        <w:rPr>
          <w:rFonts w:eastAsia="Roboto" w:cs="Roboto" w:ascii="Roboto" w:hAnsi="Roboto"/>
          <w:b/>
          <w:color w:val="000000"/>
          <w:sz w:val="18"/>
          <w:highlight w:val="white"/>
        </w:rPr>
        <w:t> </w:t>
      </w:r>
      <w:r>
        <w:rPr/>
        <w:t xml:space="preserve"> руб.  П</w:t>
      </w:r>
      <w:r>
        <w:rPr>
          <w:szCs w:val="28"/>
        </w:rPr>
        <w:t>риняты</w:t>
      </w:r>
      <w:r>
        <w:rPr/>
        <w:t xml:space="preserve"> заявки </w:t>
      </w:r>
      <w:r>
        <w:rPr>
          <w:bCs/>
        </w:rPr>
        <w:t>от следующих заявителей:</w:t>
      </w:r>
    </w:p>
    <w:p>
      <w:pPr>
        <w:pStyle w:val="Normal"/>
        <w:ind w:firstLine="708"/>
        <w:jc w:val="both"/>
        <w:rPr/>
      </w:pPr>
      <w:r>
        <w:rPr/>
      </w:r>
    </w:p>
    <w:tbl>
      <w:tblPr>
        <w:tblW w:w="9900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6802"/>
        <w:gridCol w:w="3097"/>
      </w:tblGrid>
      <w:tr>
        <w:trPr/>
        <w:tc>
          <w:tcPr>
            <w:tcW w:w="6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/>
            </w:pPr>
            <w:r>
              <w:rPr/>
              <w:t>Сведения о заявителе</w:t>
            </w:r>
          </w:p>
        </w:tc>
        <w:tc>
          <w:tcPr>
            <w:tcW w:w="3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/>
            </w:pPr>
            <w:r>
              <w:rPr/>
              <w:t>Внесенный задаток, руб.</w:t>
            </w:r>
          </w:p>
        </w:tc>
      </w:tr>
      <w:tr>
        <w:trPr/>
        <w:tc>
          <w:tcPr>
            <w:tcW w:w="6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rPr/>
            </w:pPr>
            <w:r>
              <w:rPr/>
              <w:t>Индивидуальный предприниматель Лебедев Руслан Эдуардович</w:t>
            </w:r>
          </w:p>
        </w:tc>
        <w:tc>
          <w:tcPr>
            <w:tcW w:w="3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kern w:val="0"/>
                <w:sz w:val="24"/>
                <w:szCs w:val="24"/>
                <w:lang w:val="en-US" w:eastAsia="en-US" w:bidi="ar-SA"/>
              </w:rPr>
            </w:pPr>
            <w:r>
              <w:rPr>
                <w:rFonts w:eastAsia="Times New Roman" w:cs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kern w:val="0"/>
                <w:sz w:val="24"/>
                <w:szCs w:val="24"/>
                <w:lang w:val="en-US" w:eastAsia="en-US" w:bidi="ar-SA"/>
              </w:rPr>
              <w:t>52 562,00</w:t>
            </w:r>
          </w:p>
        </w:tc>
      </w:tr>
      <w:tr>
        <w:trPr/>
        <w:tc>
          <w:tcPr>
            <w:tcW w:w="6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rPr/>
            </w:pPr>
            <w:r>
              <w:rPr/>
              <w:t>Общество с ограниченной ответственностью «Импульс»</w:t>
            </w:r>
          </w:p>
        </w:tc>
        <w:tc>
          <w:tcPr>
            <w:tcW w:w="3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kern w:val="0"/>
                <w:sz w:val="24"/>
                <w:szCs w:val="24"/>
                <w:lang w:val="en-US" w:eastAsia="en-US" w:bidi="ar-SA"/>
              </w:rPr>
            </w:pPr>
            <w:r>
              <w:rPr>
                <w:rFonts w:eastAsia="Times New Roman" w:cs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kern w:val="0"/>
                <w:sz w:val="24"/>
                <w:szCs w:val="24"/>
                <w:lang w:val="en-US" w:eastAsia="en-US" w:bidi="ar-SA"/>
              </w:rPr>
              <w:t>52 562,00</w:t>
            </w:r>
          </w:p>
        </w:tc>
      </w:tr>
      <w:tr>
        <w:trPr/>
        <w:tc>
          <w:tcPr>
            <w:tcW w:w="6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rPr/>
            </w:pPr>
            <w:r>
              <w:rPr/>
              <w:t>Общество с ограниченной ответственностью «Финструм 1»</w:t>
            </w:r>
          </w:p>
        </w:tc>
        <w:tc>
          <w:tcPr>
            <w:tcW w:w="3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kern w:val="0"/>
                <w:sz w:val="24"/>
                <w:szCs w:val="24"/>
                <w:lang w:val="en-US" w:eastAsia="en-US" w:bidi="ar-SA"/>
              </w:rPr>
            </w:pPr>
            <w:r>
              <w:rPr>
                <w:rFonts w:eastAsia="Times New Roman" w:cs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kern w:val="0"/>
                <w:sz w:val="24"/>
                <w:szCs w:val="24"/>
                <w:lang w:val="en-US" w:eastAsia="en-US" w:bidi="ar-SA"/>
              </w:rPr>
              <w:t>52 562,00</w:t>
            </w:r>
          </w:p>
        </w:tc>
      </w:tr>
      <w:tr>
        <w:trPr/>
        <w:tc>
          <w:tcPr>
            <w:tcW w:w="6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rPr/>
            </w:pPr>
            <w:r>
              <w:rPr/>
              <w:t>Автономная некоммерческая организация оказания услуг по землеустройству «Содействие кадастр»</w:t>
            </w:r>
          </w:p>
        </w:tc>
        <w:tc>
          <w:tcPr>
            <w:tcW w:w="3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kern w:val="0"/>
                <w:sz w:val="24"/>
                <w:szCs w:val="24"/>
                <w:lang w:val="en-US" w:eastAsia="en-US" w:bidi="ar-SA"/>
              </w:rPr>
            </w:pPr>
            <w:r>
              <w:rPr>
                <w:rFonts w:eastAsia="Times New Roman" w:cs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kern w:val="0"/>
                <w:sz w:val="24"/>
                <w:szCs w:val="24"/>
                <w:lang w:val="en-US" w:eastAsia="en-US" w:bidi="ar-SA"/>
              </w:rPr>
              <w:t>52 562,00</w:t>
            </w:r>
          </w:p>
        </w:tc>
      </w:tr>
      <w:tr>
        <w:trPr/>
        <w:tc>
          <w:tcPr>
            <w:tcW w:w="68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rPr>
                <w:sz w:val="24"/>
                <w:szCs w:val="24"/>
                <w:lang w:val="ru-RU" w:eastAsia="ru-RU" w:bidi="ar-SA"/>
              </w:rPr>
            </w:pPr>
            <w:r>
              <w:rPr>
                <w:sz w:val="24"/>
                <w:szCs w:val="24"/>
                <w:lang w:val="ru-RU" w:eastAsia="ru-RU" w:bidi="ar-SA"/>
              </w:rPr>
              <w:t>Индивидуальный предприниматель Метлушко Ольга Александровна</w:t>
            </w:r>
          </w:p>
        </w:tc>
        <w:tc>
          <w:tcPr>
            <w:tcW w:w="30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kern w:val="0"/>
                <w:sz w:val="24"/>
                <w:szCs w:val="24"/>
                <w:lang w:val="en-US" w:eastAsia="en-US" w:bidi="ar-SA"/>
              </w:rPr>
            </w:pPr>
            <w:r>
              <w:rPr>
                <w:rFonts w:eastAsia="Times New Roman" w:cs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kern w:val="0"/>
                <w:sz w:val="24"/>
                <w:szCs w:val="24"/>
                <w:lang w:val="en-US" w:eastAsia="en-US" w:bidi="ar-SA"/>
              </w:rPr>
              <w:t>52 562,00</w:t>
            </w:r>
          </w:p>
        </w:tc>
      </w:tr>
      <w:tr>
        <w:trPr/>
        <w:tc>
          <w:tcPr>
            <w:tcW w:w="68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rPr/>
            </w:pPr>
            <w:r>
              <w:rPr>
                <w:sz w:val="24"/>
                <w:szCs w:val="24"/>
                <w:lang w:val="ru-RU" w:eastAsia="ru-RU" w:bidi="ar-SA"/>
              </w:rPr>
              <w:t xml:space="preserve">Индивидуальный предприниматель </w:t>
            </w:r>
            <w:r>
              <w:rPr/>
              <w:t>Перетыкин Виктор Николаевич</w:t>
            </w:r>
          </w:p>
        </w:tc>
        <w:tc>
          <w:tcPr>
            <w:tcW w:w="30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kern w:val="0"/>
                <w:sz w:val="24"/>
                <w:szCs w:val="24"/>
                <w:lang w:val="en-US" w:eastAsia="en-US" w:bidi="ar-SA"/>
              </w:rPr>
            </w:pPr>
            <w:r>
              <w:rPr>
                <w:rFonts w:eastAsia="Times New Roman" w:cs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kern w:val="0"/>
                <w:sz w:val="24"/>
                <w:szCs w:val="24"/>
                <w:lang w:val="en-US" w:eastAsia="en-US" w:bidi="ar-SA"/>
              </w:rPr>
              <w:t>52 562,00</w:t>
            </w:r>
          </w:p>
        </w:tc>
      </w:tr>
      <w:tr>
        <w:trPr/>
        <w:tc>
          <w:tcPr>
            <w:tcW w:w="68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rPr/>
            </w:pPr>
            <w:r>
              <w:rPr/>
              <w:t>Общество с ограниченной ответственностью «Квадратинвест»</w:t>
            </w:r>
          </w:p>
        </w:tc>
        <w:tc>
          <w:tcPr>
            <w:tcW w:w="30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kern w:val="0"/>
                <w:sz w:val="24"/>
                <w:szCs w:val="24"/>
                <w:lang w:val="en-US" w:eastAsia="en-US" w:bidi="ar-SA"/>
              </w:rPr>
            </w:pPr>
            <w:r>
              <w:rPr>
                <w:rFonts w:eastAsia="Times New Roman" w:cs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kern w:val="0"/>
                <w:sz w:val="24"/>
                <w:szCs w:val="24"/>
                <w:lang w:val="en-US" w:eastAsia="en-US" w:bidi="ar-SA"/>
              </w:rPr>
              <w:t>52 562,00</w:t>
            </w:r>
          </w:p>
        </w:tc>
      </w:tr>
    </w:tbl>
    <w:p>
      <w:pPr>
        <w:pStyle w:val="Normal"/>
        <w:jc w:val="both"/>
        <w:rPr>
          <w:color w:val="FF0000"/>
        </w:rPr>
      </w:pPr>
      <w:r>
        <w:rPr>
          <w:color w:val="FF0000"/>
        </w:rPr>
      </w:r>
    </w:p>
    <w:p>
      <w:pPr>
        <w:pStyle w:val="Normal"/>
        <w:ind w:firstLine="708"/>
        <w:jc w:val="both"/>
        <w:rPr/>
      </w:pPr>
      <w:r>
        <w:rPr/>
        <w:t xml:space="preserve">На основании  пункта 18 статьи 78 Лесного кодекса Российской Федерации </w:t>
      </w:r>
      <w:r>
        <w:rPr/>
        <w:br w:type="textWrapping" w:clear="all"/>
      </w:r>
      <w:r>
        <w:rPr>
          <w:b/>
        </w:rPr>
        <w:t>комиссия  решила</w:t>
      </w:r>
      <w:r>
        <w:rPr/>
        <w:t>:</w:t>
      </w:r>
    </w:p>
    <w:p>
      <w:pPr>
        <w:pStyle w:val="Normal"/>
        <w:ind w:firstLine="708"/>
        <w:jc w:val="both"/>
        <w:rPr/>
      </w:pPr>
      <w:r>
        <w:rPr/>
      </w:r>
    </w:p>
    <w:p>
      <w:pPr>
        <w:pStyle w:val="Normal"/>
        <w:numPr>
          <w:ilvl w:val="0"/>
          <w:numId w:val="1"/>
        </w:numPr>
        <w:ind w:firstLine="709" w:left="0"/>
        <w:jc w:val="both"/>
        <w:rPr/>
      </w:pPr>
      <w:r>
        <w:rPr/>
        <w:t>допустить к участию в аукционе и признать участниками аукциона следующих заявителей:</w:t>
      </w:r>
    </w:p>
    <w:p>
      <w:pPr>
        <w:pStyle w:val="Normal"/>
        <w:ind w:left="1068"/>
        <w:jc w:val="both"/>
        <w:rPr/>
      </w:pPr>
      <w:r>
        <w:rPr/>
      </w:r>
    </w:p>
    <w:p>
      <w:pPr>
        <w:pStyle w:val="Normal"/>
        <w:jc w:val="both"/>
        <w:rPr>
          <w:highlight w:val="none"/>
        </w:rPr>
      </w:pPr>
      <w:r>
        <w:rPr>
          <w:b/>
        </w:rPr>
        <w:t xml:space="preserve">по лоту № 1 - </w:t>
      </w:r>
      <w:r>
        <w:rPr/>
        <w:t xml:space="preserve"> индивидуального предпринимателя Лебедева Руслана Эдуардовича, общество с ограниченной ответственностью «Импульс», общество с ограниченной ответственностью «Финструм 1», автономную некоммерческую организацию оказания услуг по землеустройству «Содействие кадастр», индивидуального предпринимателя Метлушко Ольгу Александровну,  общество с ограниченной ответственностью «Квадратинвест».</w:t>
      </w:r>
    </w:p>
    <w:p>
      <w:pPr>
        <w:pStyle w:val="BodyText"/>
        <w:jc w:val="both"/>
        <w:rPr>
          <w:highlight w:val="none"/>
        </w:rPr>
      </w:pPr>
      <w:r>
        <w:rPr/>
      </w:r>
    </w:p>
    <w:p>
      <w:pPr>
        <w:pStyle w:val="BodyText"/>
        <w:widowControl/>
        <w:bidi w:val="0"/>
        <w:spacing w:lineRule="auto" w:line="240" w:before="0" w:after="140"/>
        <w:ind w:firstLine="737" w:left="0" w:right="0"/>
        <w:jc w:val="both"/>
        <w:rPr/>
      </w:pPr>
      <w:r>
        <w:rPr>
          <w:color w:val="000000"/>
          <w:sz w:val="24"/>
          <w:shd w:fill="auto" w:val="clear"/>
        </w:rPr>
        <w:t xml:space="preserve">2. отказать в допуске к участию в аукционе следующим заявителям: </w:t>
      </w:r>
    </w:p>
    <w:p>
      <w:pPr>
        <w:pStyle w:val="BodyText"/>
        <w:spacing w:lineRule="auto" w:line="240" w:before="0" w:after="0"/>
        <w:ind w:hanging="0" w:left="0" w:right="0"/>
        <w:jc w:val="both"/>
        <w:rPr/>
      </w:pPr>
      <w:r>
        <w:rPr>
          <w:b/>
          <w:sz w:val="24"/>
          <w:szCs w:val="24"/>
          <w:lang w:val="ru-RU" w:eastAsia="ru-RU" w:bidi="ar-SA"/>
        </w:rPr>
        <w:t>по лоту № 1 -</w:t>
      </w:r>
      <w:r>
        <w:rPr>
          <w:sz w:val="24"/>
          <w:szCs w:val="24"/>
          <w:lang w:val="ru-RU" w:eastAsia="ru-RU" w:bidi="ar-SA"/>
        </w:rPr>
        <w:t xml:space="preserve"> индивидуальному предпринимателю Перетыкину Виктору Николаевичу.</w:t>
      </w:r>
    </w:p>
    <w:p>
      <w:pPr>
        <w:pStyle w:val="BodyText"/>
        <w:spacing w:lineRule="auto" w:line="240" w:before="0" w:after="0"/>
        <w:ind w:hanging="0" w:left="0" w:right="0"/>
        <w:jc w:val="both"/>
        <w:rPr/>
      </w:pPr>
      <w:r>
        <w:rPr/>
        <w:t> </w:t>
      </w:r>
    </w:p>
    <w:p>
      <w:pPr>
        <w:pStyle w:val="BodyText"/>
        <w:spacing w:lineRule="auto" w:line="240" w:before="0" w:after="0"/>
        <w:ind w:hanging="0" w:left="0" w:right="0"/>
        <w:jc w:val="both"/>
        <w:rPr>
          <w:highlight w:val="none"/>
        </w:rPr>
      </w:pPr>
      <w:r>
        <w:rPr>
          <w:color w:val="000000"/>
          <w:sz w:val="24"/>
          <w:shd w:fill="auto" w:val="clear"/>
        </w:rPr>
        <w:t xml:space="preserve">Причина отказа: несоответствие представленной заявки на участие в аукционе требованиям, установленным документацией об аукционе </w:t>
      </w:r>
      <w:r>
        <w:rPr>
          <w:b w:val="false"/>
          <w:i w:val="false"/>
          <w:caps w:val="false"/>
          <w:smallCaps w:val="false"/>
          <w:color w:val="000000"/>
          <w:spacing w:val="0"/>
          <w:sz w:val="24"/>
          <w:shd w:fill="auto" w:val="clear"/>
        </w:rPr>
        <w:t>и извещением о проведении аукциона.</w:t>
      </w:r>
    </w:p>
    <w:p>
      <w:pPr>
        <w:pStyle w:val="Style14"/>
        <w:ind w:hanging="0"/>
        <w:jc w:val="both"/>
        <w:rPr>
          <w:b/>
          <w:bCs/>
          <w:highlight w:val="yellow"/>
          <w:lang w:val="ru-RU"/>
        </w:rPr>
      </w:pPr>
      <w:r>
        <w:rPr>
          <w:b/>
          <w:bCs/>
          <w:highlight w:val="yellow"/>
          <w:lang w:val="ru-RU"/>
        </w:rPr>
      </w:r>
    </w:p>
    <w:p>
      <w:pPr>
        <w:pStyle w:val="Normal"/>
        <w:spacing w:lineRule="exact" w:line="240"/>
        <w:ind w:hanging="5610" w:left="5610"/>
        <w:rPr>
          <w:highlight w:val="yellow"/>
        </w:rPr>
      </w:pPr>
      <w:r>
        <w:rPr>
          <w:highlight w:val="yellow"/>
        </w:rPr>
      </w:r>
    </w:p>
    <w:p>
      <w:pPr>
        <w:pStyle w:val="Normal"/>
        <w:spacing w:lineRule="exact" w:line="240"/>
        <w:ind w:hanging="5610" w:left="5610"/>
        <w:rPr>
          <w:highlight w:val="yellow"/>
        </w:rPr>
      </w:pPr>
      <w:r>
        <w:rPr>
          <w:highlight w:val="yellow"/>
        </w:rPr>
      </w:r>
    </w:p>
    <w:p>
      <w:pPr>
        <w:pStyle w:val="Normal"/>
        <w:spacing w:lineRule="auto" w:line="480"/>
        <w:jc w:val="both"/>
        <w:rPr/>
      </w:pPr>
      <w:r>
        <w:rPr/>
        <w:t xml:space="preserve">Председатель комиссии                                                                                         А.А. Хаткевич </w:t>
      </w:r>
    </w:p>
    <w:p>
      <w:pPr>
        <w:pStyle w:val="Normal"/>
        <w:spacing w:lineRule="auto" w:line="480"/>
        <w:ind w:hanging="5610" w:left="5610"/>
        <w:rPr/>
      </w:pPr>
      <w:r>
        <w:rPr/>
        <w:t>Заместитель председателя комиссии</w:t>
        <w:tab/>
        <w:tab/>
        <w:tab/>
        <w:tab/>
        <w:tab/>
        <w:t>М.В. Сабурова</w:t>
      </w:r>
    </w:p>
    <w:p>
      <w:pPr>
        <w:pStyle w:val="Normal"/>
        <w:spacing w:lineRule="auto" w:line="480"/>
        <w:ind w:hanging="5610" w:left="5610"/>
        <w:rPr/>
      </w:pPr>
      <w:r>
        <w:rPr/>
        <w:t>Секретарь комиссии</w:t>
        <w:tab/>
        <w:tab/>
        <w:tab/>
        <w:tab/>
        <w:tab/>
        <w:t>О.И. Павлова</w:t>
      </w:r>
    </w:p>
    <w:p>
      <w:pPr>
        <w:pStyle w:val="Normal"/>
        <w:spacing w:lineRule="auto" w:line="480"/>
        <w:ind w:hanging="5610" w:left="5664"/>
        <w:rPr>
          <w:highlight w:val="none"/>
        </w:rPr>
      </w:pPr>
      <w:r>
        <w:rPr/>
        <w:t xml:space="preserve">Члены комиссии </w:t>
        <w:tab/>
        <w:tab/>
        <w:tab/>
        <w:tab/>
        <w:t>С.В. Меденникова</w:t>
      </w:r>
    </w:p>
    <w:p>
      <w:pPr>
        <w:pStyle w:val="Normal"/>
        <w:spacing w:lineRule="auto" w:line="480"/>
        <w:ind w:firstLine="54" w:left="7734"/>
        <w:rPr/>
      </w:pPr>
      <w:r>
        <w:rPr/>
        <w:t>В.А. Сердюк</w:t>
      </w:r>
    </w:p>
    <w:p>
      <w:pPr>
        <w:pStyle w:val="Normal"/>
        <w:ind w:firstLine="54" w:left="7734"/>
        <w:rPr/>
      </w:pPr>
      <w:r>
        <w:rPr/>
        <w:t>Ю.И. Четина</w:t>
      </w:r>
    </w:p>
    <w:sectPr>
      <w:footerReference w:type="even" r:id="rId2"/>
      <w:footerReference w:type="default" r:id="rId3"/>
      <w:footerReference w:type="first" r:id="rId4"/>
      <w:type w:val="nextPage"/>
      <w:pgSz w:w="11906" w:h="16838"/>
      <w:pgMar w:left="1418" w:right="567" w:gutter="0" w:header="0" w:top="357" w:footer="70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ourier New">
    <w:charset w:val="01"/>
    <w:family w:val="roman"/>
    <w:pitch w:val="variable"/>
  </w:font>
  <w:font w:name="Tahoma">
    <w:charset w:val="01"/>
    <w:family w:val="roman"/>
    <w:pitch w:val="variable"/>
  </w:font>
  <w:font w:name="Open Sans">
    <w:charset w:val="01"/>
    <w:family w:val="roman"/>
    <w:pitch w:val="variable"/>
  </w:font>
  <w:font w:name="Verdana">
    <w:charset w:val="01"/>
    <w:family w:val="roman"/>
    <w:pitch w:val="variable"/>
  </w:font>
  <w:font w:name="Roboto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ind w:right="360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2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1" name="Врезка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14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Footer"/>
                            <w:ind w:right="360"/>
                            <w:rPr>
                              <w:rStyle w:val="Style10"/>
                            </w:rPr>
                          </w:pPr>
                          <w:r>
                            <w:rPr>
                              <w:rStyle w:val="Style10"/>
                            </w:rPr>
                            <w:fldChar w:fldCharType="begin"/>
                          </w:r>
                          <w:r>
                            <w:rPr>
                              <w:rStyle w:val="Style10"/>
                            </w:rPr>
                            <w:instrText xml:space="preserve"> PAGE </w:instrText>
                          </w:r>
                          <w:r>
                            <w:rPr>
                              <w:rStyle w:val="Style10"/>
                            </w:rPr>
                            <w:fldChar w:fldCharType="separate"/>
                          </w:r>
                          <w:r>
                            <w:rPr>
                              <w:rStyle w:val="Style10"/>
                            </w:rPr>
                            <w:t>0</w:t>
                          </w:r>
                          <w:r>
                            <w:rPr>
                              <w:rStyle w:val="Style1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2" path="m0,0l-2147483645,0l-2147483645,-2147483646l0,-2147483646xe" fillcolor="white" stroked="f" o:allowincell="f" style="position:absolute;margin-left:0pt;margin-top:0.05pt;width:1.1pt;height:1.1pt;mso-wrap-style:square;v-text-anchor:top;mso-position-horizontal:right;mso-position-horizontal-relative:margin">
              <v:fill o:detectmouseclick="t" type="solid" color2="black" opacity="0"/>
              <v:stroke color="#3465a4" joinstyle="round" endcap="flat"/>
              <v:textbox>
                <w:txbxContent>
                  <w:p>
                    <w:pPr>
                      <w:pStyle w:val="Footer"/>
                      <w:ind w:right="360"/>
                      <w:rPr>
                        <w:rStyle w:val="Style10"/>
                      </w:rPr>
                    </w:pPr>
                    <w:r>
                      <w:rPr>
                        <w:rStyle w:val="Style10"/>
                      </w:rPr>
                      <w:fldChar w:fldCharType="begin"/>
                    </w:r>
                    <w:r>
                      <w:rPr>
                        <w:rStyle w:val="Style10"/>
                      </w:rPr>
                      <w:instrText xml:space="preserve"> PAGE </w:instrText>
                    </w:r>
                    <w:r>
                      <w:rPr>
                        <w:rStyle w:val="Style10"/>
                      </w:rPr>
                      <w:fldChar w:fldCharType="separate"/>
                    </w:r>
                    <w:r>
                      <w:rPr>
                        <w:rStyle w:val="Style10"/>
                      </w:rPr>
                      <w:t>0</w:t>
                    </w:r>
                    <w:r>
                      <w:rPr>
                        <w:rStyle w:val="Style1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  <mc:AlternateContent>
        <mc:Choice Requires="wps">
          <w:drawing>
            <wp:anchor behindDoc="1" distT="0" distB="0" distL="0" distR="0" simplePos="0" locked="0" layoutInCell="0" allowOverlap="1" relativeHeight="3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2" name="Врезка3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14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Footer"/>
                            <w:rPr>
                              <w:rStyle w:val="Style10"/>
                            </w:rPr>
                          </w:pPr>
                          <w:r>
                            <w:rPr>
                              <w:rStyle w:val="Style10"/>
                            </w:rPr>
                            <w:fldChar w:fldCharType="begin"/>
                          </w:r>
                          <w:r>
                            <w:rPr>
                              <w:rStyle w:val="Style10"/>
                            </w:rPr>
                            <w:instrText xml:space="preserve"> PAGE </w:instrText>
                          </w:r>
                          <w:r>
                            <w:rPr>
                              <w:rStyle w:val="Style10"/>
                            </w:rPr>
                            <w:fldChar w:fldCharType="separate"/>
                          </w:r>
                          <w:r>
                            <w:rPr>
                              <w:rStyle w:val="Style10"/>
                            </w:rPr>
                            <w:t>0</w:t>
                          </w:r>
                          <w:r>
                            <w:rPr>
                              <w:rStyle w:val="Style1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3" path="m0,0l-2147483645,0l-2147483645,-2147483646l0,-2147483646xe" fillcolor="white" stroked="f" o:allowincell="f" style="position:absolute;margin-left:0pt;margin-top:0.05pt;width:1.1pt;height:1.1pt;mso-wrap-style:square;v-text-anchor:top;mso-position-horizontal:right;mso-position-horizontal-relative:margin">
              <v:fill o:detectmouseclick="t" type="solid" color2="black" opacity="0"/>
              <v:stroke color="#3465a4" joinstyle="round" endcap="flat"/>
              <v:textbox>
                <w:txbxContent>
                  <w:p>
                    <w:pPr>
                      <w:pStyle w:val="Footer"/>
                      <w:rPr>
                        <w:rStyle w:val="Style10"/>
                      </w:rPr>
                    </w:pPr>
                    <w:r>
                      <w:rPr>
                        <w:rStyle w:val="Style10"/>
                      </w:rPr>
                      <w:fldChar w:fldCharType="begin"/>
                    </w:r>
                    <w:r>
                      <w:rPr>
                        <w:rStyle w:val="Style10"/>
                      </w:rPr>
                      <w:instrText xml:space="preserve"> PAGE </w:instrText>
                    </w:r>
                    <w:r>
                      <w:rPr>
                        <w:rStyle w:val="Style10"/>
                      </w:rPr>
                      <w:fldChar w:fldCharType="separate"/>
                    </w:r>
                    <w:r>
                      <w:rPr>
                        <w:rStyle w:val="Style10"/>
                      </w:rPr>
                      <w:t>0</w:t>
                    </w:r>
                    <w:r>
                      <w:rPr>
                        <w:rStyle w:val="Style1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ind w:right="360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7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76835" cy="173990"/>
              <wp:effectExtent l="0" t="0" r="0" b="0"/>
              <wp:wrapSquare wrapText="bothSides"/>
              <wp:docPr id="3" name="Врезк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680" cy="1738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Footer"/>
                            <w:rPr>
                              <w:rStyle w:val="Style10"/>
                            </w:rPr>
                          </w:pPr>
                          <w:r>
                            <w:rPr>
                              <w:rStyle w:val="Style10"/>
                            </w:rPr>
                            <w:fldChar w:fldCharType="begin"/>
                          </w:r>
                          <w:r>
                            <w:rPr>
                              <w:rStyle w:val="Style10"/>
                            </w:rPr>
                            <w:instrText xml:space="preserve"> PAGE </w:instrText>
                          </w:r>
                          <w:r>
                            <w:rPr>
                              <w:rStyle w:val="Style10"/>
                            </w:rPr>
                            <w:fldChar w:fldCharType="separate"/>
                          </w:r>
                          <w:r>
                            <w:rPr>
                              <w:rStyle w:val="Style10"/>
                            </w:rPr>
                            <w:t>2</w:t>
                          </w:r>
                          <w:r>
                            <w:rPr>
                              <w:rStyle w:val="Style1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1" path="m0,0l-2147483645,0l-2147483645,-2147483646l0,-2147483646xe" fillcolor="white" stroked="f" o:allowincell="f" style="position:absolute;margin-left:489.9pt;margin-top:0.05pt;width:6pt;height:13.65pt;mso-wrap-style:square;v-text-anchor:top;mso-position-horizontal:right;mso-position-horizontal-relative:margin">
              <v:fill o:detectmouseclick="t" type="solid" color2="black" opacity="0"/>
              <v:stroke color="#3465a4" joinstyle="round" endcap="flat"/>
              <v:textbox>
                <w:txbxContent>
                  <w:p>
                    <w:pPr>
                      <w:pStyle w:val="Footer"/>
                      <w:rPr>
                        <w:rStyle w:val="Style10"/>
                      </w:rPr>
                    </w:pPr>
                    <w:r>
                      <w:rPr>
                        <w:rStyle w:val="Style10"/>
                      </w:rPr>
                      <w:fldChar w:fldCharType="begin"/>
                    </w:r>
                    <w:r>
                      <w:rPr>
                        <w:rStyle w:val="Style10"/>
                      </w:rPr>
                      <w:instrText xml:space="preserve"> PAGE </w:instrText>
                    </w:r>
                    <w:r>
                      <w:rPr>
                        <w:rStyle w:val="Style10"/>
                      </w:rPr>
                      <w:fldChar w:fldCharType="separate"/>
                    </w:r>
                    <w:r>
                      <w:rPr>
                        <w:rStyle w:val="Style10"/>
                      </w:rPr>
                      <w:t>2</w:t>
                    </w:r>
                    <w:r>
                      <w:rPr>
                        <w:rStyle w:val="Style1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ind w:right="360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7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76835" cy="173990"/>
              <wp:effectExtent l="0" t="0" r="0" b="0"/>
              <wp:wrapSquare wrapText="bothSides"/>
              <wp:docPr id="4" name="Врезк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680" cy="1738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Footer"/>
                            <w:rPr>
                              <w:rStyle w:val="Style10"/>
                            </w:rPr>
                          </w:pPr>
                          <w:r>
                            <w:rPr>
                              <w:rStyle w:val="Style10"/>
                            </w:rPr>
                            <w:fldChar w:fldCharType="begin"/>
                          </w:r>
                          <w:r>
                            <w:rPr>
                              <w:rStyle w:val="Style10"/>
                            </w:rPr>
                            <w:instrText xml:space="preserve"> PAGE </w:instrText>
                          </w:r>
                          <w:r>
                            <w:rPr>
                              <w:rStyle w:val="Style10"/>
                            </w:rPr>
                            <w:fldChar w:fldCharType="separate"/>
                          </w:r>
                          <w:r>
                            <w:rPr>
                              <w:rStyle w:val="Style10"/>
                            </w:rPr>
                            <w:t>2</w:t>
                          </w:r>
                          <w:r>
                            <w:rPr>
                              <w:rStyle w:val="Style1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1" path="m0,0l-2147483645,0l-2147483645,-2147483646l0,-2147483646xe" fillcolor="white" stroked="f" o:allowincell="f" style="position:absolute;margin-left:489.9pt;margin-top:0.05pt;width:6pt;height:13.65pt;mso-wrap-style:square;v-text-anchor:top;mso-position-horizontal:right;mso-position-horizontal-relative:margin">
              <v:fill o:detectmouseclick="t" type="solid" color2="black" opacity="0"/>
              <v:stroke color="#3465a4" joinstyle="round" endcap="flat"/>
              <v:textbox>
                <w:txbxContent>
                  <w:p>
                    <w:pPr>
                      <w:pStyle w:val="Footer"/>
                      <w:rPr>
                        <w:rStyle w:val="Style10"/>
                      </w:rPr>
                    </w:pPr>
                    <w:r>
                      <w:rPr>
                        <w:rStyle w:val="Style10"/>
                      </w:rPr>
                      <w:fldChar w:fldCharType="begin"/>
                    </w:r>
                    <w:r>
                      <w:rPr>
                        <w:rStyle w:val="Style10"/>
                      </w:rPr>
                      <w:instrText xml:space="preserve"> PAGE </w:instrText>
                    </w:r>
                    <w:r>
                      <w:rPr>
                        <w:rStyle w:val="Style10"/>
                      </w:rPr>
                      <w:fldChar w:fldCharType="separate"/>
                    </w:r>
                    <w:r>
                      <w:rPr>
                        <w:rStyle w:val="Style10"/>
                      </w:rPr>
                      <w:t>2</w:t>
                    </w:r>
                    <w:r>
                      <w:rPr>
                        <w:rStyle w:val="Style1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Droid Sans Fallback" w:cs="Lohit Devanagari"/>
        <w:lang w:val="ru-RU" w:eastAsia="zh-CN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uiPriority w:val="9"/>
    <w:qFormat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Heading2">
    <w:name w:val="Heading 2"/>
    <w:basedOn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Heading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Heading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uiPriority w:val="10"/>
    <w:qFormat/>
    <w:rPr>
      <w:sz w:val="48"/>
      <w:szCs w:val="48"/>
    </w:rPr>
  </w:style>
  <w:style w:type="character" w:styleId="SubtitleChar">
    <w:name w:val="Subtitle Char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uiPriority w:val="99"/>
    <w:qFormat/>
    <w:rPr/>
  </w:style>
  <w:style w:type="character" w:styleId="FooterChar">
    <w:name w:val="Footer Char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Hyperlink">
    <w:name w:val="Hyperlink"/>
    <w:uiPriority w:val="99"/>
    <w:unhideWhenUsed/>
    <w:rPr>
      <w:color w:themeColor="hyperlink" w:val="0000FF"/>
      <w:u w:val="single"/>
    </w:rPr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6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Style7">
    <w:name w:val="Основной шрифт абзаца"/>
    <w:semiHidden/>
    <w:qFormat/>
    <w:rPr/>
  </w:style>
  <w:style w:type="character" w:styleId="3">
    <w:name w:val="Основной текст с отступом 3 Знак"/>
    <w:qFormat/>
    <w:rPr>
      <w:sz w:val="16"/>
      <w:szCs w:val="16"/>
    </w:rPr>
  </w:style>
  <w:style w:type="character" w:styleId="Style8">
    <w:name w:val="Текст Знак"/>
    <w:qFormat/>
    <w:rPr>
      <w:rFonts w:ascii="Courier New" w:hAnsi="Courier New"/>
    </w:rPr>
  </w:style>
  <w:style w:type="character" w:styleId="Style9">
    <w:name w:val="Текст выноски Знак"/>
    <w:qFormat/>
    <w:rPr>
      <w:rFonts w:ascii="Tahoma" w:hAnsi="Tahoma" w:cs="Tahoma"/>
      <w:sz w:val="16"/>
      <w:szCs w:val="16"/>
    </w:rPr>
  </w:style>
  <w:style w:type="character" w:styleId="Style10">
    <w:name w:val="Основной текст с отступом Знак"/>
    <w:qFormat/>
    <w:rPr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1">
    <w:name w:val="Заголовок"/>
    <w:basedOn w:val="Normal"/>
    <w:next w:val="BodyText"/>
    <w:qFormat/>
    <w:pPr>
      <w:keepNext w:val="true"/>
      <w:spacing w:before="240" w:after="120"/>
    </w:pPr>
    <w:rPr>
      <w:rFonts w:ascii="Open Sans" w:hAnsi="Open Sans" w:eastAsia="Droid Sans Fallback" w:cs="Lohit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ohit Devanagari"/>
    </w:rPr>
  </w:style>
  <w:style w:type="paragraph" w:styleId="Caption">
    <w:name w:val="Caption"/>
    <w:basedOn w:val="Normal"/>
    <w:uiPriority w:val="35"/>
    <w:semiHidden/>
    <w:unhideWhenUsed/>
    <w:qFormat/>
    <w:pPr>
      <w:spacing w:lineRule="auto" w:line="276"/>
    </w:pPr>
    <w:rPr>
      <w:b/>
      <w:bCs/>
      <w:color w:themeColor="accent1" w:val="4F81BD"/>
      <w:sz w:val="18"/>
      <w:szCs w:val="18"/>
    </w:rPr>
  </w:style>
  <w:style w:type="paragraph" w:styleId="Style12">
    <w:name w:val="Указатель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34"/>
    <w:qFormat/>
    <w:pPr>
      <w:spacing w:before="0" w:after="0"/>
      <w:ind w:left="720"/>
      <w:contextualSpacing/>
    </w:pPr>
    <w:rPr/>
  </w:style>
  <w:style w:type="paragraph" w:styleId="NoSpacing">
    <w:name w:val="No Spacing"/>
    <w:uiPriority w:val="1"/>
    <w:qFormat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0"/>
      <w:szCs w:val="20"/>
      <w:lang w:val="ru-RU" w:eastAsia="zh-CN" w:bidi="ar-SA"/>
    </w:rPr>
  </w:style>
  <w:style w:type="paragraph" w:styleId="Title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ubtitle">
    <w:name w:val="Subtitle"/>
    <w:basedOn w:val="Normal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uiPriority w:val="29"/>
    <w:qFormat/>
    <w:pPr>
      <w:ind w:left="720" w:right="72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/>
    </w:pPr>
    <w:rPr>
      <w:i/>
    </w:rPr>
  </w:style>
  <w:style w:type="paragraph" w:styleId="Style13">
    <w:name w:val="Колонтитул"/>
    <w:basedOn w:val="Normal"/>
    <w:qFormat/>
    <w:pPr/>
    <w:rPr/>
  </w:style>
  <w:style w:type="paragraph" w:styleId="Header">
    <w:name w:val="Head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Footer">
    <w:name w:val="Foot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FootnoteText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EndnoteText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TOC1">
    <w:name w:val="TOC 1"/>
    <w:basedOn w:val="Normal"/>
    <w:uiPriority w:val="39"/>
    <w:unhideWhenUsed/>
    <w:pPr>
      <w:spacing w:before="0" w:after="57"/>
      <w:ind w:hanging="0" w:left="0" w:right="0"/>
    </w:pPr>
    <w:rPr/>
  </w:style>
  <w:style w:type="paragraph" w:styleId="TOC2">
    <w:name w:val="TOC 2"/>
    <w:basedOn w:val="Normal"/>
    <w:uiPriority w:val="39"/>
    <w:unhideWhenUsed/>
    <w:pPr>
      <w:spacing w:before="0" w:after="57"/>
      <w:ind w:hanging="0" w:left="283" w:right="0"/>
    </w:pPr>
    <w:rPr/>
  </w:style>
  <w:style w:type="paragraph" w:styleId="TOC3">
    <w:name w:val="TOC 3"/>
    <w:basedOn w:val="Normal"/>
    <w:uiPriority w:val="39"/>
    <w:unhideWhenUsed/>
    <w:pPr>
      <w:spacing w:before="0" w:after="57"/>
      <w:ind w:hanging="0" w:left="567" w:right="0"/>
    </w:pPr>
    <w:rPr/>
  </w:style>
  <w:style w:type="paragraph" w:styleId="TOC4">
    <w:name w:val="TOC 4"/>
    <w:basedOn w:val="Normal"/>
    <w:uiPriority w:val="39"/>
    <w:unhideWhenUsed/>
    <w:pPr>
      <w:spacing w:before="0" w:after="57"/>
      <w:ind w:hanging="0" w:left="850" w:right="0"/>
    </w:pPr>
    <w:rPr/>
  </w:style>
  <w:style w:type="paragraph" w:styleId="TOC5">
    <w:name w:val="TOC 5"/>
    <w:basedOn w:val="Normal"/>
    <w:uiPriority w:val="39"/>
    <w:unhideWhenUsed/>
    <w:pPr>
      <w:spacing w:before="0" w:after="57"/>
      <w:ind w:hanging="0" w:left="1134" w:right="0"/>
    </w:pPr>
    <w:rPr/>
  </w:style>
  <w:style w:type="paragraph" w:styleId="TOC6">
    <w:name w:val="TOC 6"/>
    <w:basedOn w:val="Normal"/>
    <w:uiPriority w:val="39"/>
    <w:unhideWhenUsed/>
    <w:pPr>
      <w:spacing w:before="0" w:after="57"/>
      <w:ind w:hanging="0" w:left="1417" w:right="0"/>
    </w:pPr>
    <w:rPr/>
  </w:style>
  <w:style w:type="paragraph" w:styleId="TOC7">
    <w:name w:val="TOC 7"/>
    <w:basedOn w:val="Normal"/>
    <w:uiPriority w:val="39"/>
    <w:unhideWhenUsed/>
    <w:pPr>
      <w:spacing w:before="0" w:after="57"/>
      <w:ind w:hanging="0" w:left="1701" w:right="0"/>
    </w:pPr>
    <w:rPr/>
  </w:style>
  <w:style w:type="paragraph" w:styleId="TOC8">
    <w:name w:val="TOC 8"/>
    <w:basedOn w:val="Normal"/>
    <w:uiPriority w:val="39"/>
    <w:unhideWhenUsed/>
    <w:pPr>
      <w:spacing w:before="0" w:after="57"/>
      <w:ind w:hanging="0" w:left="1984" w:right="0"/>
    </w:pPr>
    <w:rPr/>
  </w:style>
  <w:style w:type="paragraph" w:styleId="TOC9">
    <w:name w:val="TOC 9"/>
    <w:basedOn w:val="Normal"/>
    <w:uiPriority w:val="39"/>
    <w:unhideWhenUsed/>
    <w:pPr>
      <w:spacing w:before="0" w:after="57"/>
      <w:ind w:hanging="0" w:left="2268" w:right="0"/>
    </w:pPr>
    <w:rPr/>
  </w:style>
  <w:style w:type="paragraph" w:styleId="IndexHeading">
    <w:name w:val="Index Heading"/>
    <w:basedOn w:val="Style11"/>
    <w:pPr/>
    <w:rPr/>
  </w:style>
  <w:style w:type="paragraph" w:styleId="TOCHeading">
    <w:name w:val="TOC Heading"/>
    <w:uiPriority w:val="39"/>
    <w:unhideWhenUsed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0"/>
      <w:szCs w:val="20"/>
      <w:lang w:val="ru-RU" w:eastAsia="zh-CN" w:bidi="ar-SA"/>
    </w:rPr>
  </w:style>
  <w:style w:type="paragraph" w:styleId="TableofFigures">
    <w:name w:val="Table of Figures"/>
    <w:basedOn w:val="Normal"/>
    <w:uiPriority w:val="99"/>
    <w:unhideWhenUsed/>
    <w:pPr>
      <w:spacing w:before="0" w:afterAutospacing="0" w:after="0"/>
    </w:pPr>
    <w:rPr/>
  </w:style>
  <w:style w:type="paragraph" w:styleId="BodyTextIndent">
    <w:name w:val="Body Text Indent"/>
    <w:basedOn w:val="Normal"/>
    <w:pPr>
      <w:spacing w:before="0" w:after="120"/>
      <w:ind w:left="283"/>
    </w:pPr>
    <w:rPr>
      <w:lang w:val="en-US" w:eastAsia="en-US"/>
    </w:rPr>
  </w:style>
  <w:style w:type="paragraph" w:styleId="Style14">
    <w:name w:val="Текст"/>
    <w:basedOn w:val="Normal"/>
    <w:qFormat/>
    <w:pPr/>
    <w:rPr>
      <w:rFonts w:ascii="Courier New" w:hAnsi="Courier New"/>
      <w:sz w:val="20"/>
      <w:szCs w:val="20"/>
      <w:lang w:val="en-US" w:eastAsia="en-US"/>
    </w:rPr>
  </w:style>
  <w:style w:type="paragraph" w:styleId="Style15">
    <w:name w:val="Знак Знак Знак Знак Знак Знак Знак Знак Знак Знак Знак Знак"/>
    <w:basedOn w:val="Normal"/>
    <w:qFormat/>
    <w:pPr/>
    <w:rPr>
      <w:rFonts w:ascii="Verdana" w:hAnsi="Verdana" w:cs="Verdana"/>
      <w:sz w:val="20"/>
      <w:szCs w:val="20"/>
      <w:lang w:val="en-US" w:eastAsia="en-US"/>
    </w:rPr>
  </w:style>
  <w:style w:type="paragraph" w:styleId="31">
    <w:name w:val="Основной текст с отступом 3"/>
    <w:basedOn w:val="Normal"/>
    <w:qFormat/>
    <w:pPr>
      <w:spacing w:before="0" w:after="120"/>
      <w:ind w:left="283"/>
    </w:pPr>
    <w:rPr>
      <w:sz w:val="16"/>
      <w:szCs w:val="16"/>
      <w:lang w:val="en-US" w:eastAsia="en-US"/>
    </w:rPr>
  </w:style>
  <w:style w:type="paragraph" w:styleId="Style16">
    <w:name w:val="Текст выноски"/>
    <w:basedOn w:val="Normal"/>
    <w:qFormat/>
    <w:pPr/>
    <w:rPr>
      <w:rFonts w:ascii="Tahoma" w:hAnsi="Tahoma"/>
      <w:sz w:val="16"/>
      <w:szCs w:val="16"/>
      <w:lang w:val="en-US" w:eastAsia="en-US"/>
    </w:rPr>
  </w:style>
  <w:style w:type="paragraph" w:styleId="Style17">
    <w:name w:val="Абзац списка"/>
    <w:basedOn w:val="Normal"/>
    <w:uiPriority w:val="34"/>
    <w:qFormat/>
    <w:pPr>
      <w:spacing w:before="0" w:after="0"/>
      <w:ind w:left="720"/>
      <w:contextualSpacing/>
    </w:pPr>
    <w:rPr/>
  </w:style>
  <w:style w:type="paragraph" w:styleId="PlainText" w:customStyle="1">
    <w:name w:val="Plain Text"/>
    <w:qFormat/>
    <w:pPr>
      <w:keepNext w:val="false"/>
      <w:keepLines w:val="false"/>
      <w:pageBreakBefore w:val="false"/>
      <w:widowControl/>
      <w:shd w:val="nil" w:color="000000"/>
      <w:suppressAutoHyphens w:val="true"/>
      <w:bidi w:val="0"/>
      <w:spacing w:lineRule="auto" w:line="240" w:beforeAutospacing="0" w:before="0" w:afterAutospacing="0" w:after="0"/>
      <w:ind w:hanging="0" w:left="0" w:right="0"/>
      <w:jc w:val="left"/>
    </w:pPr>
    <w:rPr>
      <w:rFonts w:ascii="Courier New" w:hAnsi="Courier New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vanish w:val="false"/>
      <w:color w:val="auto"/>
      <w:spacing w:val="0"/>
      <w:kern w:val="0"/>
      <w:position w:val="0"/>
      <w:sz w:val="20"/>
      <w:sz w:val="20"/>
      <w:szCs w:val="20"/>
      <w:u w:val="none"/>
      <w:vertAlign w:val="baseline"/>
      <w:lang w:val="ru-RU" w:eastAsia="ru-RU" w:bidi="ar-SA"/>
      <w14:ligatures w14:val="none"/>
    </w:rPr>
  </w:style>
  <w:style w:type="paragraph" w:styleId="Style18">
    <w:name w:val="Содержимое врезки"/>
    <w:basedOn w:val="Normal"/>
    <w:qFormat/>
    <w:pPr/>
    <w:rPr/>
  </w:style>
  <w:style w:type="paragraph" w:styleId="Style19">
    <w:name w:val="Содержимое таблицы"/>
    <w:basedOn w:val="Normal"/>
    <w:qFormat/>
    <w:pPr>
      <w:widowControl w:val="false"/>
      <w:suppressLineNumbers/>
    </w:pPr>
    <w:rPr/>
  </w:style>
  <w:style w:type="paragraph" w:styleId="Style20">
    <w:name w:val="Заголовок таблицы"/>
    <w:basedOn w:val="Style19"/>
    <w:qFormat/>
    <w:pPr>
      <w:suppressLineNumbers/>
      <w:jc w:val="center"/>
    </w:pPr>
    <w:rPr>
      <w:b/>
      <w:bCs/>
    </w:rPr>
  </w:style>
  <w:style w:type="numbering" w:styleId="Style21">
    <w:name w:val="Нет списка"/>
    <w:semiHidden/>
    <w:qFormat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footer" Target="footer3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Application>LibreOffice/7.6.7.2$Linux_X86_64 LibreOffice_project/60$Build-2</Application>
  <AppVersion>15.0000</AppVersion>
  <Pages>2</Pages>
  <Words>530</Words>
  <Characters>4047</Characters>
  <CharactersWithSpaces>5020</CharactersWithSpaces>
  <Paragraphs>53</Paragraphs>
  <Company>Деп. имущественных отношений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2020-04-06T08:28:00Z</dcterms:created>
  <dc:creator>bna</dc:creator>
  <dc:description/>
  <dc:language>ru-RU</dc:language>
  <cp:lastModifiedBy/>
  <cp:lastPrinted>2025-02-03T16:26:51Z</cp:lastPrinted>
  <dcterms:modified xsi:type="dcterms:W3CDTF">2025-02-03T16:26:30Z</dcterms:modified>
  <cp:revision>98</cp:revision>
  <dc:subject/>
  <dc:title>Департамент имущественных отношений</dc:title>
  <cp:version>1048576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