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hanging="0" w:left="284"/>
        <w:jc w:val="right"/>
        <w:outlineLvl w:val="0"/>
        <w:rPr>
          <w:rFonts w:ascii="Tahoma" w:hAnsi="Tahoma" w:eastAsia="Times New Roman" w:cs="Tahoma"/>
          <w:sz w:val="16"/>
          <w:szCs w:val="16"/>
          <w:lang w:eastAsia="ru-RU"/>
        </w:rPr>
      </w:pPr>
      <w:r>
        <w:rPr/>
      </w:r>
    </w:p>
    <w:p>
      <w:pPr>
        <w:pStyle w:val="Normal"/>
        <w:numPr>
          <w:ilvl w:val="0"/>
          <w:numId w:val="0"/>
        </w:numPr>
        <w:ind w:hanging="0" w:left="284"/>
        <w:jc w:val="right"/>
        <w:outlineLvl w:val="0"/>
        <w:rPr>
          <w:rFonts w:ascii="Tahoma" w:hAnsi="Tahoma" w:eastAsia="Times New Roman" w:cs="Tahoma"/>
          <w:sz w:val="16"/>
          <w:szCs w:val="16"/>
          <w:lang w:eastAsia="ru-RU"/>
        </w:rPr>
      </w:pPr>
      <w:r>
        <w:rPr/>
      </w:r>
    </w:p>
    <w:p>
      <w:pPr>
        <w:pStyle w:val="Normal"/>
        <w:ind w:firstLine="4820" w:right="-2"/>
        <w:rPr/>
      </w:pPr>
      <w:r>
        <w:rPr/>
        <w:t xml:space="preserve">Приложение </w:t>
      </w:r>
      <w:r>
        <w:rPr/>
        <w:t>5</w:t>
      </w:r>
      <w:r>
        <w:rPr/>
        <w:t xml:space="preserve"> к извещению</w:t>
      </w:r>
    </w:p>
    <w:p>
      <w:pPr>
        <w:pStyle w:val="Normal"/>
        <w:ind w:firstLine="4820" w:right="-2"/>
        <w:rPr/>
      </w:pPr>
      <w:r>
        <w:rPr/>
        <w:t xml:space="preserve">о проведении </w:t>
      </w:r>
      <w:r>
        <w:rPr/>
        <w:t>13</w:t>
      </w:r>
      <w:r>
        <w:rPr/>
        <w:t xml:space="preserve">.03.2025 электронных аукционов </w:t>
      </w:r>
    </w:p>
    <w:p>
      <w:pPr>
        <w:pStyle w:val="Normal"/>
        <w:ind w:hanging="0" w:left="4820" w:right="-2"/>
        <w:rPr>
          <w:rFonts w:ascii="Times New Roman" w:hAnsi="Times New Roman" w:cs="Times New Roman"/>
          <w:szCs w:val="20"/>
        </w:rPr>
      </w:pPr>
      <w:r>
        <w:rPr>
          <w:rFonts w:cs="Times New Roman"/>
          <w:szCs w:val="20"/>
        </w:rPr>
        <w:t>по продаже земельных участков</w:t>
      </w:r>
    </w:p>
    <w:p>
      <w:pPr>
        <w:pStyle w:val="Normal"/>
        <w:numPr>
          <w:ilvl w:val="0"/>
          <w:numId w:val="0"/>
        </w:numPr>
        <w:ind w:hanging="0" w:left="284"/>
        <w:jc w:val="right"/>
        <w:outlineLvl w:val="0"/>
        <w:rPr>
          <w:rFonts w:ascii="Tahoma" w:hAnsi="Tahoma" w:eastAsia="Times New Roman" w:cs="Tahoma"/>
          <w:sz w:val="16"/>
          <w:szCs w:val="16"/>
          <w:lang w:eastAsia="ru-RU"/>
        </w:rPr>
      </w:pPr>
      <w:r>
        <w:rPr/>
      </w:r>
    </w:p>
    <w:p>
      <w:pPr>
        <w:pStyle w:val="Normal"/>
        <w:numPr>
          <w:ilvl w:val="0"/>
          <w:numId w:val="0"/>
        </w:numPr>
        <w:ind w:hanging="0" w:left="284"/>
        <w:jc w:val="right"/>
        <w:outlineLvl w:val="0"/>
        <w:rPr>
          <w:rFonts w:ascii="Tahoma" w:hAnsi="Tahoma" w:eastAsia="Times New Roman" w:cs="Tahoma"/>
          <w:sz w:val="16"/>
          <w:szCs w:val="16"/>
          <w:lang w:eastAsia="ru-RU"/>
        </w:rPr>
      </w:pPr>
      <w:r>
        <w:rPr/>
      </w:r>
    </w:p>
    <w:p>
      <w:pPr>
        <w:pStyle w:val="Normal"/>
        <w:numPr>
          <w:ilvl w:val="0"/>
          <w:numId w:val="0"/>
        </w:numPr>
        <w:ind w:hanging="0" w:left="284"/>
        <w:jc w:val="right"/>
        <w:outlineLvl w:val="0"/>
        <w:rPr>
          <w:rFonts w:ascii="Tahoma" w:hAnsi="Tahoma" w:eastAsia="Times New Roman" w:cs="Tahoma"/>
          <w:sz w:val="16"/>
          <w:szCs w:val="16"/>
          <w:lang w:eastAsia="ru-RU"/>
        </w:rPr>
      </w:pPr>
      <w:r>
        <w:rPr/>
      </w:r>
    </w:p>
    <w:p>
      <w:pPr>
        <w:pStyle w:val="Normal"/>
        <w:numPr>
          <w:ilvl w:val="0"/>
          <w:numId w:val="0"/>
        </w:numPr>
        <w:ind w:hanging="0" w:left="284"/>
        <w:jc w:val="right"/>
        <w:outlineLvl w:val="0"/>
        <w:rPr>
          <w:rFonts w:ascii="Tahoma" w:hAnsi="Tahoma" w:eastAsia="Times New Roman" w:cs="Tahoma"/>
          <w:sz w:val="16"/>
          <w:szCs w:val="16"/>
          <w:lang w:eastAsia="ru-RU"/>
        </w:rPr>
      </w:pPr>
      <w:r>
        <w:rPr/>
      </w:r>
    </w:p>
    <w:p>
      <w:pPr>
        <w:pStyle w:val="Normal"/>
        <w:numPr>
          <w:ilvl w:val="0"/>
          <w:numId w:val="0"/>
        </w:numPr>
        <w:ind w:hanging="0" w:left="284"/>
        <w:jc w:val="right"/>
        <w:outlineLvl w:val="0"/>
        <w:rPr>
          <w:rFonts w:ascii="Tahoma" w:hAnsi="Tahoma" w:eastAsia="Times New Roman" w:cs="Tahoma"/>
          <w:sz w:val="16"/>
          <w:szCs w:val="16"/>
          <w:lang w:eastAsia="ru-RU"/>
        </w:rPr>
      </w:pPr>
      <w:r>
        <w:rPr/>
      </w:r>
    </w:p>
    <w:p>
      <w:pPr>
        <w:pStyle w:val="Normal"/>
        <w:numPr>
          <w:ilvl w:val="0"/>
          <w:numId w:val="0"/>
        </w:numPr>
        <w:ind w:hanging="0" w:left="284"/>
        <w:jc w:val="right"/>
        <w:outlineLvl w:val="0"/>
        <w:rPr>
          <w:rFonts w:ascii="Tahoma" w:hAnsi="Tahoma" w:eastAsia="Times New Roman" w:cs="Tahoma"/>
          <w:sz w:val="16"/>
          <w:szCs w:val="16"/>
          <w:lang w:eastAsia="ru-RU"/>
        </w:rPr>
      </w:pPr>
      <w:bookmarkStart w:id="0" w:name="Par602"/>
      <w:bookmarkEnd w:id="0"/>
      <w:r>
        <w:rPr>
          <w:rFonts w:eastAsia="Times New Roman" w:cs="Tahoma" w:ascii="Tahoma" w:hAnsi="Tahoma"/>
          <w:sz w:val="16"/>
          <w:szCs w:val="16"/>
          <w:lang w:val="en-US" w:eastAsia="ru-RU"/>
        </w:rPr>
        <w:t>id</w:t>
      </w:r>
      <w:r>
        <w:rPr>
          <w:rFonts w:eastAsia="Times New Roman" w:cs="Tahoma" w:ascii="Tahoma" w:hAnsi="Tahoma"/>
          <w:sz w:val="16"/>
          <w:szCs w:val="16"/>
          <w:lang w:eastAsia="ru-RU"/>
        </w:rPr>
        <w:t xml:space="preserve">  78692</w:t>
      </w:r>
    </w:p>
    <w:p>
      <w:pPr>
        <w:pStyle w:val="Normal"/>
        <w:numPr>
          <w:ilvl w:val="0"/>
          <w:numId w:val="0"/>
        </w:numPr>
        <w:ind w:hanging="0" w:left="284"/>
        <w:jc w:val="right"/>
        <w:outlineLvl w:val="0"/>
        <w:rPr>
          <w:rFonts w:ascii="Tahoma" w:hAnsi="Tahoma" w:eastAsia="Times New Roman" w:cs="Tahoma"/>
          <w:sz w:val="16"/>
          <w:szCs w:val="16"/>
          <w:lang w:eastAsia="ru-RU"/>
        </w:rPr>
      </w:pPr>
      <w:r>
        <w:rPr>
          <w:rFonts w:eastAsia="Times New Roman" w:cs="Tahoma" w:ascii="Tahoma" w:hAnsi="Tahoma"/>
          <w:sz w:val="16"/>
          <w:szCs w:val="16"/>
          <w:lang w:eastAsia="ru-RU"/>
        </w:rPr>
      </w:r>
    </w:p>
    <w:p>
      <w:pPr>
        <w:pStyle w:val="Normal"/>
        <w:widowControl w:val="false"/>
        <w:ind w:firstLine="539"/>
        <w:jc w:val="center"/>
        <w:rPr>
          <w:rFonts w:eastAsia="Times New Roman"/>
          <w:b/>
          <w:sz w:val="24"/>
          <w:szCs w:val="24"/>
          <w:lang w:eastAsia="ru-RU"/>
        </w:rPr>
      </w:pPr>
      <w:bookmarkStart w:id="1" w:name="Par612"/>
      <w:bookmarkEnd w:id="1"/>
      <w:r>
        <w:rPr>
          <w:rFonts w:eastAsia="Times New Roman"/>
          <w:b/>
          <w:sz w:val="24"/>
          <w:szCs w:val="24"/>
          <w:lang w:eastAsia="ru-RU"/>
        </w:rPr>
        <w:t xml:space="preserve">ДОГОВОР № </w:t>
      </w:r>
      <w:r>
        <w:rPr>
          <w:rFonts w:eastAsia="Times New Roman"/>
          <w:b/>
          <w:sz w:val="24"/>
          <w:szCs w:val="24"/>
          <w:u w:val="single"/>
          <w:lang w:eastAsia="ru-RU"/>
        </w:rPr>
        <w:t xml:space="preserve"> ______</w:t>
      </w:r>
      <w:r>
        <w:rPr>
          <w:rFonts w:eastAsia="Times New Roman"/>
          <w:b/>
          <w:sz w:val="24"/>
          <w:szCs w:val="24"/>
          <w:lang w:eastAsia="ru-RU"/>
        </w:rPr>
        <w:tab/>
      </w:r>
    </w:p>
    <w:p>
      <w:pPr>
        <w:pStyle w:val="Normal"/>
        <w:jc w:val="center"/>
        <w:rPr>
          <w:rFonts w:eastAsia="Times New Roman"/>
          <w:b/>
          <w:sz w:val="24"/>
          <w:szCs w:val="24"/>
          <w:lang w:eastAsia="ru-RU"/>
        </w:rPr>
      </w:pPr>
      <w:r>
        <w:rPr>
          <w:rFonts w:eastAsia="Times New Roman"/>
          <w:b/>
          <w:sz w:val="24"/>
          <w:szCs w:val="24"/>
          <w:lang w:eastAsia="ru-RU"/>
        </w:rPr>
        <w:t xml:space="preserve">купли-продажи земельного участка, приобретаемого </w:t>
        <w:br/>
        <w:t>на торгах в форме аукциона</w:t>
      </w:r>
    </w:p>
    <w:p>
      <w:pPr>
        <w:pStyle w:val="Normal"/>
        <w:rPr/>
      </w:pPr>
      <w:r>
        <w:rPr/>
      </w:r>
    </w:p>
    <w:p>
      <w:pPr>
        <w:pStyle w:val="Normal"/>
        <w:rPr/>
      </w:pPr>
      <w:r>
        <w:rPr/>
      </w:r>
    </w:p>
    <w:p>
      <w:pPr>
        <w:pStyle w:val="Normal"/>
        <w:tabs>
          <w:tab w:val="clear" w:pos="708"/>
          <w:tab w:val="left" w:pos="9214" w:leader="none"/>
          <w:tab w:val="left" w:pos="10065" w:leader="none"/>
        </w:tabs>
        <w:ind w:firstLine="567"/>
        <w:jc w:val="left"/>
        <w:rPr>
          <w:rFonts w:eastAsia="Times New Roman"/>
          <w:bCs/>
          <w:sz w:val="24"/>
          <w:szCs w:val="24"/>
          <w:u w:val="single"/>
          <w:lang w:eastAsia="ru-RU"/>
        </w:rPr>
      </w:pPr>
      <w:r>
        <w:rPr>
          <w:rFonts w:eastAsia="Times New Roman"/>
          <w:bCs/>
          <w:sz w:val="24"/>
          <w:szCs w:val="24"/>
          <w:lang w:eastAsia="ru-RU"/>
        </w:rPr>
        <w:t>г. Пермь                                                                                              «    » __________ 2024 г.</w:t>
      </w:r>
    </w:p>
    <w:p>
      <w:pPr>
        <w:pStyle w:val="Normal"/>
        <w:rPr>
          <w:sz w:val="24"/>
          <w:szCs w:val="24"/>
        </w:rPr>
      </w:pPr>
      <w:r>
        <w:rPr>
          <w:sz w:val="24"/>
          <w:szCs w:val="24"/>
        </w:rPr>
      </w:r>
    </w:p>
    <w:p>
      <w:pPr>
        <w:pStyle w:val="Normal"/>
        <w:rPr>
          <w:sz w:val="24"/>
          <w:szCs w:val="24"/>
        </w:rPr>
      </w:pPr>
      <w:r>
        <w:rPr>
          <w:sz w:val="24"/>
          <w:szCs w:val="24"/>
        </w:rPr>
        <w:t xml:space="preserve">Департамент земельных отношений администрации города Перми, именуемый </w:t>
        <w:br/>
        <w:t xml:space="preserve">в дальнейшем Продавец, в лице _____________________, действующего на основании ______________________________, с одной стороны, и ___________________, именуемый(ая) в дальнейшем Покупатель, в лице ________________, действующего </w:t>
        <w:br/>
        <w:t xml:space="preserve">на основании __________________, протокола ___________________ от _________ по лоту </w:t>
        <w:br/>
        <w:t>№ ______ (далее - протокол), с другой стороны, совместно именуемые «Стороны», заключили настоящий договор о следующем.</w:t>
      </w:r>
    </w:p>
    <w:p>
      <w:pPr>
        <w:pStyle w:val="Normal"/>
        <w:jc w:val="center"/>
        <w:rPr>
          <w:b/>
          <w:sz w:val="24"/>
          <w:szCs w:val="24"/>
        </w:rPr>
      </w:pPr>
      <w:r>
        <w:rPr>
          <w:b/>
          <w:sz w:val="24"/>
          <w:szCs w:val="24"/>
        </w:rPr>
      </w:r>
    </w:p>
    <w:p>
      <w:pPr>
        <w:pStyle w:val="Normal"/>
        <w:jc w:val="center"/>
        <w:rPr>
          <w:b/>
          <w:sz w:val="24"/>
          <w:szCs w:val="24"/>
        </w:rPr>
      </w:pPr>
      <w:r>
        <w:rPr>
          <w:b/>
          <w:sz w:val="24"/>
          <w:szCs w:val="24"/>
          <w:lang w:val="en-US"/>
        </w:rPr>
        <w:t>I</w:t>
      </w:r>
      <w:r>
        <w:rPr>
          <w:b/>
          <w:sz w:val="24"/>
          <w:szCs w:val="24"/>
        </w:rPr>
        <w:t>. Предмет договора</w:t>
      </w:r>
    </w:p>
    <w:p>
      <w:pPr>
        <w:pStyle w:val="Normal"/>
        <w:rPr>
          <w:sz w:val="24"/>
          <w:szCs w:val="24"/>
        </w:rPr>
      </w:pPr>
      <w:r>
        <w:rPr>
          <w:sz w:val="24"/>
          <w:szCs w:val="24"/>
        </w:rPr>
      </w:r>
    </w:p>
    <w:p>
      <w:pPr>
        <w:pStyle w:val="Normal"/>
        <w:rPr>
          <w:b/>
          <w:sz w:val="24"/>
          <w:szCs w:val="24"/>
        </w:rPr>
      </w:pPr>
      <w:r>
        <w:rPr>
          <w:sz w:val="24"/>
          <w:szCs w:val="24"/>
        </w:rPr>
        <w:t xml:space="preserve">1.1. Во исполнение протокола Продавец обязуется передать в собственность Покупателю </w:t>
      </w:r>
      <w:r>
        <w:rPr>
          <w:b/>
          <w:sz w:val="24"/>
          <w:szCs w:val="24"/>
        </w:rPr>
        <w:t>земельный участок площадью 1311 кв.м</w:t>
      </w:r>
      <w:r>
        <w:rPr>
          <w:sz w:val="24"/>
          <w:szCs w:val="24"/>
        </w:rPr>
        <w:t xml:space="preserve"> с кадастровым номером </w:t>
      </w:r>
      <w:r>
        <w:rPr>
          <w:b/>
          <w:sz w:val="24"/>
          <w:szCs w:val="24"/>
        </w:rPr>
        <w:t xml:space="preserve">59:01:4411069:630 </w:t>
      </w:r>
      <w:r>
        <w:rPr>
          <w:sz w:val="24"/>
          <w:szCs w:val="24"/>
        </w:rPr>
        <w:t xml:space="preserve">за счет земель населенных пунктов, расположенный по адресу: </w:t>
      </w:r>
      <w:r>
        <w:rPr>
          <w:b/>
          <w:sz w:val="24"/>
          <w:szCs w:val="24"/>
        </w:rPr>
        <w:t>Российская Федерация, край Пермский, городской округ Пермский, город Пермь, улица Бахаревская, з/у 42а (далее - земельный участок),</w:t>
      </w:r>
      <w:r>
        <w:rPr>
          <w:sz w:val="24"/>
          <w:szCs w:val="24"/>
        </w:rPr>
        <w:t xml:space="preserve"> предназначенный </w:t>
      </w:r>
      <w:r>
        <w:rPr>
          <w:b/>
          <w:sz w:val="24"/>
          <w:szCs w:val="24"/>
        </w:rPr>
        <w:t>для индивидуального жилищного строительства</w:t>
      </w:r>
      <w:r>
        <w:rPr>
          <w:sz w:val="24"/>
          <w:szCs w:val="24"/>
        </w:rPr>
        <w:t>, а Покупатель обязуется принять и оплатить указанное имущество.</w:t>
      </w:r>
    </w:p>
    <w:p>
      <w:pPr>
        <w:pStyle w:val="Normal"/>
        <w:rPr>
          <w:sz w:val="24"/>
          <w:szCs w:val="24"/>
        </w:rPr>
      </w:pPr>
      <w:r>
        <w:rPr>
          <w:sz w:val="24"/>
          <w:szCs w:val="24"/>
        </w:rPr>
        <w:t>Земельный участок расположен в территориальной зоне индивидуальной усадебной жилой застройки (Ж-5).</w:t>
      </w:r>
    </w:p>
    <w:p>
      <w:pPr>
        <w:pStyle w:val="Normal"/>
        <w:rPr>
          <w:sz w:val="24"/>
          <w:szCs w:val="24"/>
        </w:rPr>
      </w:pPr>
      <w:r>
        <w:rPr>
          <w:sz w:val="24"/>
          <w:szCs w:val="24"/>
        </w:rPr>
        <w:t>Земельный участок частично входит в санитарно-защитную зону – Бахаревский элеватор.</w:t>
      </w:r>
    </w:p>
    <w:p>
      <w:pPr>
        <w:pStyle w:val="Normal"/>
        <w:rPr>
          <w:sz w:val="24"/>
          <w:szCs w:val="24"/>
        </w:rPr>
      </w:pPr>
      <w:r>
        <w:rPr>
          <w:sz w:val="24"/>
          <w:szCs w:val="24"/>
        </w:rPr>
        <w:t>Земельный участок входит в зону с особыми условиями использования территорий – приаэродромная территория аэродрома аэропорта Большое Савино.</w:t>
      </w:r>
      <w:bookmarkStart w:id="2" w:name="Par633"/>
      <w:bookmarkEnd w:id="2"/>
    </w:p>
    <w:p>
      <w:pPr>
        <w:pStyle w:val="Normal"/>
        <w:rPr>
          <w:sz w:val="24"/>
          <w:szCs w:val="24"/>
        </w:rPr>
      </w:pPr>
      <w:r>
        <w:rPr>
          <w:sz w:val="24"/>
          <w:szCs w:val="24"/>
        </w:rPr>
        <w:t xml:space="preserve">Земельный участок частично входит в зону санитарной охраны водозаборной скважины № 1 усл. Железнодорожной станции Бахаревка Пермского территориального участка Свердловской дирекции по тепловодоснабжению (Свердловский район г. Пермь) </w:t>
        <w:br/>
        <w:t>(3 пояс).</w:t>
      </w:r>
    </w:p>
    <w:p>
      <w:pPr>
        <w:pStyle w:val="Normal"/>
        <w:rPr>
          <w:sz w:val="24"/>
          <w:szCs w:val="24"/>
        </w:rPr>
      </w:pPr>
      <w:r>
        <w:rPr>
          <w:sz w:val="24"/>
          <w:szCs w:val="24"/>
        </w:rPr>
        <w:t>В границах земельного участка расположены следующие объекты некапитального типа: деревянный забор, две разборные теплицы, две хозяйственные постройки. Покупатель не имеет претензий к Продавцу в связи с наличием на земельном участке объектов некапитального типа.</w:t>
      </w:r>
    </w:p>
    <w:p>
      <w:pPr>
        <w:pStyle w:val="Normal"/>
        <w:spacing w:before="0" w:after="0"/>
        <w:ind w:firstLine="720"/>
        <w:contextualSpacing/>
        <w:rPr>
          <w:sz w:val="24"/>
          <w:szCs w:val="24"/>
        </w:rPr>
      </w:pPr>
      <w:r>
        <w:rPr>
          <w:sz w:val="24"/>
          <w:szCs w:val="24"/>
        </w:rPr>
        <w:t>Покупатель вправе осуществить демонтаж указанных объектов некапитального типа за счет собственных средств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 или иной функциональный орган или подразделение администрации города Перми.</w:t>
      </w:r>
    </w:p>
    <w:p>
      <w:pPr>
        <w:pStyle w:val="Normal"/>
        <w:ind w:firstLine="709"/>
        <w:rPr>
          <w:sz w:val="24"/>
          <w:szCs w:val="24"/>
        </w:rPr>
      </w:pPr>
      <w:r>
        <w:rPr>
          <w:sz w:val="24"/>
          <w:szCs w:val="24"/>
        </w:rPr>
        <w:t xml:space="preserve">В границах земельного участка произрастают 5 деревьев породы: клен – 3 шт., осина  </w:t>
        <w:br/>
        <w:t>– 2 шт.</w:t>
      </w:r>
    </w:p>
    <w:p>
      <w:pPr>
        <w:pStyle w:val="Normal"/>
        <w:spacing w:before="0" w:after="0"/>
        <w:ind w:firstLine="720"/>
        <w:contextualSpacing/>
        <w:rPr>
          <w:sz w:val="24"/>
          <w:szCs w:val="24"/>
        </w:rPr>
      </w:pPr>
      <w:r>
        <w:rPr>
          <w:sz w:val="24"/>
          <w:szCs w:val="24"/>
        </w:rPr>
        <w:t xml:space="preserve">1.2. Разрешенное использование - </w:t>
      </w:r>
      <w:r>
        <w:rPr>
          <w:b/>
          <w:sz w:val="24"/>
          <w:szCs w:val="24"/>
        </w:rPr>
        <w:t>для индивидуального жилищного строительства (2.1).</w:t>
      </w:r>
    </w:p>
    <w:p>
      <w:pPr>
        <w:pStyle w:val="Normal"/>
        <w:jc w:val="center"/>
        <w:rPr>
          <w:b/>
          <w:sz w:val="24"/>
          <w:szCs w:val="24"/>
        </w:rPr>
      </w:pPr>
      <w:r>
        <w:rPr>
          <w:b/>
          <w:sz w:val="24"/>
          <w:szCs w:val="24"/>
          <w:lang w:val="en-US"/>
        </w:rPr>
        <w:t>II</w:t>
      </w:r>
      <w:r>
        <w:rPr>
          <w:b/>
          <w:sz w:val="24"/>
          <w:szCs w:val="24"/>
        </w:rPr>
        <w:t>. Стоимость сделки и порядок оплаты</w:t>
      </w:r>
    </w:p>
    <w:p>
      <w:pPr>
        <w:pStyle w:val="Normal"/>
        <w:rPr>
          <w:sz w:val="24"/>
          <w:szCs w:val="24"/>
        </w:rPr>
      </w:pPr>
      <w:r>
        <w:rPr>
          <w:sz w:val="24"/>
          <w:szCs w:val="24"/>
        </w:rPr>
      </w:r>
      <w:bookmarkStart w:id="3" w:name="Par635"/>
      <w:bookmarkStart w:id="4" w:name="Par635"/>
      <w:bookmarkEnd w:id="4"/>
    </w:p>
    <w:p>
      <w:pPr>
        <w:pStyle w:val="Normal"/>
        <w:rPr>
          <w:b/>
          <w:sz w:val="24"/>
          <w:szCs w:val="24"/>
        </w:rPr>
      </w:pPr>
      <w:r>
        <w:rPr>
          <w:sz w:val="24"/>
          <w:szCs w:val="24"/>
        </w:rPr>
        <w:t xml:space="preserve">2.1. Цена земельного участка составляет </w:t>
      </w:r>
      <w:bookmarkStart w:id="5" w:name="Par637"/>
      <w:bookmarkEnd w:id="5"/>
      <w:r>
        <w:rPr>
          <w:b/>
          <w:sz w:val="24"/>
          <w:szCs w:val="24"/>
        </w:rPr>
        <w:t>___________________  рублей (________________________________________________________________ рублей ___ копеек).</w:t>
      </w:r>
    </w:p>
    <w:p>
      <w:pPr>
        <w:pStyle w:val="Normal"/>
        <w:rPr>
          <w:sz w:val="24"/>
          <w:szCs w:val="24"/>
        </w:rPr>
      </w:pPr>
      <w:r>
        <w:rPr>
          <w:sz w:val="24"/>
          <w:szCs w:val="24"/>
        </w:rPr>
        <w:t>2.2. Покупатель перечисляет денежные средства, определенные в пункте 2.1 настоящего договора, в порядке, установленном разделом 4 настоящего договора.</w:t>
      </w:r>
    </w:p>
    <w:p>
      <w:pPr>
        <w:pStyle w:val="Normal"/>
        <w:rPr>
          <w:sz w:val="24"/>
          <w:szCs w:val="24"/>
        </w:rPr>
      </w:pPr>
      <w:r>
        <w:rPr>
          <w:sz w:val="24"/>
          <w:szCs w:val="24"/>
        </w:rPr>
        <w:t xml:space="preserve">2.3. Сумма задатка, внесенная Покупателем для участия в аукционе, засчитывается </w:t>
        <w:br/>
        <w:t>в оплату приобретаемого земельного участка.</w:t>
      </w:r>
    </w:p>
    <w:p>
      <w:pPr>
        <w:pStyle w:val="Normal"/>
        <w:jc w:val="center"/>
        <w:rPr>
          <w:b/>
          <w:sz w:val="24"/>
          <w:szCs w:val="24"/>
        </w:rPr>
      </w:pPr>
      <w:r>
        <w:rPr>
          <w:b/>
          <w:sz w:val="24"/>
          <w:szCs w:val="24"/>
          <w:lang w:val="en-US"/>
        </w:rPr>
        <w:t>III</w:t>
      </w:r>
      <w:r>
        <w:rPr>
          <w:b/>
          <w:sz w:val="24"/>
          <w:szCs w:val="24"/>
        </w:rPr>
        <w:t>. Обязанности сторон</w:t>
      </w:r>
    </w:p>
    <w:p>
      <w:pPr>
        <w:pStyle w:val="Normal"/>
        <w:rPr>
          <w:sz w:val="24"/>
          <w:szCs w:val="24"/>
        </w:rPr>
      </w:pPr>
      <w:r>
        <w:rPr>
          <w:sz w:val="24"/>
          <w:szCs w:val="24"/>
        </w:rPr>
      </w:r>
    </w:p>
    <w:p>
      <w:pPr>
        <w:pStyle w:val="Normal"/>
        <w:rPr>
          <w:sz w:val="24"/>
          <w:szCs w:val="24"/>
        </w:rPr>
      </w:pPr>
      <w:r>
        <w:rPr>
          <w:sz w:val="24"/>
          <w:szCs w:val="24"/>
        </w:rPr>
        <w:t xml:space="preserve">3.1. Продавец обязуется передать земельный участок свободным от любых прав </w:t>
        <w:br/>
        <w:t>и претензий третьих лиц, о которых в момент заключения договора Продавец знал или должен был знать, по акту приема-передачи земельного участка.</w:t>
      </w:r>
    </w:p>
    <w:p>
      <w:pPr>
        <w:pStyle w:val="Normal"/>
        <w:rPr>
          <w:sz w:val="24"/>
          <w:szCs w:val="24"/>
        </w:rPr>
      </w:pPr>
      <w:r>
        <w:rPr>
          <w:sz w:val="24"/>
          <w:szCs w:val="24"/>
        </w:rPr>
        <w:t>3.2. Покупатель обязуется:</w:t>
      </w:r>
    </w:p>
    <w:p>
      <w:pPr>
        <w:pStyle w:val="Normal"/>
        <w:rPr>
          <w:sz w:val="24"/>
          <w:szCs w:val="24"/>
        </w:rPr>
      </w:pPr>
      <w:r>
        <w:rPr>
          <w:sz w:val="24"/>
          <w:szCs w:val="24"/>
        </w:rPr>
        <w:t>3.2.1. оплатить стоимость земельного участка в соответствии с требованиями, содержащимися в разделе 2 настоящего договора;</w:t>
      </w:r>
    </w:p>
    <w:p>
      <w:pPr>
        <w:pStyle w:val="Normal"/>
        <w:rPr>
          <w:sz w:val="24"/>
          <w:szCs w:val="24"/>
        </w:rPr>
      </w:pPr>
      <w:r>
        <w:rPr>
          <w:sz w:val="24"/>
          <w:szCs w:val="24"/>
        </w:rPr>
        <w:t>3.2.2. принять земельный участок в собственность по акту приема-передачи;</w:t>
      </w:r>
    </w:p>
    <w:p>
      <w:pPr>
        <w:pStyle w:val="Normal"/>
        <w:rPr>
          <w:sz w:val="24"/>
          <w:szCs w:val="24"/>
        </w:rPr>
      </w:pPr>
      <w:r>
        <w:rPr>
          <w:sz w:val="24"/>
          <w:szCs w:val="24"/>
        </w:rPr>
        <w:t xml:space="preserve">3.2.3. производить мероприятия в целях охраны земельного участка, в том числе </w:t>
        <w:br/>
        <w:t>по сохранению почв и их плодородия, по защите земель от негативных (вредных) воздействий,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pPr>
        <w:pStyle w:val="Normal"/>
        <w:rPr>
          <w:sz w:val="24"/>
          <w:szCs w:val="24"/>
        </w:rPr>
      </w:pPr>
      <w:r>
        <w:rPr>
          <w:sz w:val="24"/>
          <w:szCs w:val="24"/>
        </w:rPr>
        <w:t>3.2.4. соблюдать требования, предусмотренные Земельным кодексом Российской Федерации, федеральными законами.</w:t>
      </w:r>
    </w:p>
    <w:p>
      <w:pPr>
        <w:pStyle w:val="Normal"/>
        <w:rPr>
          <w:sz w:val="24"/>
          <w:szCs w:val="24"/>
        </w:rPr>
      </w:pPr>
      <w:r>
        <w:rPr>
          <w:sz w:val="24"/>
          <w:szCs w:val="24"/>
        </w:rPr>
      </w:r>
    </w:p>
    <w:p>
      <w:pPr>
        <w:pStyle w:val="Normal"/>
        <w:jc w:val="center"/>
        <w:rPr>
          <w:b/>
          <w:sz w:val="24"/>
          <w:szCs w:val="24"/>
        </w:rPr>
      </w:pPr>
      <w:r>
        <w:rPr>
          <w:b/>
          <w:sz w:val="24"/>
          <w:szCs w:val="24"/>
          <w:lang w:val="en-US"/>
        </w:rPr>
        <w:t>IV</w:t>
      </w:r>
      <w:r>
        <w:rPr>
          <w:b/>
          <w:sz w:val="24"/>
          <w:szCs w:val="24"/>
        </w:rPr>
        <w:t>. Порядок заключения договора</w:t>
      </w:r>
    </w:p>
    <w:p>
      <w:pPr>
        <w:pStyle w:val="Normal"/>
        <w:rPr>
          <w:sz w:val="24"/>
          <w:szCs w:val="24"/>
        </w:rPr>
      </w:pPr>
      <w:r>
        <w:rPr>
          <w:sz w:val="24"/>
          <w:szCs w:val="24"/>
        </w:rPr>
      </w:r>
    </w:p>
    <w:p>
      <w:pPr>
        <w:pStyle w:val="Normal"/>
        <w:rPr>
          <w:sz w:val="24"/>
          <w:szCs w:val="24"/>
        </w:rPr>
      </w:pPr>
      <w:r>
        <w:rPr>
          <w:sz w:val="24"/>
          <w:szCs w:val="24"/>
        </w:rPr>
        <w:t>4.1. Покупатель в течение 15 дней со дня размещения протокола перечисляет денежные средства, определенные в пункте 2.1 настоящего договора, на счет Продавца.</w:t>
      </w:r>
    </w:p>
    <w:p>
      <w:pPr>
        <w:pStyle w:val="Normal"/>
        <w:rPr>
          <w:sz w:val="24"/>
          <w:szCs w:val="24"/>
        </w:rPr>
      </w:pPr>
      <w:r>
        <w:rPr>
          <w:sz w:val="24"/>
          <w:szCs w:val="24"/>
        </w:rPr>
        <w:t>Реквизиты платежа:</w:t>
      </w:r>
    </w:p>
    <w:p>
      <w:pPr>
        <w:pStyle w:val="Normal"/>
        <w:rPr>
          <w:sz w:val="24"/>
          <w:szCs w:val="24"/>
        </w:rPr>
      </w:pPr>
      <w:r>
        <w:rPr>
          <w:sz w:val="24"/>
          <w:szCs w:val="24"/>
        </w:rPr>
        <w:t>Получатель: УФК по Пермскому краю (Департамент земельных отношений администрации г. Перми),</w:t>
      </w:r>
    </w:p>
    <w:p>
      <w:pPr>
        <w:pStyle w:val="Normal"/>
        <w:rPr>
          <w:sz w:val="24"/>
          <w:szCs w:val="24"/>
        </w:rPr>
      </w:pPr>
      <w:r>
        <w:rPr>
          <w:sz w:val="24"/>
          <w:szCs w:val="24"/>
        </w:rPr>
        <w:t>ИНН 5902293379 КПП 590201001 БИК 015773997 ОКТМО: 57701000</w:t>
      </w:r>
    </w:p>
    <w:p>
      <w:pPr>
        <w:pStyle w:val="Normal"/>
        <w:rPr>
          <w:sz w:val="24"/>
          <w:szCs w:val="24"/>
        </w:rPr>
      </w:pPr>
      <w:r>
        <w:rPr>
          <w:sz w:val="24"/>
          <w:szCs w:val="24"/>
        </w:rPr>
        <w:t xml:space="preserve">УФК по Пермскому краю (Департамент земельных отношений администрации </w:t>
        <w:br/>
        <w:t xml:space="preserve">г. Перми) ОТДЕЛЕНИЕ ПЕРМЬ БАНКА РОССИИ//УФК по Пермскому краю г. Пермь </w:t>
      </w:r>
    </w:p>
    <w:p>
      <w:pPr>
        <w:pStyle w:val="Normal"/>
        <w:rPr>
          <w:sz w:val="24"/>
          <w:szCs w:val="24"/>
        </w:rPr>
      </w:pPr>
      <w:r>
        <w:rPr>
          <w:sz w:val="24"/>
          <w:szCs w:val="24"/>
        </w:rPr>
        <w:t xml:space="preserve">Номер корреспондентского счета: 40102810145370000048  </w:t>
      </w:r>
    </w:p>
    <w:p>
      <w:pPr>
        <w:pStyle w:val="Normal"/>
        <w:rPr>
          <w:sz w:val="24"/>
          <w:szCs w:val="24"/>
        </w:rPr>
      </w:pPr>
      <w:r>
        <w:rPr>
          <w:sz w:val="24"/>
          <w:szCs w:val="24"/>
        </w:rPr>
        <w:t>Номер счета УФК по Пермскому краю: 03100643000000015600</w:t>
      </w:r>
    </w:p>
    <w:p>
      <w:pPr>
        <w:pStyle w:val="Normal"/>
        <w:rPr>
          <w:sz w:val="24"/>
          <w:szCs w:val="24"/>
        </w:rPr>
      </w:pPr>
      <w:r>
        <w:rPr>
          <w:sz w:val="24"/>
          <w:szCs w:val="24"/>
        </w:rPr>
        <w:t xml:space="preserve">КБК 99211406012040000430 Доходы от продажи земельных участков, государственная собственность на которые не разграничена и которые расположены </w:t>
        <w:br/>
        <w:t>в границах городских округов.</w:t>
      </w:r>
    </w:p>
    <w:p>
      <w:pPr>
        <w:pStyle w:val="Normal"/>
        <w:rPr>
          <w:sz w:val="24"/>
          <w:szCs w:val="24"/>
        </w:rPr>
      </w:pPr>
      <w:r>
        <w:rPr>
          <w:sz w:val="24"/>
          <w:szCs w:val="24"/>
        </w:rPr>
        <w:t>4.2. Продавец в течение 5 дней со дня истечения 10-дневного срока со дня размещения протокола направляет Покупателю подписанный проект договора.</w:t>
      </w:r>
    </w:p>
    <w:p>
      <w:pPr>
        <w:pStyle w:val="Normal"/>
        <w:rPr>
          <w:sz w:val="24"/>
          <w:szCs w:val="24"/>
        </w:rPr>
      </w:pPr>
      <w:r>
        <w:rPr>
          <w:sz w:val="24"/>
          <w:szCs w:val="24"/>
        </w:rPr>
        <w:t>4.3. После подписания Покупателем проекта договора Продавец в течение 5 дней направляет Покупателю подписанный акт приема-передачи земельного участка.</w:t>
      </w:r>
    </w:p>
    <w:p>
      <w:pPr>
        <w:pStyle w:val="Normal"/>
        <w:rPr>
          <w:sz w:val="24"/>
          <w:szCs w:val="24"/>
        </w:rPr>
      </w:pPr>
      <w:r>
        <w:rPr>
          <w:sz w:val="24"/>
          <w:szCs w:val="24"/>
        </w:rPr>
        <w:t>4.4. В случае отсутствия оплаты в размере, предусмотренном пунктом 2.1 настоящего договора, акт приема-передачи земельного участка не направляется Покупателю для подписания, договор считается незаключенным.</w:t>
      </w:r>
    </w:p>
    <w:p>
      <w:pPr>
        <w:pStyle w:val="Normal"/>
        <w:rPr>
          <w:sz w:val="24"/>
          <w:szCs w:val="24"/>
        </w:rPr>
      </w:pPr>
      <w:r>
        <w:rPr>
          <w:sz w:val="24"/>
          <w:szCs w:val="24"/>
        </w:rPr>
        <w:t>В случае нарушения срока, установленного в пункте 4.1 настоящего договора, Покупатель уплачивает Продавцу неустойку в размере 0,03 % от суммы, указанной в пункте 2.1 настоящего договора, за каждый день просрочки.</w:t>
      </w:r>
    </w:p>
    <w:p>
      <w:pPr>
        <w:pStyle w:val="Normal"/>
        <w:rPr>
          <w:sz w:val="24"/>
          <w:szCs w:val="24"/>
        </w:rPr>
      </w:pPr>
      <w:r>
        <w:rPr>
          <w:sz w:val="24"/>
          <w:szCs w:val="24"/>
        </w:rPr>
        <w:t>4.5.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pPr>
        <w:pStyle w:val="Normal"/>
        <w:rPr>
          <w:sz w:val="24"/>
          <w:szCs w:val="24"/>
        </w:rPr>
      </w:pPr>
      <w:r>
        <w:rPr>
          <w:sz w:val="24"/>
          <w:szCs w:val="24"/>
        </w:rPr>
      </w:r>
    </w:p>
    <w:p>
      <w:pPr>
        <w:pStyle w:val="Normal"/>
        <w:jc w:val="center"/>
        <w:rPr>
          <w:b/>
          <w:sz w:val="24"/>
          <w:szCs w:val="24"/>
        </w:rPr>
      </w:pPr>
      <w:r>
        <w:rPr>
          <w:b/>
          <w:sz w:val="24"/>
          <w:szCs w:val="24"/>
          <w:lang w:val="en-US"/>
        </w:rPr>
        <w:t>V</w:t>
      </w:r>
      <w:r>
        <w:rPr>
          <w:b/>
          <w:sz w:val="24"/>
          <w:szCs w:val="24"/>
        </w:rPr>
        <w:t>. Срок действия договора</w:t>
      </w:r>
    </w:p>
    <w:p>
      <w:pPr>
        <w:pStyle w:val="Normal"/>
        <w:rPr>
          <w:sz w:val="24"/>
          <w:szCs w:val="24"/>
        </w:rPr>
      </w:pPr>
      <w:r>
        <w:rPr>
          <w:sz w:val="24"/>
          <w:szCs w:val="24"/>
        </w:rPr>
      </w:r>
    </w:p>
    <w:p>
      <w:pPr>
        <w:pStyle w:val="Normal"/>
        <w:rPr>
          <w:sz w:val="24"/>
          <w:szCs w:val="24"/>
        </w:rPr>
      </w:pPr>
      <w:r>
        <w:rPr>
          <w:sz w:val="24"/>
          <w:szCs w:val="24"/>
        </w:rPr>
        <w:t xml:space="preserve">Настоящий договор считается заключенным с момента подписания Сторонами </w:t>
        <w:br/>
        <w:t>и действует до полного выполнения Сторонами своих обязательств.</w:t>
      </w:r>
    </w:p>
    <w:p>
      <w:pPr>
        <w:pStyle w:val="Normal"/>
        <w:rPr>
          <w:sz w:val="24"/>
          <w:szCs w:val="24"/>
        </w:rPr>
      </w:pPr>
      <w:r>
        <w:rPr>
          <w:sz w:val="24"/>
          <w:szCs w:val="24"/>
        </w:rPr>
      </w:r>
    </w:p>
    <w:p>
      <w:pPr>
        <w:pStyle w:val="Normal"/>
        <w:jc w:val="center"/>
        <w:rPr>
          <w:b/>
          <w:sz w:val="24"/>
          <w:szCs w:val="24"/>
        </w:rPr>
      </w:pPr>
      <w:bookmarkStart w:id="6" w:name="Par683"/>
      <w:bookmarkEnd w:id="6"/>
      <w:r>
        <w:rPr>
          <w:b/>
          <w:sz w:val="24"/>
          <w:szCs w:val="24"/>
          <w:lang w:val="en-US"/>
        </w:rPr>
        <w:t>VI</w:t>
      </w:r>
      <w:r>
        <w:rPr>
          <w:b/>
          <w:sz w:val="24"/>
          <w:szCs w:val="24"/>
        </w:rPr>
        <w:t>. Ответственность сторон</w:t>
      </w:r>
    </w:p>
    <w:p>
      <w:pPr>
        <w:pStyle w:val="Normal"/>
        <w:rPr>
          <w:sz w:val="24"/>
          <w:szCs w:val="24"/>
        </w:rPr>
      </w:pPr>
      <w:r>
        <w:rPr>
          <w:sz w:val="24"/>
          <w:szCs w:val="24"/>
        </w:rPr>
      </w:r>
    </w:p>
    <w:p>
      <w:pPr>
        <w:pStyle w:val="Normal"/>
        <w:rPr>
          <w:sz w:val="24"/>
          <w:szCs w:val="24"/>
        </w:rPr>
      </w:pPr>
      <w:r>
        <w:rPr>
          <w:sz w:val="24"/>
          <w:szCs w:val="24"/>
        </w:rPr>
        <w:t xml:space="preserve">Стороны несут ответственность за ненадлежащее выполнение условий договора </w:t>
        <w:br/>
        <w:t>в соответствии с действующим законодательством.</w:t>
      </w:r>
    </w:p>
    <w:p>
      <w:pPr>
        <w:pStyle w:val="Normal"/>
        <w:jc w:val="center"/>
        <w:rPr>
          <w:b/>
          <w:sz w:val="24"/>
          <w:szCs w:val="24"/>
        </w:rPr>
      </w:pPr>
      <w:bookmarkStart w:id="7" w:name="_GoBack"/>
      <w:bookmarkStart w:id="8" w:name="Par699"/>
      <w:bookmarkStart w:id="9" w:name="Par694"/>
      <w:bookmarkEnd w:id="7"/>
      <w:bookmarkEnd w:id="8"/>
      <w:bookmarkEnd w:id="9"/>
      <w:r>
        <w:rPr>
          <w:b/>
          <w:sz w:val="24"/>
          <w:szCs w:val="24"/>
          <w:lang w:val="en-US"/>
        </w:rPr>
        <w:t>VII</w:t>
      </w:r>
      <w:r>
        <w:rPr>
          <w:b/>
          <w:sz w:val="24"/>
          <w:szCs w:val="24"/>
        </w:rPr>
        <w:t>. Заключительные положения</w:t>
      </w:r>
    </w:p>
    <w:p>
      <w:pPr>
        <w:pStyle w:val="Normal"/>
        <w:rPr>
          <w:sz w:val="24"/>
          <w:szCs w:val="24"/>
        </w:rPr>
      </w:pPr>
      <w:r>
        <w:rPr>
          <w:sz w:val="24"/>
          <w:szCs w:val="24"/>
        </w:rPr>
      </w:r>
    </w:p>
    <w:p>
      <w:pPr>
        <w:pStyle w:val="Normal"/>
        <w:rPr>
          <w:sz w:val="24"/>
          <w:szCs w:val="24"/>
        </w:rPr>
      </w:pPr>
      <w:r>
        <w:rPr>
          <w:sz w:val="24"/>
          <w:szCs w:val="24"/>
        </w:rPr>
        <w:t>7.1.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pPr>
        <w:pStyle w:val="Normal"/>
        <w:rPr>
          <w:sz w:val="24"/>
          <w:szCs w:val="24"/>
        </w:rPr>
      </w:pPr>
      <w:r>
        <w:rPr>
          <w:sz w:val="24"/>
          <w:szCs w:val="24"/>
        </w:rPr>
        <w:t xml:space="preserve">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w:t>
        <w:br/>
        <w:t>в настоящем договоре.</w:t>
      </w:r>
    </w:p>
    <w:p>
      <w:pPr>
        <w:pStyle w:val="Normal"/>
        <w:rPr>
          <w:sz w:val="24"/>
          <w:szCs w:val="24"/>
        </w:rPr>
      </w:pPr>
      <w:r>
        <w:rPr>
          <w:sz w:val="24"/>
          <w:szCs w:val="24"/>
        </w:rPr>
        <w:t xml:space="preserve">7.2. Споры по настоящему договору могут быть переданы на разрешение суда </w:t>
        <w:br/>
        <w:t>по истечении 15 календарных дней со дня направления претензии (требования).</w:t>
      </w:r>
    </w:p>
    <w:p>
      <w:pPr>
        <w:pStyle w:val="Normal"/>
        <w:rPr>
          <w:sz w:val="24"/>
          <w:szCs w:val="24"/>
        </w:rPr>
      </w:pPr>
      <w:r>
        <w:rPr>
          <w:sz w:val="24"/>
          <w:szCs w:val="24"/>
        </w:rPr>
        <w:t xml:space="preserve">7.3. Все уведомления и сообщения направляются сторонами в письменной форме, </w:t>
        <w:br/>
        <w:t>а также в электронной форме по телекоммуникационным каналам связи.</w:t>
      </w:r>
    </w:p>
    <w:p>
      <w:pPr>
        <w:pStyle w:val="Normal"/>
        <w:rPr>
          <w:sz w:val="24"/>
          <w:szCs w:val="24"/>
        </w:rPr>
      </w:pPr>
      <w:r>
        <w:rPr>
          <w:sz w:val="24"/>
          <w:szCs w:val="24"/>
        </w:rPr>
        <w:t>7.4. Во всем остальном, что не предусмотрено настоящим договором, стороны руководствуются действующим законодательством.</w:t>
      </w:r>
    </w:p>
    <w:p>
      <w:pPr>
        <w:pStyle w:val="Normal"/>
        <w:rPr>
          <w:sz w:val="24"/>
          <w:szCs w:val="24"/>
        </w:rPr>
      </w:pPr>
      <w:r>
        <w:rPr>
          <w:sz w:val="24"/>
          <w:szCs w:val="24"/>
        </w:rPr>
        <w:t>7.5. Настоящий договор заключается в электронной форме и подписывается усиленной квалифицированной электронной подписью каждой из Сторон.</w:t>
      </w:r>
    </w:p>
    <w:p>
      <w:pPr>
        <w:pStyle w:val="Normal"/>
        <w:rPr>
          <w:sz w:val="24"/>
          <w:szCs w:val="24"/>
        </w:rPr>
      </w:pPr>
      <w:r>
        <w:rPr>
          <w:sz w:val="24"/>
          <w:szCs w:val="24"/>
        </w:rPr>
        <w:t xml:space="preserve">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w:t>
        <w:br/>
        <w:t>по договору.</w:t>
      </w:r>
    </w:p>
    <w:p>
      <w:pPr>
        <w:pStyle w:val="Normal"/>
        <w:rPr>
          <w:sz w:val="24"/>
          <w:szCs w:val="24"/>
        </w:rPr>
      </w:pPr>
      <w:r>
        <w:rPr>
          <w:sz w:val="24"/>
          <w:szCs w:val="24"/>
        </w:rPr>
        <w:t>Неотъемлемой частью настоящего договора являются:</w:t>
      </w:r>
    </w:p>
    <w:p>
      <w:pPr>
        <w:pStyle w:val="Normal"/>
        <w:rPr>
          <w:sz w:val="24"/>
          <w:szCs w:val="24"/>
        </w:rPr>
      </w:pPr>
      <w:r>
        <w:rPr>
          <w:sz w:val="24"/>
          <w:szCs w:val="24"/>
        </w:rPr>
        <w:t>акт приема-передачи земельного участка.</w:t>
      </w:r>
    </w:p>
    <w:p>
      <w:pPr>
        <w:pStyle w:val="Normal"/>
        <w:rPr>
          <w:sz w:val="24"/>
          <w:szCs w:val="24"/>
        </w:rPr>
      </w:pPr>
      <w:r>
        <w:rPr>
          <w:sz w:val="24"/>
          <w:szCs w:val="24"/>
        </w:rPr>
        <w:t xml:space="preserve">Оплата за земельный участок в сумме, указанной в пункте 2.1 настоящего договора, </w:t>
      </w:r>
    </w:p>
    <w:p>
      <w:pPr>
        <w:pStyle w:val="Normal"/>
        <w:ind w:hanging="0"/>
        <w:rPr>
          <w:sz w:val="24"/>
          <w:szCs w:val="24"/>
        </w:rPr>
      </w:pPr>
      <w:r>
        <w:rPr>
          <w:sz w:val="24"/>
          <w:szCs w:val="24"/>
        </w:rPr>
        <w:t>произведена полностью. Реквизиты документа(ов), подтверждающего(их)</w:t>
      </w:r>
    </w:p>
    <w:p>
      <w:pPr>
        <w:pStyle w:val="Normal"/>
        <w:ind w:hanging="0"/>
        <w:rPr>
          <w:sz w:val="24"/>
          <w:szCs w:val="24"/>
        </w:rPr>
      </w:pPr>
      <w:r>
        <w:rPr>
          <w:sz w:val="24"/>
          <w:szCs w:val="24"/>
        </w:rPr>
        <w:t>перечисление денежных средств продавцу_________________________________________</w:t>
      </w:r>
    </w:p>
    <w:p>
      <w:pPr>
        <w:pStyle w:val="Normal"/>
        <w:ind w:hanging="0"/>
        <w:rPr>
          <w:sz w:val="24"/>
          <w:szCs w:val="24"/>
        </w:rPr>
      </w:pPr>
      <w:r>
        <w:rPr>
          <w:sz w:val="24"/>
          <w:szCs w:val="24"/>
        </w:rPr>
        <w:t>________________________________________________________________________________</w:t>
      </w:r>
    </w:p>
    <w:p>
      <w:pPr>
        <w:pStyle w:val="Normal"/>
        <w:rPr>
          <w:sz w:val="24"/>
          <w:szCs w:val="24"/>
        </w:rPr>
      </w:pPr>
      <w:r>
        <w:rPr>
          <w:sz w:val="24"/>
          <w:szCs w:val="24"/>
        </w:rPr>
        <w:t>(наименование, дата, номер)</w:t>
      </w:r>
    </w:p>
    <w:tbl>
      <w:tblPr>
        <w:tblW w:w="907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598"/>
        <w:gridCol w:w="4472"/>
      </w:tblGrid>
      <w:tr>
        <w:trPr/>
        <w:tc>
          <w:tcPr>
            <w:tcW w:w="9070" w:type="dxa"/>
            <w:gridSpan w:val="2"/>
            <w:tcBorders/>
          </w:tcPr>
          <w:p>
            <w:pPr>
              <w:pStyle w:val="ConsPlusNormal"/>
              <w:rPr/>
            </w:pPr>
            <w:r>
              <w:rPr/>
            </w:r>
          </w:p>
        </w:tc>
      </w:tr>
      <w:tr>
        <w:trPr/>
        <w:tc>
          <w:tcPr>
            <w:tcW w:w="4598" w:type="dxa"/>
            <w:tcBorders/>
          </w:tcPr>
          <w:p>
            <w:pPr>
              <w:pStyle w:val="ConsPlusNormal"/>
              <w:rPr/>
            </w:pPr>
            <w:r>
              <w:rPr/>
              <w:t>Продавец:</w:t>
            </w:r>
          </w:p>
        </w:tc>
        <w:tc>
          <w:tcPr>
            <w:tcW w:w="4472" w:type="dxa"/>
            <w:tcBorders/>
          </w:tcPr>
          <w:p>
            <w:pPr>
              <w:pStyle w:val="ConsPlusNormal"/>
              <w:rPr/>
            </w:pPr>
            <w:r>
              <w:rPr/>
              <w:t>Покупатель:</w:t>
            </w:r>
          </w:p>
        </w:tc>
      </w:tr>
      <w:tr>
        <w:trPr/>
        <w:tc>
          <w:tcPr>
            <w:tcW w:w="4598" w:type="dxa"/>
            <w:tcBorders/>
          </w:tcPr>
          <w:p>
            <w:pPr>
              <w:pStyle w:val="ConsPlusNormal"/>
              <w:rPr/>
            </w:pPr>
            <w:r>
              <w:rPr/>
              <w:t>Департамент земельных отношений администрации города Перми</w:t>
            </w:r>
          </w:p>
        </w:tc>
        <w:tc>
          <w:tcPr>
            <w:tcW w:w="4472" w:type="dxa"/>
            <w:tcBorders/>
            <w:vAlign w:val="bottom"/>
          </w:tcPr>
          <w:p>
            <w:pPr>
              <w:pStyle w:val="ConsPlusNormal"/>
              <w:rPr/>
            </w:pPr>
            <w:r>
              <w:rPr/>
              <w:t>___________________________________</w:t>
            </w:r>
          </w:p>
        </w:tc>
      </w:tr>
      <w:tr>
        <w:trPr/>
        <w:tc>
          <w:tcPr>
            <w:tcW w:w="4598" w:type="dxa"/>
            <w:tcBorders/>
          </w:tcPr>
          <w:p>
            <w:pPr>
              <w:pStyle w:val="ConsPlusNormal"/>
              <w:rPr/>
            </w:pPr>
            <w:r>
              <w:rPr/>
              <w:t>614015, г. Пермь, ул. Сибирская, 15,</w:t>
            </w:r>
          </w:p>
          <w:p>
            <w:pPr>
              <w:pStyle w:val="ConsPlusNormal"/>
              <w:rPr/>
            </w:pPr>
            <w:r>
              <w:rPr/>
              <w:t>тел. __________________________</w:t>
            </w:r>
          </w:p>
        </w:tc>
        <w:tc>
          <w:tcPr>
            <w:tcW w:w="4472" w:type="dxa"/>
            <w:tcBorders/>
          </w:tcPr>
          <w:p>
            <w:pPr>
              <w:pStyle w:val="ConsPlusNormal"/>
              <w:rPr/>
            </w:pPr>
            <w:r>
              <w:rPr/>
              <w:t>Место нахождения (адрес): ___________</w:t>
            </w:r>
          </w:p>
          <w:p>
            <w:pPr>
              <w:pStyle w:val="ConsPlusNormal"/>
              <w:rPr/>
            </w:pPr>
            <w:r>
              <w:rPr/>
              <w:t>почтовый адрес: ____________________</w:t>
            </w:r>
          </w:p>
          <w:p>
            <w:pPr>
              <w:pStyle w:val="ConsPlusNormal"/>
              <w:rPr/>
            </w:pPr>
            <w:r>
              <w:rPr/>
              <w:t>электронная почта: __________________</w:t>
            </w:r>
          </w:p>
          <w:p>
            <w:pPr>
              <w:pStyle w:val="ConsPlusNormal"/>
              <w:rPr/>
            </w:pPr>
            <w:r>
              <w:rPr/>
              <w:t>тел. _______________________________</w:t>
            </w:r>
          </w:p>
          <w:p>
            <w:pPr>
              <w:pStyle w:val="ConsPlusNormal"/>
              <w:rPr/>
            </w:pPr>
            <w:r>
              <w:rPr/>
              <w:t>ИНН ______________________________</w:t>
            </w:r>
          </w:p>
        </w:tc>
      </w:tr>
      <w:tr>
        <w:trPr/>
        <w:tc>
          <w:tcPr>
            <w:tcW w:w="4598" w:type="dxa"/>
            <w:tcBorders/>
          </w:tcPr>
          <w:p>
            <w:pPr>
              <w:pStyle w:val="ConsPlusNormal"/>
              <w:rPr/>
            </w:pPr>
            <w:r>
              <w:rPr/>
            </w:r>
          </w:p>
        </w:tc>
        <w:tc>
          <w:tcPr>
            <w:tcW w:w="4472" w:type="dxa"/>
            <w:tcBorders/>
          </w:tcPr>
          <w:p>
            <w:pPr>
              <w:pStyle w:val="ConsPlusNormal"/>
              <w:rPr/>
            </w:pPr>
            <w:r>
              <w:rPr/>
            </w:r>
          </w:p>
        </w:tc>
      </w:tr>
      <w:tr>
        <w:trPr/>
        <w:tc>
          <w:tcPr>
            <w:tcW w:w="4598" w:type="dxa"/>
            <w:tcBorders/>
          </w:tcPr>
          <w:p>
            <w:pPr>
              <w:pStyle w:val="ConsPlusNormal"/>
              <w:rPr/>
            </w:pPr>
            <w:r>
              <w:rPr/>
            </w:r>
          </w:p>
        </w:tc>
        <w:tc>
          <w:tcPr>
            <w:tcW w:w="4472" w:type="dxa"/>
            <w:tcBorders/>
          </w:tcPr>
          <w:p>
            <w:pPr>
              <w:pStyle w:val="ConsPlusNormal"/>
              <w:rPr/>
            </w:pPr>
            <w:r>
              <w:rPr/>
            </w:r>
          </w:p>
        </w:tc>
      </w:tr>
      <w:tr>
        <w:trPr/>
        <w:tc>
          <w:tcPr>
            <w:tcW w:w="4598" w:type="dxa"/>
            <w:tcBorders/>
          </w:tcPr>
          <w:p>
            <w:pPr>
              <w:pStyle w:val="ConsPlusNormal"/>
              <w:rPr/>
            </w:pPr>
            <w:r>
              <w:rPr/>
            </w:r>
          </w:p>
        </w:tc>
        <w:tc>
          <w:tcPr>
            <w:tcW w:w="4472" w:type="dxa"/>
            <w:tcBorders/>
            <w:vAlign w:val="bottom"/>
          </w:tcPr>
          <w:p>
            <w:pPr>
              <w:pStyle w:val="ConsPlusNormal"/>
              <w:rPr/>
            </w:pPr>
            <w:r>
              <w:rPr/>
            </w:r>
          </w:p>
        </w:tc>
      </w:tr>
    </w:tbl>
    <w:p>
      <w:pPr>
        <w:pStyle w:val="Normal"/>
        <w:rPr>
          <w:sz w:val="24"/>
          <w:szCs w:val="24"/>
        </w:rPr>
      </w:pPr>
      <w:r>
        <w:rPr>
          <w:sz w:val="24"/>
          <w:szCs w:val="24"/>
        </w:rPr>
        <w:t xml:space="preserve">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w:t>
        <w:br/>
        <w:t>по телекоммуникационным каналам связи, считаются законно врученными, ему известными.</w:t>
      </w:r>
    </w:p>
    <w:tbl>
      <w:tblPr>
        <w:tblW w:w="907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591"/>
        <w:gridCol w:w="4479"/>
      </w:tblGrid>
      <w:tr>
        <w:trPr/>
        <w:tc>
          <w:tcPr>
            <w:tcW w:w="4591" w:type="dxa"/>
            <w:tcBorders/>
          </w:tcPr>
          <w:p>
            <w:pPr>
              <w:pStyle w:val="ConsPlusNormal"/>
              <w:rPr/>
            </w:pPr>
            <w:r>
              <w:rPr/>
            </w:r>
          </w:p>
          <w:p>
            <w:pPr>
              <w:pStyle w:val="ConsPlusNormal"/>
              <w:rPr/>
            </w:pPr>
            <w:r>
              <w:rPr/>
              <w:t>Продавец:</w:t>
            </w:r>
          </w:p>
          <w:p>
            <w:pPr>
              <w:pStyle w:val="ConsPlusNormal"/>
              <w:rPr/>
            </w:pPr>
            <w:r>
              <w:rPr/>
              <w:t>_____________________________</w:t>
            </w:r>
          </w:p>
          <w:p>
            <w:pPr>
              <w:pStyle w:val="ConsPlusNormal"/>
              <w:jc w:val="center"/>
              <w:rPr/>
            </w:pPr>
            <w:r>
              <w:rPr/>
              <w:t>М.П.</w:t>
            </w:r>
          </w:p>
        </w:tc>
        <w:tc>
          <w:tcPr>
            <w:tcW w:w="4479" w:type="dxa"/>
            <w:tcBorders/>
          </w:tcPr>
          <w:p>
            <w:pPr>
              <w:pStyle w:val="ConsPlusNormal"/>
              <w:rPr/>
            </w:pPr>
            <w:r>
              <w:rPr/>
            </w:r>
          </w:p>
          <w:p>
            <w:pPr>
              <w:pStyle w:val="ConsPlusNormal"/>
              <w:rPr/>
            </w:pPr>
            <w:r>
              <w:rPr/>
              <w:t>Покупатель:</w:t>
            </w:r>
          </w:p>
          <w:p>
            <w:pPr>
              <w:pStyle w:val="ConsPlusNormal"/>
              <w:rPr/>
            </w:pPr>
            <w:r>
              <w:rPr/>
              <w:t>_____________________________</w:t>
            </w:r>
          </w:p>
          <w:p>
            <w:pPr>
              <w:pStyle w:val="ConsPlusNormal"/>
              <w:jc w:val="center"/>
              <w:rPr/>
            </w:pPr>
            <w:r>
              <w:rPr/>
              <w:t>М.П.</w:t>
            </w:r>
          </w:p>
        </w:tc>
      </w:tr>
    </w:tbl>
    <w:p>
      <w:pPr>
        <w:pStyle w:val="ConsPlusNormal"/>
        <w:jc w:val="both"/>
        <w:rPr/>
      </w:pPr>
      <w:r>
        <w:rPr/>
      </w:r>
    </w:p>
    <w:sectPr>
      <w:headerReference w:type="even" r:id="rId2"/>
      <w:headerReference w:type="default" r:id="rId3"/>
      <w:type w:val="nextPage"/>
      <w:pgSz w:w="11906" w:h="16838"/>
      <w:pgMar w:left="1134" w:right="1134" w:gutter="0" w:header="709" w:top="766" w:footer="0" w:bottom="56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Open Sans">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895230433"/>
    </w:sdtPr>
    <w:sdtContent>
      <w:p>
        <w:pPr>
          <w:pStyle w:val="Header"/>
          <w:jc w:val="center"/>
          <w:rPr/>
        </w:pPr>
        <w:r>
          <w:rPr/>
          <w:fldChar w:fldCharType="begin"/>
        </w:r>
        <w:r>
          <w:rPr/>
          <w:instrText xml:space="preserve"> PAGE </w:instrText>
        </w:r>
        <w:r>
          <w:rPr/>
          <w:fldChar w:fldCharType="separate"/>
        </w:r>
        <w:r>
          <w:rPr/>
          <w:t>4</w:t>
        </w:r>
        <w:r>
          <w:rPr/>
          <w:fldChar w:fldCharType="end"/>
        </w:r>
      </w:p>
    </w:sdtContent>
  </w:sdt>
  <w:p>
    <w:pPr>
      <w:pStyle w:val="Normal"/>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autoRedefine/>
    <w:qFormat/>
    <w:rsid w:val="004e4881"/>
    <w:pPr>
      <w:widowControl/>
      <w:bidi w:val="0"/>
      <w:spacing w:lineRule="auto" w:line="240" w:before="0" w:after="0"/>
      <w:ind w:firstLine="708"/>
      <w:jc w:val="both"/>
    </w:pPr>
    <w:rPr>
      <w:rFonts w:ascii="Times New Roman" w:hAnsi="Times New Roman" w:cs="Times New Roman" w:eastAsia="Calibri" w:eastAsiaTheme="minorHAnsi"/>
      <w:color w:val="auto"/>
      <w:kern w:val="0"/>
      <w:sz w:val="22"/>
      <w:szCs w:val="20"/>
      <w:lang w:val="ru-RU" w:eastAsia="en-US" w:bidi="ar-SA"/>
    </w:rPr>
  </w:style>
  <w:style w:type="paragraph" w:styleId="Heading3">
    <w:name w:val="Heading 3"/>
    <w:basedOn w:val="Normal"/>
    <w:next w:val="Normal"/>
    <w:link w:val="3"/>
    <w:uiPriority w:val="99"/>
    <w:qFormat/>
    <w:rsid w:val="00b2622f"/>
    <w:pPr>
      <w:keepNext w:val="true"/>
      <w:ind w:hanging="0"/>
      <w:jc w:val="center"/>
      <w:outlineLvl w:val="2"/>
    </w:pPr>
    <w:rPr>
      <w:b/>
      <w:bCs/>
      <w:szCs w:val="22"/>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d233bd"/>
    <w:rPr>
      <w:rFonts w:ascii="Times New Roman" w:hAnsi="Times New Roman" w:eastAsia="Times New Roman" w:cs="Times New Roman"/>
      <w:sz w:val="28"/>
      <w:szCs w:val="24"/>
      <w:lang w:eastAsia="ru-RU"/>
    </w:rPr>
  </w:style>
  <w:style w:type="character" w:styleId="Style14" w:customStyle="1">
    <w:name w:val="Нижний колонтитул Знак"/>
    <w:basedOn w:val="DefaultParagraphFont"/>
    <w:uiPriority w:val="99"/>
    <w:qFormat/>
    <w:rsid w:val="00d233bd"/>
    <w:rPr>
      <w:rFonts w:ascii="Times New Roman" w:hAnsi="Times New Roman" w:eastAsia="Times New Roman" w:cs="Times New Roman"/>
      <w:sz w:val="28"/>
      <w:szCs w:val="24"/>
      <w:lang w:eastAsia="ru-RU"/>
    </w:rPr>
  </w:style>
  <w:style w:type="character" w:styleId="2" w:customStyle="1">
    <w:name w:val="Основной текст с отступом 2 Знак"/>
    <w:basedOn w:val="DefaultParagraphFont"/>
    <w:link w:val="BodyTextIndent2"/>
    <w:uiPriority w:val="99"/>
    <w:qFormat/>
    <w:rsid w:val="00506ae6"/>
    <w:rPr>
      <w:rFonts w:ascii="Times New Roman" w:hAnsi="Times New Roman" w:eastAsia="Times New Roman" w:cs="Times New Roman"/>
      <w:sz w:val="24"/>
      <w:szCs w:val="24"/>
      <w:lang w:eastAsia="ru-RU"/>
    </w:rPr>
  </w:style>
  <w:style w:type="character" w:styleId="Style15" w:customStyle="1">
    <w:name w:val="Текст сноски Знак"/>
    <w:basedOn w:val="DefaultParagraphFont"/>
    <w:uiPriority w:val="99"/>
    <w:qFormat/>
    <w:rsid w:val="001964c1"/>
    <w:rPr>
      <w:sz w:val="20"/>
      <w:szCs w:val="20"/>
    </w:rPr>
  </w:style>
  <w:style w:type="character" w:styleId="Style16">
    <w:name w:val="Символ сноски"/>
    <w:uiPriority w:val="99"/>
    <w:unhideWhenUsed/>
    <w:qFormat/>
    <w:rsid w:val="001964c1"/>
    <w:rPr>
      <w:vertAlign w:val="superscript"/>
    </w:rPr>
  </w:style>
  <w:style w:type="character" w:styleId="FootnoteReference">
    <w:name w:val="Footnote Reference"/>
    <w:rPr>
      <w:vertAlign w:val="superscript"/>
    </w:rPr>
  </w:style>
  <w:style w:type="character" w:styleId="3" w:customStyle="1">
    <w:name w:val="Заголовок 3 Знак"/>
    <w:basedOn w:val="DefaultParagraphFont"/>
    <w:uiPriority w:val="99"/>
    <w:qFormat/>
    <w:rsid w:val="00b2622f"/>
    <w:rPr>
      <w:rFonts w:ascii="Times New Roman" w:hAnsi="Times New Roman" w:eastAsia="Times New Roman" w:cs="Times New Roman"/>
      <w:b/>
      <w:bCs/>
      <w:lang w:eastAsia="ru-RU"/>
    </w:rPr>
  </w:style>
  <w:style w:type="character" w:styleId="21" w:customStyle="1">
    <w:name w:val="Основной текст 2 Знак"/>
    <w:basedOn w:val="DefaultParagraphFont"/>
    <w:link w:val="BodyText2"/>
    <w:uiPriority w:val="99"/>
    <w:semiHidden/>
    <w:qFormat/>
    <w:rsid w:val="00b2622f"/>
    <w:rPr>
      <w:rFonts w:ascii="Times New Roman" w:hAnsi="Times New Roman" w:eastAsia="Times New Roman" w:cs="Times New Roman"/>
      <w:sz w:val="24"/>
      <w:szCs w:val="24"/>
      <w:lang w:eastAsia="ru-RU"/>
    </w:rPr>
  </w:style>
  <w:style w:type="character" w:styleId="Style17" w:customStyle="1">
    <w:name w:val="Основной текст Знак"/>
    <w:basedOn w:val="DefaultParagraphFont"/>
    <w:uiPriority w:val="99"/>
    <w:semiHidden/>
    <w:qFormat/>
    <w:rsid w:val="00b2622f"/>
    <w:rPr>
      <w:rFonts w:ascii="Times New Roman" w:hAnsi="Times New Roman" w:eastAsia="Times New Roman" w:cs="Times New Roman"/>
      <w:sz w:val="24"/>
      <w:szCs w:val="24"/>
      <w:lang w:eastAsia="ru-RU"/>
    </w:rPr>
  </w:style>
  <w:style w:type="character" w:styleId="Style18" w:customStyle="1">
    <w:name w:val="Текст выноски Знак"/>
    <w:basedOn w:val="DefaultParagraphFont"/>
    <w:link w:val="BalloonText"/>
    <w:uiPriority w:val="99"/>
    <w:semiHidden/>
    <w:qFormat/>
    <w:rsid w:val="00a70049"/>
    <w:rPr>
      <w:rFonts w:ascii="Tahoma" w:hAnsi="Tahoma" w:eastAsia="Times New Roman" w:cs="Tahoma"/>
      <w:sz w:val="16"/>
      <w:szCs w:val="16"/>
      <w:lang w:eastAsia="ru-RU"/>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link w:val="Style17"/>
    <w:uiPriority w:val="99"/>
    <w:semiHidden/>
    <w:rsid w:val="00b2622f"/>
    <w:pPr>
      <w:spacing w:lineRule="auto" w:line="276" w:before="0" w:after="120"/>
      <w:ind w:hanging="0"/>
    </w:pPr>
    <w:rPr>
      <w:sz w:val="24"/>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Style21">
    <w:name w:val="Колонтитул"/>
    <w:basedOn w:val="Normal"/>
    <w:qFormat/>
    <w:pPr/>
    <w:rPr/>
  </w:style>
  <w:style w:type="paragraph" w:styleId="Header">
    <w:name w:val="Header"/>
    <w:basedOn w:val="Normal"/>
    <w:link w:val="Style13"/>
    <w:uiPriority w:val="99"/>
    <w:unhideWhenUsed/>
    <w:rsid w:val="00d233bd"/>
    <w:pPr>
      <w:tabs>
        <w:tab w:val="clear" w:pos="708"/>
        <w:tab w:val="center" w:pos="4677" w:leader="none"/>
        <w:tab w:val="right" w:pos="9355" w:leader="none"/>
      </w:tabs>
    </w:pPr>
    <w:rPr/>
  </w:style>
  <w:style w:type="paragraph" w:styleId="Footer">
    <w:name w:val="Footer"/>
    <w:basedOn w:val="Normal"/>
    <w:link w:val="Style14"/>
    <w:uiPriority w:val="99"/>
    <w:unhideWhenUsed/>
    <w:rsid w:val="00d233bd"/>
    <w:pPr>
      <w:tabs>
        <w:tab w:val="clear" w:pos="708"/>
        <w:tab w:val="center" w:pos="4677" w:leader="none"/>
        <w:tab w:val="right" w:pos="9355" w:leader="none"/>
      </w:tabs>
    </w:pPr>
    <w:rPr/>
  </w:style>
  <w:style w:type="paragraph" w:styleId="BodyTextIndent2">
    <w:name w:val="Body Text Indent 2"/>
    <w:basedOn w:val="Normal"/>
    <w:link w:val="2"/>
    <w:uiPriority w:val="99"/>
    <w:unhideWhenUsed/>
    <w:qFormat/>
    <w:rsid w:val="00506ae6"/>
    <w:pPr>
      <w:spacing w:lineRule="auto" w:line="480" w:before="0" w:after="120"/>
      <w:ind w:hanging="0" w:left="283"/>
      <w:jc w:val="left"/>
    </w:pPr>
    <w:rPr>
      <w:sz w:val="24"/>
    </w:rPr>
  </w:style>
  <w:style w:type="paragraph" w:styleId="FootnoteText">
    <w:name w:val="Footnote Text"/>
    <w:basedOn w:val="Normal"/>
    <w:link w:val="Style15"/>
    <w:uiPriority w:val="99"/>
    <w:unhideWhenUsed/>
    <w:rsid w:val="001964c1"/>
    <w:pPr>
      <w:ind w:hanging="0"/>
      <w:jc w:val="left"/>
    </w:pPr>
    <w:rPr>
      <w:rFonts w:ascii="Calibri" w:hAnsi="Calibri" w:cs="" w:asciiTheme="minorHAnsi" w:cstheme="minorBidi" w:hAnsiTheme="minorHAnsi"/>
      <w:sz w:val="20"/>
    </w:rPr>
  </w:style>
  <w:style w:type="paragraph" w:styleId="BodyText2">
    <w:name w:val="Body Text 2"/>
    <w:basedOn w:val="Normal"/>
    <w:link w:val="21"/>
    <w:uiPriority w:val="99"/>
    <w:semiHidden/>
    <w:qFormat/>
    <w:rsid w:val="00b2622f"/>
    <w:pPr>
      <w:spacing w:lineRule="auto" w:line="480" w:before="0" w:after="120"/>
      <w:ind w:hanging="0"/>
    </w:pPr>
    <w:rPr>
      <w:sz w:val="24"/>
    </w:rPr>
  </w:style>
  <w:style w:type="paragraph" w:styleId="Caption1">
    <w:name w:val="caption1"/>
    <w:basedOn w:val="Normal"/>
    <w:next w:val="Normal"/>
    <w:uiPriority w:val="99"/>
    <w:qFormat/>
    <w:rsid w:val="00b2622f"/>
    <w:pPr>
      <w:ind w:hanging="0"/>
      <w:jc w:val="center"/>
    </w:pPr>
    <w:rPr>
      <w:b/>
      <w:bCs/>
      <w:szCs w:val="28"/>
    </w:rPr>
  </w:style>
  <w:style w:type="paragraph" w:styleId="ListParagraph">
    <w:name w:val="List Paragraph"/>
    <w:basedOn w:val="Normal"/>
    <w:uiPriority w:val="34"/>
    <w:qFormat/>
    <w:rsid w:val="0078392a"/>
    <w:pPr>
      <w:spacing w:before="0" w:after="0"/>
      <w:ind w:left="720"/>
      <w:contextualSpacing/>
    </w:pPr>
    <w:rPr/>
  </w:style>
  <w:style w:type="paragraph" w:styleId="ConsPlusNormal" w:customStyle="1">
    <w:name w:val="ConsPlusNormal"/>
    <w:qFormat/>
    <w:rsid w:val="00835f05"/>
    <w:pPr>
      <w:widowControl/>
      <w:bidi w:val="0"/>
      <w:spacing w:lineRule="auto" w:line="240" w:before="0" w:after="0"/>
      <w:jc w:val="left"/>
    </w:pPr>
    <w:rPr>
      <w:rFonts w:ascii="Times New Roman" w:hAnsi="Times New Roman" w:cs="Times New Roman" w:eastAsia="Calibri" w:eastAsiaTheme="minorHAnsi"/>
      <w:color w:val="auto"/>
      <w:kern w:val="0"/>
      <w:sz w:val="24"/>
      <w:szCs w:val="24"/>
      <w:lang w:val="ru-RU" w:eastAsia="en-US" w:bidi="ar-SA"/>
    </w:rPr>
  </w:style>
  <w:style w:type="paragraph" w:styleId="BalloonText">
    <w:name w:val="Balloon Text"/>
    <w:basedOn w:val="Normal"/>
    <w:link w:val="Style18"/>
    <w:uiPriority w:val="99"/>
    <w:semiHidden/>
    <w:unhideWhenUsed/>
    <w:qFormat/>
    <w:rsid w:val="00a70049"/>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
    <w:name w:val="Сетка таблицы1"/>
    <w:basedOn w:val="a1"/>
    <w:uiPriority w:val="59"/>
    <w:rsid w:val="001964c1"/>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a">
    <w:name w:val="Table Grid"/>
    <w:basedOn w:val="a1"/>
    <w:uiPriority w:val="59"/>
    <w:rsid w:val="001964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225</TotalTime>
  <Application>LibreOffice/7.6.7.2$Linux_X86_64 LibreOffice_project/60$Build-2</Application>
  <AppVersion>15.0000</AppVersion>
  <Pages>4</Pages>
  <Words>967</Words>
  <Characters>7308</Characters>
  <CharactersWithSpaces>8322</CharactersWithSpaces>
  <Paragraphs>81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2023-11-30T07:40:00Z</dcterms:created>
  <dc:creator>пользователь</dc:creator>
  <dc:description/>
  <dc:language>ru-RU</dc:language>
  <cp:lastModifiedBy/>
  <cp:lastPrinted>2024-09-19T09:57:00Z</cp:lastPrinted>
  <dcterms:modified xsi:type="dcterms:W3CDTF">2025-01-28T09:44:13Z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file>