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PlainText"/>
        <w:ind w:hanging="1134" w:left="1134" w:right="-261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cs="Times New Roman" w:ascii="Times New Roman" w:hAnsi="Times New Roman"/>
          <w:b/>
          <w:sz w:val="24"/>
          <w:szCs w:val="24"/>
          <w:lang w:val="ru-RU"/>
        </w:rPr>
      </w:r>
    </w:p>
    <w:p>
      <w:pPr>
        <w:pStyle w:val="PlainText"/>
        <w:ind w:hanging="1134" w:left="1134" w:right="-26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4732" w:leader="none"/>
          <w:tab w:val="left" w:pos="5812" w:leader="none"/>
        </w:tabs>
        <w:spacing w:lineRule="exact" w:line="240"/>
        <w:ind w:firstLine="5670" w:left="0"/>
        <w:jc w:val="both"/>
        <w:outlineLvl w:val="5"/>
        <w:rPr>
          <w:sz w:val="28"/>
          <w:szCs w:val="28"/>
        </w:rPr>
      </w:pPr>
      <w:r>
        <w:rPr>
          <w:bCs/>
          <w:sz w:val="28"/>
          <w:szCs w:val="28"/>
        </w:rPr>
        <w:t>Приложение 2</w:t>
      </w:r>
    </w:p>
    <w:p>
      <w:pPr>
        <w:pStyle w:val="Normal"/>
        <w:tabs>
          <w:tab w:val="clear" w:pos="708"/>
          <w:tab w:val="left" w:pos="4732" w:leader="none"/>
        </w:tabs>
        <w:spacing w:lineRule="exact" w:line="240"/>
        <w:ind w:firstLine="6" w:left="5664"/>
        <w:rPr>
          <w:sz w:val="28"/>
          <w:szCs w:val="28"/>
        </w:rPr>
      </w:pPr>
      <w:r>
        <w:rPr>
          <w:sz w:val="28"/>
          <w:szCs w:val="28"/>
        </w:rPr>
        <w:t>к приказу начальника департамента</w:t>
      </w:r>
    </w:p>
    <w:p>
      <w:pPr>
        <w:pStyle w:val="Normal"/>
        <w:tabs>
          <w:tab w:val="clear" w:pos="708"/>
          <w:tab w:val="left" w:pos="4732" w:leader="none"/>
        </w:tabs>
        <w:spacing w:lineRule="exact" w:line="240"/>
        <w:ind w:firstLine="5670"/>
        <w:rPr>
          <w:sz w:val="28"/>
          <w:szCs w:val="28"/>
        </w:rPr>
      </w:pPr>
      <w:r>
        <w:rPr>
          <w:sz w:val="28"/>
          <w:szCs w:val="28"/>
        </w:rPr>
        <w:t>имущественных отношений</w:t>
      </w:r>
    </w:p>
    <w:p>
      <w:pPr>
        <w:pStyle w:val="Normal"/>
        <w:tabs>
          <w:tab w:val="clear" w:pos="708"/>
          <w:tab w:val="left" w:pos="4732" w:leader="none"/>
        </w:tabs>
        <w:spacing w:lineRule="exact" w:line="240"/>
        <w:ind w:firstLine="5670"/>
        <w:rPr>
          <w:sz w:val="28"/>
          <w:szCs w:val="28"/>
        </w:rPr>
      </w:pPr>
      <w:r>
        <w:rPr>
          <w:sz w:val="28"/>
          <w:szCs w:val="28"/>
        </w:rPr>
        <w:t>администрации города Перми</w:t>
      </w:r>
    </w:p>
    <w:p>
      <w:pPr>
        <w:pStyle w:val="Normal"/>
        <w:tabs>
          <w:tab w:val="clear" w:pos="708"/>
          <w:tab w:val="left" w:pos="4732" w:leader="none"/>
        </w:tabs>
        <w:spacing w:lineRule="exact" w:line="240"/>
        <w:ind w:firstLine="567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07.02.2025 № 059-19-01-11-7</w:t>
      </w:r>
    </w:p>
    <w:p>
      <w:pPr>
        <w:pStyle w:val="Normal"/>
        <w:tabs>
          <w:tab w:val="clear" w:pos="708"/>
          <w:tab w:val="left" w:pos="4732" w:leader="none"/>
        </w:tabs>
        <w:ind w:left="283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8"/>
          <w:tab w:val="left" w:pos="4732" w:leader="none"/>
        </w:tabs>
        <w:ind w:left="28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PlainText"/>
        <w:spacing w:lineRule="exact" w:line="240"/>
        <w:ind w:hanging="1134" w:left="1134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cs="Times New Roman" w:ascii="Times New Roman" w:hAnsi="Times New Roman"/>
          <w:b/>
          <w:sz w:val="28"/>
          <w:szCs w:val="28"/>
          <w:lang w:val="ru-RU"/>
        </w:rPr>
        <w:t>Извещение о проведении 13.03.2025 электронных аукционов по продаже земельных участков</w:t>
      </w:r>
    </w:p>
    <w:p>
      <w:pPr>
        <w:pStyle w:val="PlainText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cs="Times New Roman" w:ascii="Times New Roman" w:hAnsi="Times New Roman"/>
          <w:b/>
          <w:sz w:val="28"/>
          <w:szCs w:val="28"/>
          <w:lang w:val="ru-RU"/>
        </w:rPr>
      </w:r>
    </w:p>
    <w:p>
      <w:pPr>
        <w:pStyle w:val="Normal"/>
        <w:widowControl w:val="false"/>
        <w:ind w:firstLine="567" w:left="-567"/>
        <w:jc w:val="both"/>
        <w:rPr>
          <w:b/>
          <w:bCs/>
        </w:rPr>
      </w:pPr>
      <w:r>
        <w:rPr>
          <w:shd w:fill="FFFFFF" w:val="clear"/>
        </w:rPr>
        <w:t xml:space="preserve">Электронные аукционы по продаже земельных участков (далее – аукцион) проводятся в соответствии со статьями 39.11, 39.12, 39.13, 39.18 Земельного кодекса Российской Федерации, Положением о департаменте имущественных отношений администрации города Перми, утвержденным решением Пермской городской Думы от 12 сентября 2006 г. № 210, постановлением администрации города Перми от 20 ноября 2008 г. № 1089 «О комиссии по проведению аукционов по продаже земельных участков, находящихся в муниципальной собственности города Перми,                    и участков, собственность на которые не разграничена, объектов незавершенного строительства, расположенных на земельных участках, находящихся  в муниципальной собственности города Перми, и участках, собственность на которые  не разграничена, или на право заключения договоров аренды земельных участков, находящихся в муниципальной собственности города Перми,                          </w:t>
      </w:r>
      <w:r>
        <w:rPr>
          <w:rFonts w:eastAsia="Droid Sans Fallback" w:cs="Lohit Devanagari"/>
          <w:color w:val="000000"/>
          <w:kern w:val="0"/>
          <w:sz w:val="24"/>
          <w:szCs w:val="24"/>
          <w:shd w:fill="FFFFFF" w:val="clear"/>
          <w:lang w:val="ru-RU" w:eastAsia="zh-CN" w:bidi="ar-SA"/>
        </w:rPr>
        <w:t>и участков, собственность на которые не разграничена» (далее – комиссия), регламентом работы электронной площадки АО «Сбербанк-АСТ», регламентом работы торговой секции АО «Сбербанк-АСТ».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9355" w:leader="none"/>
        </w:tabs>
        <w:ind w:firstLine="567" w:left="-567"/>
        <w:jc w:val="both"/>
        <w:outlineLvl w:val="0"/>
        <w:rPr>
          <w:b/>
          <w:bCs/>
        </w:rPr>
      </w:pPr>
      <w:r>
        <w:rPr>
          <w:b/>
          <w:bCs/>
        </w:rPr>
        <w:t xml:space="preserve">Орган, принявший решение о проведении аукциона: </w:t>
      </w:r>
      <w:r>
        <w:rPr>
          <w:bCs/>
        </w:rPr>
        <w:t xml:space="preserve">департамент земельных отношений администрации города Перми, местонахождение: 614015, г. Пермь, ул. Сибирская,15, почтовый адрес: 614015, г. Пермь, ул. Сибирская,15, телефон 212-33-48 (аналитический отдел), адрес электронной почты: </w:t>
      </w:r>
      <w:r>
        <w:rPr>
          <w:rStyle w:val="Hyperlink"/>
          <w:bCs/>
          <w:sz w:val="24"/>
          <w:szCs w:val="24"/>
          <w:lang w:val="en-US"/>
        </w:rPr>
        <w:t>dzo@perm.permkrai.ru.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9355" w:leader="none"/>
        </w:tabs>
        <w:ind w:firstLine="567" w:left="-567"/>
        <w:jc w:val="both"/>
        <w:outlineLvl w:val="0"/>
        <w:rPr>
          <w:b/>
          <w:bCs/>
          <w:sz w:val="24"/>
          <w:szCs w:val="24"/>
        </w:rPr>
      </w:pPr>
      <w:r>
        <w:rPr>
          <w:b/>
          <w:bCs/>
        </w:rPr>
        <w:t xml:space="preserve">Организатор аукциона </w:t>
      </w:r>
      <w:r>
        <w:rPr>
          <w:bCs/>
        </w:rPr>
        <w:t>(далее – Организатор аукциона)</w:t>
      </w:r>
      <w:r>
        <w:rPr>
          <w:b/>
          <w:bCs/>
        </w:rPr>
        <w:t xml:space="preserve">: </w:t>
      </w:r>
      <w:r>
        <w:rPr>
          <w:bCs/>
        </w:rPr>
        <w:t>департамент имущественных отношений администрации города Перми, местонахождение: 614015, г. Пермь, ул. Сибирская,14, почтовый адрес: 614015, г. Пермь, ул. Сибирская,14, телефон 212-77-24 (отдел по распоряжению муниципальным имуществом), адрес электронной почты:</w:t>
      </w:r>
      <w:r>
        <w:rPr>
          <w:b/>
          <w:bCs/>
        </w:rPr>
        <w:t xml:space="preserve"> </w:t>
      </w:r>
      <w:r>
        <w:rPr>
          <w:sz w:val="24"/>
          <w:szCs w:val="24"/>
          <w:lang w:val="en-US"/>
        </w:rPr>
        <w:t>dio</w:t>
      </w:r>
      <w:r>
        <w:rPr>
          <w:sz w:val="24"/>
          <w:szCs w:val="24"/>
        </w:rPr>
        <w:t>@</w:t>
      </w:r>
      <w:r>
        <w:rPr>
          <w:sz w:val="24"/>
          <w:szCs w:val="24"/>
          <w:lang w:val="en-US"/>
        </w:rPr>
        <w:t>perm</w:t>
      </w:r>
      <w:r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permkrai</w:t>
      </w:r>
      <w:r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ru</w:t>
      </w:r>
      <w:r>
        <w:rPr>
          <w:b/>
          <w:bCs/>
          <w:sz w:val="24"/>
          <w:szCs w:val="24"/>
        </w:rPr>
        <w:t>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9355" w:leader="none"/>
        </w:tabs>
        <w:ind w:firstLine="567" w:left="-567"/>
        <w:jc w:val="both"/>
        <w:outlineLvl w:val="0"/>
        <w:rPr>
          <w:sz w:val="24"/>
          <w:szCs w:val="24"/>
        </w:rPr>
      </w:pPr>
      <w:r>
        <w:rPr>
          <w:b/>
          <w:bCs/>
        </w:rPr>
        <w:t>Реквизиты приказа о проведении аукциона:</w:t>
      </w:r>
      <w:r>
        <w:rPr>
          <w:bCs/>
        </w:rPr>
        <w:t xml:space="preserve"> приказ начальника департамента имущественных отношений администрации города Перми от</w:t>
      </w:r>
      <w:r>
        <w:rPr>
          <w:bCs/>
          <w:sz w:val="24"/>
          <w:szCs w:val="24"/>
        </w:rPr>
        <w:t xml:space="preserve"> </w:t>
      </w:r>
      <w:r>
        <w:rPr>
          <w:bCs/>
          <w:sz w:val="28"/>
          <w:szCs w:val="28"/>
        </w:rPr>
        <w:t xml:space="preserve"> </w:t>
      </w:r>
      <w:r>
        <w:rPr>
          <w:bCs/>
          <w:sz w:val="24"/>
          <w:szCs w:val="28"/>
        </w:rPr>
        <w:t>07.02.2025 № 059-19-01-11-7.</w:t>
      </w:r>
    </w:p>
    <w:p>
      <w:pPr>
        <w:pStyle w:val="BodyTextIndent3"/>
        <w:numPr>
          <w:ilvl w:val="0"/>
          <w:numId w:val="0"/>
        </w:numPr>
        <w:spacing w:before="0" w:after="0"/>
        <w:ind w:firstLine="567" w:left="-567"/>
        <w:jc w:val="both"/>
        <w:outlineLvl w:val="0"/>
        <w:rPr>
          <w:rFonts w:eastAsia="Courier New"/>
          <w:b/>
          <w:color w:val="000000"/>
          <w:lang w:val="ru-RU" w:bidi="ru-RU"/>
        </w:rPr>
      </w:pPr>
      <w:r>
        <w:rPr>
          <w:sz w:val="24"/>
          <w:szCs w:val="24"/>
          <w:lang w:val="ru-RU"/>
        </w:rPr>
        <w:t xml:space="preserve">Извещение о проведение электронных аукционов размещается на официальном сайте Российской Федерации для размещения информации о проведении торгов </w:t>
      </w:r>
      <w:hyperlink r:id="rId2" w:tgtFrame="http://www.torgi.gov.ru/">
        <w:r>
          <w:rPr>
            <w:rStyle w:val="Hyperlink"/>
            <w:color w:val="000000"/>
            <w:sz w:val="24"/>
            <w:szCs w:val="24"/>
            <w:u w:val="none"/>
          </w:rPr>
          <w:t>www</w:t>
        </w:r>
        <w:r>
          <w:rPr>
            <w:rStyle w:val="Hyperlink"/>
            <w:color w:val="000000"/>
            <w:sz w:val="24"/>
            <w:szCs w:val="24"/>
            <w:u w:val="none"/>
            <w:lang w:val="ru-RU"/>
          </w:rPr>
          <w:t>.</w:t>
        </w:r>
        <w:r>
          <w:rPr>
            <w:rStyle w:val="Hyperlink"/>
            <w:color w:val="000000"/>
            <w:sz w:val="24"/>
            <w:szCs w:val="24"/>
            <w:u w:val="none"/>
          </w:rPr>
          <w:t>torgi</w:t>
        </w:r>
        <w:r>
          <w:rPr>
            <w:rStyle w:val="Hyperlink"/>
            <w:color w:val="000000"/>
            <w:sz w:val="24"/>
            <w:szCs w:val="24"/>
            <w:u w:val="none"/>
            <w:lang w:val="ru-RU"/>
          </w:rPr>
          <w:t>.</w:t>
        </w:r>
        <w:r>
          <w:rPr>
            <w:rStyle w:val="Hyperlink"/>
            <w:color w:val="000000"/>
            <w:sz w:val="24"/>
            <w:szCs w:val="24"/>
            <w:u w:val="none"/>
          </w:rPr>
          <w:t>gov</w:t>
        </w:r>
        <w:r>
          <w:rPr>
            <w:rStyle w:val="Hyperlink"/>
            <w:color w:val="000000"/>
            <w:sz w:val="24"/>
            <w:szCs w:val="24"/>
            <w:u w:val="none"/>
            <w:lang w:val="ru-RU"/>
          </w:rPr>
          <w:t>.</w:t>
        </w:r>
        <w:r>
          <w:rPr>
            <w:rStyle w:val="Hyperlink"/>
            <w:color w:val="000000"/>
            <w:sz w:val="24"/>
            <w:szCs w:val="24"/>
            <w:u w:val="none"/>
          </w:rPr>
          <w:t>ru</w:t>
        </w:r>
      </w:hyperlink>
      <w:r>
        <w:rPr>
          <w:b/>
          <w:sz w:val="24"/>
          <w:szCs w:val="24"/>
          <w:lang w:val="ru-RU"/>
        </w:rPr>
        <w:t>,</w:t>
      </w:r>
      <w:r>
        <w:rPr>
          <w:b/>
          <w:lang w:val="ru-RU"/>
        </w:rPr>
        <w:t xml:space="preserve"> </w:t>
      </w:r>
      <w:r>
        <w:rPr>
          <w:sz w:val="24"/>
          <w:szCs w:val="24"/>
          <w:lang w:val="ru-RU"/>
        </w:rPr>
        <w:t xml:space="preserve">официальном сайте муниципального образования город Пермь в информационно-телекоммуникационной сети «Интернет» </w:t>
      </w:r>
      <w:hyperlink r:id="rId3" w:tgtFrame="http://www.gorodperm.ru/">
        <w:r>
          <w:rPr>
            <w:rStyle w:val="Hyperlink"/>
            <w:color w:val="000000"/>
            <w:sz w:val="24"/>
            <w:szCs w:val="24"/>
            <w:u w:val="none"/>
          </w:rPr>
          <w:t>www</w:t>
        </w:r>
        <w:r>
          <w:rPr>
            <w:rStyle w:val="Hyperlink"/>
            <w:color w:val="000000"/>
            <w:sz w:val="24"/>
            <w:szCs w:val="24"/>
            <w:u w:val="none"/>
            <w:lang w:val="ru-RU"/>
          </w:rPr>
          <w:t>.</w:t>
        </w:r>
        <w:r>
          <w:rPr>
            <w:rStyle w:val="Hyperlink"/>
            <w:color w:val="000000"/>
            <w:sz w:val="24"/>
            <w:szCs w:val="24"/>
            <w:u w:val="none"/>
          </w:rPr>
          <w:t>gorodperm</w:t>
        </w:r>
        <w:r>
          <w:rPr>
            <w:rStyle w:val="Hyperlink"/>
            <w:color w:val="000000"/>
            <w:sz w:val="24"/>
            <w:szCs w:val="24"/>
            <w:u w:val="none"/>
            <w:lang w:val="ru-RU"/>
          </w:rPr>
          <w:t>.</w:t>
        </w:r>
        <w:r>
          <w:rPr>
            <w:rStyle w:val="Hyperlink"/>
            <w:color w:val="000000"/>
            <w:sz w:val="24"/>
            <w:szCs w:val="24"/>
            <w:u w:val="none"/>
          </w:rPr>
          <w:t>ru</w:t>
        </w:r>
      </w:hyperlink>
      <w:r>
        <w:rPr>
          <w:sz w:val="24"/>
          <w:szCs w:val="24"/>
          <w:lang w:val="ru-RU"/>
        </w:rPr>
        <w:t xml:space="preserve"> и на электронной </w:t>
      </w:r>
      <w:r>
        <w:rPr>
          <w:bCs/>
          <w:sz w:val="24"/>
          <w:szCs w:val="24"/>
          <w:lang w:val="ru-RU" w:bidi="ru-RU"/>
        </w:rPr>
        <w:t xml:space="preserve">площадке </w:t>
      </w:r>
      <w:hyperlink r:id="rId4" w:tgtFrame="http://utp.sberbank-ast.ru/">
        <w:r>
          <w:rPr>
            <w:rStyle w:val="Hyperlink"/>
            <w:sz w:val="24"/>
            <w:szCs w:val="24"/>
          </w:rPr>
          <w:t>http</w:t>
        </w:r>
        <w:r>
          <w:rPr>
            <w:rStyle w:val="Hyperlink"/>
            <w:sz w:val="24"/>
            <w:szCs w:val="24"/>
            <w:lang w:val="ru-RU"/>
          </w:rPr>
          <w:t>://</w:t>
        </w:r>
        <w:r>
          <w:rPr>
            <w:rStyle w:val="Hyperlink"/>
            <w:sz w:val="24"/>
            <w:szCs w:val="24"/>
          </w:rPr>
          <w:t>utp</w:t>
        </w:r>
        <w:r>
          <w:rPr>
            <w:rStyle w:val="Hyperlink"/>
            <w:sz w:val="24"/>
            <w:szCs w:val="24"/>
            <w:lang w:val="ru-RU"/>
          </w:rPr>
          <w:t>.</w:t>
        </w:r>
        <w:r>
          <w:rPr>
            <w:rStyle w:val="Hyperlink"/>
            <w:sz w:val="24"/>
            <w:szCs w:val="24"/>
          </w:rPr>
          <w:t>sberbank</w:t>
        </w:r>
        <w:r>
          <w:rPr>
            <w:rStyle w:val="Hyperlink"/>
            <w:sz w:val="24"/>
            <w:szCs w:val="24"/>
            <w:lang w:val="ru-RU"/>
          </w:rPr>
          <w:t>-</w:t>
        </w:r>
        <w:r>
          <w:rPr>
            <w:rStyle w:val="Hyperlink"/>
            <w:sz w:val="24"/>
            <w:szCs w:val="24"/>
          </w:rPr>
          <w:t>ast</w:t>
        </w:r>
        <w:r>
          <w:rPr>
            <w:rStyle w:val="Hyperlink"/>
            <w:sz w:val="24"/>
            <w:szCs w:val="24"/>
            <w:lang w:val="ru-RU"/>
          </w:rPr>
          <w:t>.</w:t>
        </w:r>
        <w:r>
          <w:rPr>
            <w:rStyle w:val="Hyperlink"/>
            <w:sz w:val="24"/>
            <w:szCs w:val="24"/>
          </w:rPr>
          <w:t>ru</w:t>
        </w:r>
      </w:hyperlink>
      <w:r>
        <w:rPr>
          <w:bCs/>
          <w:sz w:val="24"/>
          <w:szCs w:val="24"/>
          <w:lang w:val="ru-RU" w:bidi="ru-RU"/>
        </w:rPr>
        <w:t>.</w:t>
      </w:r>
    </w:p>
    <w:p>
      <w:pPr>
        <w:pStyle w:val="Normal"/>
        <w:widowControl w:val="false"/>
        <w:ind w:firstLine="567" w:left="-567"/>
        <w:jc w:val="both"/>
        <w:rPr>
          <w:rFonts w:eastAsia="Courier New"/>
          <w:b/>
          <w:color w:val="000000"/>
          <w:lang w:eastAsia="en-US" w:bidi="ru-RU"/>
        </w:rPr>
      </w:pPr>
      <w:r>
        <w:rPr>
          <w:rFonts w:eastAsia="Courier New"/>
          <w:b/>
          <w:color w:val="000000"/>
          <w:lang w:bidi="ru-RU"/>
        </w:rPr>
        <w:t>Адрес электронной площадки в информационно-телекоммуникационной сети «Интернет», на которой будет проводиться аукцион</w:t>
      </w:r>
      <w:r>
        <w:rPr>
          <w:rFonts w:eastAsia="Courier New"/>
          <w:color w:val="000000"/>
          <w:lang w:bidi="ru-RU"/>
        </w:rPr>
        <w:t>:</w:t>
      </w:r>
      <w:r>
        <w:rPr>
          <w:rFonts w:eastAsia="Courier New" w:cs="Courier New" w:ascii="Courier New" w:hAnsi="Courier New"/>
          <w:color w:val="000000"/>
          <w:lang w:bidi="ru-RU"/>
        </w:rPr>
        <w:t xml:space="preserve"> </w:t>
      </w:r>
      <w:hyperlink r:id="rId5" w:tgtFrame="http://utp.sberbank-ast.ru/">
        <w:r>
          <w:rPr>
            <w:rStyle w:val="Hyperlink"/>
          </w:rPr>
          <w:t>http://utp.sberbank-ast.ru</w:t>
        </w:r>
      </w:hyperlink>
      <w:r>
        <w:rPr>
          <w:rFonts w:eastAsia="Courier New"/>
          <w:lang w:bidi="ru-RU"/>
        </w:rPr>
        <w:t xml:space="preserve"> </w:t>
        <w:br/>
      </w:r>
      <w:r>
        <w:rPr>
          <w:rFonts w:eastAsia="Courier New"/>
          <w:color w:val="000000"/>
          <w:lang w:bidi="ru-RU"/>
        </w:rPr>
        <w:t xml:space="preserve">(далее – электронная площадка), торговая секция «Приватизация, аренда и продажа прав» (далее – торговая секция). 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rFonts w:eastAsia="Courier New"/>
          <w:color w:val="000000"/>
          <w:lang w:bidi="ru-RU"/>
        </w:rPr>
      </w:pPr>
      <w:r>
        <w:rPr>
          <w:rFonts w:eastAsia="Courier New"/>
          <w:b/>
          <w:color w:val="000000"/>
          <w:lang w:eastAsia="en-US" w:bidi="ru-RU"/>
        </w:rPr>
        <w:t>Владелец электронной площадки</w:t>
      </w:r>
      <w:r>
        <w:rPr>
          <w:rFonts w:eastAsia="Courier New"/>
          <w:color w:val="000000"/>
          <w:lang w:eastAsia="en-US" w:bidi="ru-RU"/>
        </w:rPr>
        <w:t>:</w:t>
      </w:r>
      <w:r>
        <w:rPr>
          <w:rFonts w:eastAsia="Calibri"/>
          <w:lang w:eastAsia="en-US"/>
        </w:rPr>
        <w:t xml:space="preserve"> АО «Сбербанк-АСТ» (далее – Оператор)</w:t>
      </w:r>
      <w:r>
        <w:rPr>
          <w:rFonts w:eastAsia="Courier New"/>
          <w:color w:val="000000"/>
          <w:lang w:eastAsia="en-US" w:bidi="ru-RU"/>
        </w:rPr>
        <w:t>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Cs/>
          <w:lang w:bidi="ru-RU"/>
        </w:rPr>
      </w:pPr>
      <w:r>
        <w:rPr>
          <w:rFonts w:eastAsia="Courier New"/>
          <w:color w:val="000000"/>
          <w:lang w:bidi="ru-RU"/>
        </w:rPr>
        <w:t xml:space="preserve">Регламент работы электронной площадки размещён по </w:t>
      </w:r>
      <w:r>
        <w:rPr>
          <w:rFonts w:eastAsia="Courier New"/>
          <w:lang w:bidi="ru-RU"/>
        </w:rPr>
        <w:t xml:space="preserve">адресу: </w:t>
      </w:r>
      <w:hyperlink r:id="rId6" w:tgtFrame="https://utp.sberbank-ast.ru/Main/Notice/988/Reglament">
        <w:r>
          <w:rPr>
            <w:rStyle w:val="Hyperlink"/>
            <w:rFonts w:eastAsia="Courier New"/>
            <w:lang w:bidi="ru-RU"/>
          </w:rPr>
          <w:t>https://utp.sberbank-ast.ru/Main/Notice/988/Reglament</w:t>
        </w:r>
      </w:hyperlink>
      <w:r>
        <w:rPr>
          <w:rFonts w:eastAsia="Courier New"/>
          <w:lang w:bidi="ru-RU"/>
        </w:rPr>
        <w:t>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rFonts w:eastAsia="Courier New"/>
          <w:lang w:bidi="ru-RU"/>
        </w:rPr>
      </w:pPr>
      <w:r>
        <w:rPr>
          <w:bCs/>
          <w:lang w:bidi="ru-RU"/>
        </w:rPr>
        <w:t xml:space="preserve">Регламент работы </w:t>
      </w:r>
      <w:r>
        <w:rPr>
          <w:rFonts w:eastAsia="Courier New"/>
          <w:lang w:bidi="ru-RU"/>
        </w:rPr>
        <w:t xml:space="preserve">торговой секции </w:t>
      </w:r>
      <w:r>
        <w:rPr>
          <w:bCs/>
          <w:lang w:eastAsia="en-US" w:bidi="ru-RU"/>
        </w:rPr>
        <w:t xml:space="preserve">размещен по адресу: </w:t>
      </w: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br w:type="textWrapping" w:clear="all"/>
      </w:r>
      <w:hyperlink r:id="rId7" w:tgtFrame="https://utp.sberbank-ast.ru/AP/Notice/1027/Instructions">
        <w:r>
          <w:rPr>
            <w:rStyle w:val="Hyperlink"/>
            <w:rFonts w:eastAsia="Calibri"/>
            <w:lang w:eastAsia="en-US"/>
          </w:rPr>
          <w:t>https://utp.sberbank-ast.ru/AP/Notice/1027/Instructions</w:t>
        </w:r>
      </w:hyperlink>
      <w:r>
        <w:rPr>
          <w:rFonts w:eastAsia="Calibri"/>
          <w:lang w:eastAsia="en-US"/>
        </w:rPr>
        <w:t>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/>
          <w:bCs/>
        </w:rPr>
      </w:pPr>
      <w:r>
        <w:rPr>
          <w:rFonts w:eastAsia="Courier New"/>
          <w:lang w:bidi="ru-RU"/>
        </w:rPr>
        <w:t xml:space="preserve">Инструкция по работе в торговой секции электронной площадки  </w:t>
      </w:r>
      <w:r>
        <w:rPr>
          <w:rFonts w:eastAsia="Courier New"/>
          <w:lang w:bidi="ru-RU"/>
        </w:rPr>
        <w:br w:type="textWrapping" w:clear="all"/>
      </w:r>
      <w:r>
        <w:rPr>
          <w:bCs/>
          <w:lang w:eastAsia="en-US" w:bidi="ru-RU"/>
        </w:rPr>
        <w:t>размещена по адресу:</w:t>
      </w:r>
      <w:r>
        <w:rPr>
          <w:rFonts w:eastAsia="Calibri" w:cs="Calibri" w:ascii="Calibri" w:hAnsi="Calibri"/>
          <w:sz w:val="22"/>
          <w:szCs w:val="22"/>
          <w:lang w:eastAsia="en-US"/>
        </w:rPr>
        <w:t xml:space="preserve"> </w:t>
      </w:r>
      <w:hyperlink r:id="rId8" w:tgtFrame="https://utp.sberbank-ast.ru/AP/Notice/652/Instructions">
        <w:r>
          <w:rPr>
            <w:rStyle w:val="Hyperlink"/>
            <w:bCs/>
            <w:lang w:eastAsia="en-US" w:bidi="ru-RU"/>
          </w:rPr>
          <w:t>https://utp.sberbank-ast.ru/AP/Notice/652/Instructions</w:t>
        </w:r>
      </w:hyperlink>
      <w:r>
        <w:rPr>
          <w:bCs/>
          <w:lang w:eastAsia="en-US" w:bidi="ru-RU"/>
        </w:rPr>
        <w:t>.</w:t>
      </w:r>
    </w:p>
    <w:p>
      <w:pPr>
        <w:pStyle w:val="Normal"/>
        <w:widowControl w:val="false"/>
        <w:ind w:firstLine="567" w:left="-567"/>
        <w:jc w:val="both"/>
        <w:rPr>
          <w:highlight w:val="none"/>
        </w:rPr>
      </w:pPr>
      <w:r>
        <w:rPr>
          <w:b/>
          <w:bCs/>
        </w:rPr>
        <w:t xml:space="preserve">Орган, уполномоченный на заключение договора купли-продажи земельного участка, либо на право заключения договора аренды земельного участка: </w:t>
      </w:r>
      <w:r>
        <w:rPr>
          <w:bCs/>
        </w:rPr>
        <w:t>департамент земельных отношений администрации города Перми, местонахождение: 614015, г. Пермь, ул. Сибирская,15, почтовый адрес: 614015, г. Пермь, ул. Сибирская,15, телефон 212-61-90 (отдел договоров), адрес электронной почты:</w:t>
      </w:r>
      <w:r>
        <w:rPr>
          <w:bCs/>
          <w:sz w:val="24"/>
          <w:szCs w:val="24"/>
        </w:rPr>
        <w:t xml:space="preserve"> </w:t>
      </w:r>
      <w:r>
        <w:rPr>
          <w:rStyle w:val="Hyperlink"/>
          <w:bCs/>
          <w:sz w:val="24"/>
          <w:szCs w:val="24"/>
          <w:lang w:val="en-US"/>
        </w:rPr>
        <w:t>dzo</w:t>
      </w:r>
      <w:r>
        <w:rPr>
          <w:rStyle w:val="Hyperlink"/>
          <w:bCs/>
          <w:sz w:val="24"/>
          <w:szCs w:val="24"/>
        </w:rPr>
        <w:t>@</w:t>
      </w:r>
      <w:r>
        <w:rPr>
          <w:rStyle w:val="Hyperlink"/>
          <w:bCs/>
          <w:sz w:val="24"/>
          <w:szCs w:val="24"/>
          <w:lang w:val="en-US"/>
        </w:rPr>
        <w:t>perm</w:t>
      </w:r>
      <w:r>
        <w:rPr>
          <w:rStyle w:val="Hyperlink"/>
          <w:bCs/>
          <w:sz w:val="24"/>
          <w:szCs w:val="24"/>
        </w:rPr>
        <w:t>.</w:t>
      </w:r>
      <w:r>
        <w:rPr>
          <w:rStyle w:val="Hyperlink"/>
          <w:bCs/>
          <w:sz w:val="24"/>
          <w:szCs w:val="24"/>
          <w:lang w:val="en-US"/>
        </w:rPr>
        <w:t>permkrai</w:t>
      </w:r>
      <w:r>
        <w:rPr>
          <w:rStyle w:val="Hyperlink"/>
          <w:bCs/>
          <w:sz w:val="24"/>
          <w:szCs w:val="24"/>
        </w:rPr>
        <w:t>.</w:t>
      </w:r>
      <w:r>
        <w:rPr>
          <w:rStyle w:val="Hyperlink"/>
          <w:bCs/>
          <w:sz w:val="24"/>
          <w:szCs w:val="24"/>
          <w:lang w:val="en-US"/>
        </w:rPr>
        <w:t>ru.</w:t>
      </w:r>
    </w:p>
    <w:p>
      <w:pPr>
        <w:pStyle w:val="Normal"/>
        <w:widowControl w:val="false"/>
        <w:ind w:firstLine="567" w:left="-567"/>
        <w:jc w:val="both"/>
        <w:rPr>
          <w:b/>
          <w:bCs/>
        </w:rPr>
      </w:pPr>
      <w:r>
        <w:rPr>
          <w:b/>
          <w:bCs/>
        </w:rPr>
      </w:r>
    </w:p>
    <w:p>
      <w:pPr>
        <w:pStyle w:val="Normal"/>
        <w:widowControl w:val="false"/>
        <w:ind w:firstLine="567" w:left="-567"/>
        <w:jc w:val="both"/>
        <w:rPr>
          <w:b/>
          <w:bCs/>
        </w:rPr>
      </w:pPr>
      <w:r>
        <w:rPr>
          <w:b/>
          <w:bCs/>
        </w:rPr>
      </w:r>
    </w:p>
    <w:p>
      <w:pPr>
        <w:pStyle w:val="PlainText"/>
        <w:spacing w:lineRule="exact" w:line="240"/>
        <w:ind w:hanging="1134" w:left="1134"/>
        <w:jc w:val="center"/>
        <w:rPr>
          <w:b/>
          <w:lang w:val="ru-RU"/>
        </w:rPr>
      </w:pPr>
      <w:r>
        <w:rPr>
          <w:rFonts w:cs="Times New Roman" w:ascii="Times New Roman" w:hAnsi="Times New Roman"/>
          <w:b/>
          <w:sz w:val="28"/>
          <w:szCs w:val="28"/>
          <w:lang w:val="ru-RU"/>
        </w:rPr>
        <w:t>Сведения о лотах (предметах аукциона)</w:t>
      </w:r>
    </w:p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  <w:highlight w:val="none"/>
        </w:rPr>
      </w:pPr>
      <w:r>
        <w:rPr>
          <w:b/>
          <w:lang w:val="en-US"/>
        </w:rPr>
        <w:t>Лот № 1</w:t>
      </w:r>
    </w:p>
    <w:tbl>
      <w:tblPr>
        <w:tblW w:w="5000" w:type="pct"/>
        <w:jc w:val="left"/>
        <w:tblInd w:w="-47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358"/>
        <w:gridCol w:w="3269"/>
        <w:gridCol w:w="6294"/>
      </w:tblGrid>
      <w:tr>
        <w:trPr>
          <w:trHeight w:val="877" w:hRule="atLeast"/>
        </w:trPr>
        <w:tc>
          <w:tcPr>
            <w:tcW w:w="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ind w:right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органа местного самоуправления, принявшего решение о проведении аукциона, реквизиты указанного решения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города Перми, распоряжение начальника департамента земельных отношений администрации города Перми от 16 июля 2024 г. № 21-01-03-6595                             «О проведении аукциона по продаже земельного участка               в Ленинском районе города Перми»</w:t>
            </w:r>
          </w:p>
        </w:tc>
      </w:tr>
      <w:tr>
        <w:trPr>
          <w:trHeight w:val="225" w:hRule="atLeast"/>
        </w:trPr>
        <w:tc>
          <w:tcPr>
            <w:tcW w:w="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аукциона по продаже земельного участка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93" w:hRule="atLeast"/>
        </w:trPr>
        <w:tc>
          <w:tcPr>
            <w:tcW w:w="3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360" w:left="720"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местоположение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Российская Федерация, край Пермский, городской округ Пермский, город Пермь, улица Рыбацкая, з/у 34г</w:t>
            </w:r>
          </w:p>
        </w:tc>
      </w:tr>
      <w:tr>
        <w:trPr>
          <w:trHeight w:val="148" w:hRule="atLeast"/>
        </w:trPr>
        <w:tc>
          <w:tcPr>
            <w:tcW w:w="35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580 кв. м</w:t>
            </w:r>
          </w:p>
        </w:tc>
      </w:tr>
      <w:tr>
        <w:trPr>
          <w:trHeight w:val="155" w:hRule="atLeast"/>
        </w:trPr>
        <w:tc>
          <w:tcPr>
            <w:tcW w:w="35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59:01:2018011:140</w:t>
            </w:r>
          </w:p>
        </w:tc>
      </w:tr>
      <w:tr>
        <w:trPr>
          <w:trHeight w:val="144" w:hRule="atLeast"/>
        </w:trPr>
        <w:tc>
          <w:tcPr>
            <w:tcW w:w="35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права на земельный участок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государственная собственность не разграничена</w:t>
            </w:r>
          </w:p>
        </w:tc>
      </w:tr>
      <w:tr>
        <w:trPr>
          <w:trHeight w:val="144" w:hRule="atLeast"/>
        </w:trPr>
        <w:tc>
          <w:tcPr>
            <w:tcW w:w="35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для индивидуального жилищного строительства (2.1)</w:t>
            </w:r>
          </w:p>
        </w:tc>
      </w:tr>
      <w:tr>
        <w:trPr>
          <w:trHeight w:val="576" w:hRule="atLeast"/>
        </w:trPr>
        <w:tc>
          <w:tcPr>
            <w:tcW w:w="35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принадлежность к определенной  </w:t>
              <w:br/>
              <w:t>категории земель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земли населенных пунктов</w:t>
            </w:r>
          </w:p>
        </w:tc>
      </w:tr>
      <w:tr>
        <w:trPr>
          <w:trHeight w:val="144" w:hRule="atLeast"/>
        </w:trPr>
        <w:tc>
          <w:tcPr>
            <w:tcW w:w="35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ограничение прав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Ограничения прав подробно описаны: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>в выписке из Единого государственного реестра недвижимости об объекте недвижимости от 24.01.2025г. № КУВИ-001/2025-20221628;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градостроительном плане земельного участка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19.06.2024 № РФ-59-2-03-0-00-2024-1265-0 (далее – ГПЗУ).</w:t>
            </w:r>
          </w:p>
          <w:p>
            <w:pPr>
              <w:pStyle w:val="BodyText"/>
              <w:ind w:firstLine="3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362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 момент обследования Участка нарушений не выявлено, строения, сооружения отсутствуют.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Близлежащий источник противопожарного водоснабжения (наружные водопроводные сети с пожарными гидрантами; водные объекты, используемые для целей пожаротушения в соответствии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с законодательством Российской Федерации; противопожарные резервуары) относительно Участка расположен по адресу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ул. Брикетная, 7.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  <w:szCs w:val="24"/>
              </w:rPr>
              <w:t>администрации Ленинского района города Перми</w:t>
            </w:r>
            <w:r>
              <w:rPr>
                <w:color w:val="000000"/>
                <w:sz w:val="24"/>
                <w:szCs w:val="24"/>
              </w:rPr>
              <w:t xml:space="preserve"> от 17.06.2024 № 059-26-01-16/3-126).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Согласно данным геодезической съемки в границах Участка отсутствуют инженерные сети и объекты.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Согласно сведениям, содержащимся в ЕГРН, ГПЗУ </w:t>
              <w:br/>
              <w:t xml:space="preserve"> и справке по градостроительным условиям участка </w:t>
              <w:br/>
              <w:t> от 24.01.2025</w:t>
            </w:r>
            <w:r>
              <w:rPr>
                <w:color w:val="000000"/>
              </w:rPr>
              <w:t xml:space="preserve"> № </w:t>
            </w:r>
            <w:r>
              <w:rPr>
                <w:color w:val="000000"/>
                <w:sz w:val="24"/>
              </w:rPr>
              <w:t>619925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Участок полностью расположен </w:t>
              <w:br/>
              <w:t xml:space="preserve"> в границах </w:t>
            </w:r>
            <w:r>
              <w:rPr>
                <w:b/>
                <w:color w:val="000000"/>
                <w:sz w:val="24"/>
              </w:rPr>
              <w:t>зон</w:t>
            </w:r>
            <w:r>
              <w:rPr>
                <w:color w:val="000000"/>
              </w:rPr>
              <w:t> </w:t>
            </w:r>
            <w:r>
              <w:rPr>
                <w:b/>
                <w:color w:val="000000"/>
                <w:sz w:val="24"/>
              </w:rPr>
              <w:t>с особыми условиями использования территории</w:t>
            </w:r>
            <w:r>
              <w:rPr>
                <w:color w:val="000000"/>
                <w:sz w:val="24"/>
              </w:rPr>
              <w:t>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Иная зона с особыми условиями использования территории «Зона затопления территории, прилегающих к зарегулированной р. Кама (Воткинскому водохранилищу)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в нижнем бьефе Камского гидроузла </w:t>
              <w:br/>
              <w:t xml:space="preserve"> в г. Перми Пермского края, затапливаемых при пропуске Камским гидроузлом паводков расчетной обеспеченности 1%», 59:00-6.2017, площадь земельного участка, покрываемая зоной с особым условиями использования территории, составляет 169,49 кв. м, (Приказ Камского бассейнового водного управления Федерального агентства водных ресурсов от 21.11.2022 № 239 «Об установлении границ зон затопления на территориях, прилегающих </w:t>
              <w:br/>
              <w:t xml:space="preserve"> к зарегулированной р. Кама (Воткинскому водохранилищу) а нижнем бьефе Камского гидроузла в г. Перми Пермского края, затапливаемых при пропуске Камским гидроузлом паводков расчетной обеспеченности 1%»; ограничения использования объектов недвижимости </w:t>
              <w:br/>
              <w:t> в соответствии с частью 3 статьи 67.1 Водного кодекса Российской Федерации);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охранной зоне транспорта «Зона с особыми условиями использования – Приаэродромная территория аэродрома аэропорта Большое Савино», 59:32-6.553 (Постановление Правительства Российской Федерации от 11.03.2010 № 138 «Об утверждении Федеральных правил использования воздушного пространства Российской Федерации»);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границах зоны с особыми условиями использования территории Зона охраны природных объектов «Часть водоохранной зоны Воткинского водохранилища», </w:t>
              <w:br/>
              <w:t> 59:01-6.2096 (п. 15 ст. 65 Водного кодекса Российской Федерации от 03.06.2006 № 74-ФЗ: Приказ Камского бассейнового водного управления Федерального агентства водных ресурсов от 07.07.2014 № 164 «Об установлении границ водоохранных зон и прибрежных защитных полос Воткинского водохранилища»);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границах зоны с особыми условиями использования территории Зона охраны природных объектов «Часть прибрежной защитной полосы Воткинского водохранилища», 59:01-6.3928 (Приказ Камского бассейнового водного управления Федерального агентства водных ресурсов № 164 от 07.07.2014 «Об установлении границ водоохранных зон и прибрежных защитных полос Воткинского водохранилища»: ч. 15, 17 ст. 65 Водного кодекса Российской Федерации от 03.06.2006 №74-ФЗ).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На Участке произрастают 18 деревьев пород – береза 8 шт., осина 3 шт., клен 3 шт., ива 4 шт.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Победителю аукциона необходимо соблюдать условия строительства, указанные в письме (прилагается).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bCs/>
                <w:color w:val="000000"/>
                <w:sz w:val="24"/>
              </w:rPr>
              <w:t>у</w:t>
            </w:r>
            <w:r>
              <w:rPr>
                <w:b/>
                <w:color w:val="000000"/>
                <w:sz w:val="24"/>
              </w:rPr>
              <w:t>правления по экологии и природопользованию администрации города Перми</w:t>
            </w:r>
            <w:r>
              <w:rPr>
                <w:color w:val="000000"/>
                <w:sz w:val="24"/>
              </w:rPr>
              <w:t xml:space="preserve"> от 18.06.2024 № 059-33-01-10/3-360).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Постановлением администрации города Перми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от 03.02.2017 № 72 в отношении рассматриваемой территории утверждены проект планировки территории и проект межевания территории.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Проектом планировки территории не предусмотрено установление красных линий, обозначающих территории общего пользования (улицы, проезды), для обеспечения доступа к Участку.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Бюджетом города Перми на 2024 год и плановый период 2025-2026 годов мероприятия по строительству, реконструкции, капитальному ремонту улично-дорожной сети на рассматриваемой территории не предусмотрены.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На сегодняшний день условия примыкания Участка </w:t>
              <w:br/>
              <w:t> к улично-дорожной сети города Перми отсутствуют.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Организация перехватывающих плоскостных парковок общего пользования местного значения Планом развития парковочного пространства города Перми на 2024-2026 г.г. на указанной территории не предусмотрена.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sz w:val="24"/>
                <w:szCs w:val="24"/>
              </w:rPr>
              <w:t>(Аналогичная информация отражена в письме</w:t>
            </w:r>
            <w:r>
              <w:rPr/>
              <w:t xml:space="preserve"> </w:t>
            </w:r>
            <w:r>
              <w:rPr>
                <w:b/>
                <w:bCs/>
              </w:rPr>
              <w:t>д</w:t>
            </w:r>
            <w:r>
              <w:rPr>
                <w:b/>
                <w:color w:val="000000"/>
                <w:sz w:val="24"/>
              </w:rPr>
              <w:t xml:space="preserve">епартамента дорог и благоустройства администрации города Перми </w:t>
            </w:r>
            <w:r>
              <w:rPr>
                <w:color w:val="000000"/>
                <w:sz w:val="24"/>
              </w:rPr>
              <w:t>от 07.06.2024  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059-24-01-36/3-1985).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Помещения для аварийно-спасательных формирований </w:t>
              <w:br/>
              <w:t xml:space="preserve"> на указанной территории отсутствуют. В настоящее время потребность в обеспечении служебными помещениями </w:t>
              <w:br/>
              <w:t> для аварийно-спасательных формирований в указанном районе отсутствует.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Источники противопожарного водоснабжения </w:t>
              <w:br/>
              <w:t> на указанной территории отсутствуют.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При размещении объектов на вышеуказанной территории необходимо соблюдать нормы и требования действующего законодательства: Федеральных законов </w:t>
              <w:br/>
              <w:t> от 21.12.1994 № 69-ФЗ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«О пожарной безопасности» </w:t>
              <w:br/>
              <w:t xml:space="preserve"> и от 22.07.2008 № 123-ФЗ «Технический регламент </w:t>
              <w:br/>
              <w:t> о требованиях пожарной безопасности», Региональных нормативов градостроительного проектирования «Расчетные показатели обеспеченности населения Пермского края объектами пожарной охраны», утвержденных приказом Министерства по управлению имуществом  и градостроительной деятельности Пермского края от 25.02.2021 № 31-02-1-4-248,</w:t>
              <w:br/>
              <w:t> а также Свода правил 8.13130 «Системы противопожарной защиты. Источники наружного противопожарного водоснабжения. Требования пожарной безопасности», Свода правил 4.13130 «Системы противопожарной защиты. Ограничение распространения пожара на объектах защиты. Требования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к объемно-планировочным и конструктивным решениям», утвержденных Приказом МЧС России от 24.04.2013 № 288 и иной документации, касающейся норм противопожарной безопасности.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Ближайший участковый пункт полиции находится </w:t>
              <w:br/>
              <w:t> по адресу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г. Пермь, ул. Профессора Дедюкина, д. 7.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 информации, предоставленной Министерством территориальной безопасности Пермского края, рассматриваемая территория попадает в зону возможного химического заражения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особый период.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На данной территории оконечные устройства системы оповещения населения города Перми отсутствуют.</w:t>
              <w:br/>
              <w:t> Для обеспечения покрытия запланированной территории системой оповещения населения необходимо предусматривать размещение сиренно-речевых узлов согласно пунктам 6.38, 6.39</w:t>
              <w:br/>
              <w:t> СП 165.1325800.2014 «Свод правил. Инженерно-технические мероприятия по гражданской обороне. Актуализированная редакция СНиП 2.01.51-90», утвержденные Приказом Минстроя России от 12.11.2014 № 705/пр.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департамента общественной безопасности администрации города Перми</w:t>
            </w:r>
            <w:r>
              <w:rPr>
                <w:color w:val="000000"/>
                <w:sz w:val="24"/>
              </w:rPr>
              <w:t xml:space="preserve"> от 11.06.2024 № 059-10-01-27/3-820).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рамках муниципальной программой «Развитие системы жилищно-коммунального хозяйства в городе Перми», утвержденной постановлением администрации города Перми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от 20.10.2021 № 924, в 2023 году реализовано мероприятие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по строительству сети водоснабжения в микрорайоне Средняя Курья по ул. Борцов Революции Ленинского района города Перми.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bCs/>
                <w:color w:val="000000"/>
                <w:sz w:val="24"/>
              </w:rPr>
              <w:t xml:space="preserve">департамента жилищно-коммунального хозяйства администрации города Перми </w:t>
            </w:r>
            <w:r>
              <w:rPr>
                <w:color w:val="000000"/>
                <w:sz w:val="24"/>
              </w:rPr>
              <w:t xml:space="preserve"> от 14.06.2024 № 059-04-17/3-568-ри).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ind w:firstLine="3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1087" w:hRule="atLeast"/>
        </w:trPr>
        <w:tc>
          <w:tcPr>
            <w:tcW w:w="35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максимально и (или) минимально  допустимые параметры разрешенного строительства </w:t>
              <w:br/>
              <w:t>объекта капитального строительства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на официальном сайте муниципального образования город Пермь в информационно-телекоммуникационной сети Интернет </w:t>
            </w:r>
            <w:r>
              <w:rPr>
                <w:sz w:val="24"/>
                <w:szCs w:val="24"/>
              </w:rPr>
              <w:t>www.gorodperm.ru.</w:t>
            </w:r>
          </w:p>
          <w:p>
            <w:pPr>
              <w:pStyle w:val="Normal"/>
              <w:ind w:firstLine="3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362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Согласно градостроительному плану Земельного участка от 19.06.2024 № РФ-59-2-03-0-00-2024-1265-0 (далее – ГПЗУ): Минимальный отступ от границ земельного участка – 3 м, до места допустимого размещения зданий, строений (за исключением границ со стороны территории общего пользования, где отступ определяется с учетом красных линий и линий регулирования застройки, установленных проектом планировки территории, а также границ смежных земельных участков.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Максимальный процент застройки – 40 %.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Предельная высота зданий, строений не более 10,5 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Максимальный выступ за красную линию нависающих частей здания наземных уровней, выступающих из плоскости наружной стены фасада здания на высоте не менее 4,5 м над территорией общего пользования, составляет не более 1,2 м от красной линии.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случаях, когда линия регулирования застройки отличается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от красной линии, указанный выступ может быть произведен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за линию регулирования застройки.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случае если в границах территориальной зоны предусматривается осуществление деятельности </w:t>
              <w:br/>
              <w:t xml:space="preserve"> по комплексному развитию территории, расчет показателей минимально допустимого уровня обеспеченности территории объектами коммунальной, транспортной, социальной инфраструктур и расчет показателей максимально допустимого уровня территориальной доступности указанных объектов для населения осуществляются в соответствии </w:t>
              <w:br/>
              <w:t> с утвержденными нормативами градостроительного проектирования.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Проектирование и строительство необходимо вести </w:t>
              <w:br/>
              <w:t> в соответствии с пунктом 4.5 СП 55.13330.2016 Свода Правил. Дома жилые одноквартирные. СНиП 31-02-2001, утвержденным и введенным в действие Приказом Министерства строительства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 жилищно-коммунального хозяйства Российской Федерации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от 20.10.2016 № 725/пр. Дом должен включать комнаты - одну или несколько (общую комнату или гостиную, спальню), а также вспомогательные помещения: переднюю, кухню [в том числе кухню-столовую и (или) кухню-нишу], ванные комнаты и (или) душевые, туалет (уборную) или совмещенный санузел, переднюю. Согласно пункту 6.1 СП 55.13330.2016 площади помещений строящихся и реконструируемых жилых домов должны быть </w:t>
              <w:br/>
              <w:t> не менее: общей комнаты в однокомнатном доме - 14 м2, общей комнаты в доме с числом комнат две и более - 16 м2, спальни - 8 м2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(на двух человек - 10 м2); кухни - 8 м2; кухонной зоны в кухне-столовой - 6 м2. В домах с одной комнатой допускается проектировать кухни или кухни-ниши площадью не менее 5 м2.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Площадь спальни и кухни в мансардном этаже (или этаже с наклонными ограждающими конструкциями) допускается не менее 7 м2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при условии, что общая жилая комната имеет площадь не менее 16 м2.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Высота (от пола до потолка) комнат и кухни (кухни-столовой) в климатических районах строительства IА, IБ, IГ, IД, определяемых по </w:t>
            </w:r>
            <w:r>
              <w:rPr>
                <w:color w:val="0000FF"/>
                <w:sz w:val="24"/>
                <w:u w:val="single"/>
              </w:rPr>
              <w:t>СП 131.13330</w:t>
            </w:r>
            <w:r>
              <w:rPr>
                <w:color w:val="000000"/>
                <w:sz w:val="24"/>
              </w:rPr>
              <w:t>, должна быть не менее 2,7 м,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а в других климатических районах строительства - не менее 2,5 м. Высота внутридомовых коридоров, холлов, передних, антресолей должна составлять не менее 2,1 м, а высота пути эвакуации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- не менее 2,2 м. В жилых комнатах и кухнях, расположенных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этажах с наклонными ограждающими конструкциями или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мансардном этаже, допускается уменьшение высоты помещений (от пола</w:t>
              <w:br/>
              <w:t xml:space="preserve"> до потолка), относительно нормируемой на площади, </w:t>
              <w:br/>
              <w:t> не превышающей 50%.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жилых комнатах и кухнях, расположенных в этажах</w:t>
              <w:br/>
              <w:t xml:space="preserve"> с наклонными ограждающими конструкциями или </w:t>
              <w:br/>
              <w:t> в мансардном этаже, допускается уменьшение высоты помещений (от пола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до потолка), относительно нормируемой на площади,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не превышающей 50%.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Победителю аукциона (единственному участнику) рекомендовано обратиться в уполномоченный орган </w:t>
              <w:br/>
              <w:t> с уведомлением о планируемом строительстве жилого дома.</w:t>
            </w:r>
          </w:p>
          <w:p>
            <w:pPr>
              <w:pStyle w:val="BodyText"/>
              <w:ind w:firstLine="3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35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2"/>
              </w:numPr>
              <w:ind w:hanging="284" w:left="5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возможность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на официальном сайте муниципального образования город Пермь в информационно-телекоммуникационной сети Интернет </w:t>
            </w:r>
            <w:r>
              <w:rPr>
                <w:sz w:val="24"/>
                <w:szCs w:val="24"/>
              </w:rPr>
              <w:t>www.gorodperm.ru.</w:t>
            </w:r>
          </w:p>
          <w:p>
            <w:pPr>
              <w:pStyle w:val="Normal"/>
              <w:ind w:firstLine="3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312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Имеется  техническая возможность технологического присоединения объекта капитального строительства с предполагаемым электоропотреблением 15 кВт на Участке к электросетям филиала.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соответствии с Правилами недискриминационного доступа к услугам по передаче электрической энергии </w:t>
              <w:br/>
              <w:t> и оказания этих услуг, Правил недискриминационного доступа к услугам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по оперативно-диспетчерскому управлению в электроэнергетике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и оказания этих услуг, Правил недискриминационного доступа  к услугам администратора торговой системы оптового рынка и оказания этих услуг и Правил технологического присоединения энергопринимающих устройств потребителей электрической энергии, объектов </w:t>
              <w:br/>
              <w:t xml:space="preserve"> 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утвержденных постановлением Правительства РФ </w:t>
              <w:br/>
              <w:t> от 27.12.2004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861, конкретные технические условия на электроснабжение объекта будут разработаны в составе договора о технологическом присоединении.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Подать заявку на технологическое присоединение возможно через единый федеральный портал электросетевых услуг группы компаний «Россети» на сайте: </w:t>
            </w:r>
            <w:r>
              <w:rPr>
                <w:color w:val="0000FF"/>
                <w:sz w:val="24"/>
                <w:u w:val="single"/>
              </w:rPr>
              <w:t>https://портал-тп.рф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или через Мобильное приложение ПАО «Россети».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color w:val="000000"/>
                <w:sz w:val="24"/>
                <w:szCs w:val="24"/>
              </w:rPr>
              <w:t>ПАО «Россети Урал» – филиал «Пермэнерго»</w:t>
            </w:r>
            <w:r>
              <w:rPr>
                <w:color w:val="000000"/>
                <w:sz w:val="24"/>
                <w:szCs w:val="24"/>
              </w:rPr>
              <w:t xml:space="preserve"> от 11.06.2024 № ПЭ/ПГЭС/01/22/5768).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Участок находится вне зоны теплоснабжения ПАО «Т Плюс».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color w:val="000000"/>
                <w:sz w:val="24"/>
              </w:rPr>
              <w:t>ПАО «Т Плюс»</w:t>
            </w:r>
            <w:r>
              <w:rPr>
                <w:color w:val="000000"/>
                <w:sz w:val="24"/>
              </w:rPr>
              <w:t xml:space="preserve"> от 10.06.2024  № 51000-32-01828).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Техническая возможность подключения объекта к сетям теплоснабжения отсутствует.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Рекомендуется рассмотреть альтернативный источник теплоснабжения – газ.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sz w:val="24"/>
                <w:szCs w:val="24"/>
              </w:rPr>
              <w:t>(Аналогичная информация отражена в письме</w:t>
            </w:r>
            <w:r>
              <w:rPr/>
              <w:t xml:space="preserve"> </w:t>
            </w:r>
            <w:r>
              <w:rPr>
                <w:b/>
                <w:bCs/>
              </w:rPr>
              <w:t>д</w:t>
            </w:r>
            <w:r>
              <w:rPr>
                <w:b/>
                <w:color w:val="000000"/>
                <w:sz w:val="24"/>
              </w:rPr>
              <w:t xml:space="preserve">епартамента жилищно-коммунального хозяйства администрации города Перми </w:t>
            </w:r>
            <w:r>
              <w:rPr>
                <w:color w:val="000000"/>
                <w:sz w:val="24"/>
              </w:rPr>
              <w:t>от 04.07.2024 № 059-04-25/3-78-ри).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/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Согласно письму техническая возможность подключения объекта капитального строительства с предполагаемой максимальной нагрузкой 8 куб.м/час к существующим сетям газораспределения имеется.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АО «Газпром газораспределение Пермь»</w:t>
            </w:r>
            <w:r>
              <w:rPr>
                <w:color w:val="000000"/>
                <w:sz w:val="24"/>
              </w:rPr>
              <w:t> от 06.06.2024 № ПФ-3401).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О наличии технической возможности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для подключения сетей водоснабжения и водоотведения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с предполагаемой величиной нагрузки 1,0 м3/сут. сообщается, что ближайшие сети водоснабжения и водоотведения, эксплуатируемые ООО «НОВОГОР-Прикамье», находятся ориентировочно на расстоянии 2,2 км от Участка.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При проектировании может быть применен альтернативный способ канализования, без подключения </w:t>
              <w:br/>
              <w:t> к централизованной системе канализации г. Перми (отвод стоков возможен на локальные очистные сооружения либо в выгребную яму, с последующим вывозом стоков спец. машинами), при этом состав канализационных стоков должен соответствовать всем нормативным требованиям Российской Федерации.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Для сведения сообщается, что по состоянию на сегодняшний день МП «Пермводоканал» построило блокировочную сеть водопровода Д-355 мм по ул. Борцов Революции от ул. Спешилова до ул. Ленской (Заказчик – ДЖКХ администрации города Перми), технические условия на подключению к водопроводу Д-355 мм</w:t>
              <w:br/>
              <w:t> по ул. Борцов Революции МП «Пермводоканал» будет выдавать после ввода его в эксплуатацию, но не ранее 3 кв. 2024 г.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Для сведения сообщается: в границах Участка отсутствуют сети водопровода и канализации, эксплуатируемые ООО «НОВОГОР-Прикамье».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Размещение объекта необходимо предусматривать строго за пределами охранных зон сетей водопровода </w:t>
              <w:br/>
              <w:t xml:space="preserve"> и канализации в соответствии норм СП, в том числе </w:t>
              <w:br/>
              <w:t xml:space="preserve"> в соответствии таблицы 12.5 СП 42.13330.2016 «Градостроительство планировка и застройка городских </w:t>
              <w:br/>
              <w:t> и сельских поселений».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 xml:space="preserve">ООО «НОВОГОР-Прикамье» </w:t>
            </w:r>
            <w:r>
              <w:rPr>
                <w:color w:val="000000"/>
                <w:sz w:val="24"/>
              </w:rPr>
              <w:t>от 06.06.2024 № 110-8926).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Технологическое присоединение к сетям связи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ПАО «Ростелеком» планируемых к строительству объектов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границах Участка может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быть произведено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точке подключения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узел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ВОЛС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(г. Пермь, ул. Попова, д. 17), максимальную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нагрузку  в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точке подключения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(технологического присоединения) определить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на стадии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проектирования.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Для получения ТУ на подключение к сетям связи </w:t>
              <w:br/>
              <w:t> ПАО «Ростелеком» необходимо обратиться в Отдел продаж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и обслуживания по адресу: г. Пермь, ул. Крупской, 2, тел.: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+7 (342) 235-57-34 или направить запрос на </w:t>
            </w:r>
            <w:hyperlink r:id="rId9">
              <w:r>
                <w:rPr>
                  <w:rStyle w:val="Hyperlink"/>
                  <w:color w:val="0000FF"/>
                  <w:sz w:val="24"/>
                  <w:u w:val="single"/>
                </w:rPr>
                <w:t>perm-mail@ural.rt.ru</w:t>
              </w:r>
            </w:hyperlink>
            <w:r>
              <w:rPr>
                <w:color w:val="000000"/>
                <w:sz w:val="24"/>
              </w:rPr>
              <w:t>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от 13.06.2024 № 01/05/84381/24 </w:t>
            </w:r>
            <w:r>
              <w:rPr>
                <w:b/>
                <w:color w:val="000000"/>
                <w:sz w:val="24"/>
              </w:rPr>
              <w:t>ПАО «Ростелеком»</w:t>
            </w:r>
            <w:r>
              <w:rPr>
                <w:b w:val="false"/>
                <w:bCs w:val="false"/>
                <w:color w:val="000000"/>
                <w:sz w:val="24"/>
              </w:rPr>
              <w:t>).</w:t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225" w:hRule="atLeast"/>
        </w:trPr>
        <w:tc>
          <w:tcPr>
            <w:tcW w:w="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Начальная цена предмета аукциона</w:t>
            </w:r>
          </w:p>
          <w:p>
            <w:pPr>
              <w:pStyle w:val="Normal"/>
              <w:ind w:right="-26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(рыночная стоимость земельного участка)</w:t>
            </w:r>
          </w:p>
          <w:p>
            <w:pPr>
              <w:pStyle w:val="Normal"/>
              <w:ind w:right="-26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Победитель аукциона, иное лицо, с которым договор заключается в соответствии с п.13, п.14 или п. 20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ст. 39.12 Земельного Кодекса Российской Федерации (далее – ЗК РФ), обязан </w:t>
            </w:r>
            <w:r>
              <w:rPr>
                <w:b/>
                <w:sz w:val="24"/>
                <w:szCs w:val="24"/>
              </w:rPr>
              <w:t>в течение 15 дней</w:t>
            </w:r>
            <w:r>
              <w:rPr>
                <w:sz w:val="24"/>
                <w:szCs w:val="24"/>
              </w:rPr>
              <w:t xml:space="preserve"> со дня размещения  протокола о результатах аукциона, а в случаях, определенных п.13, п.14, ст. 39.12 ЗК РФ, протокола рассмотрения заявок, </w:t>
            </w:r>
            <w:r>
              <w:rPr>
                <w:b/>
                <w:sz w:val="24"/>
                <w:szCs w:val="24"/>
              </w:rPr>
              <w:t xml:space="preserve">перечислить денежные средства </w:t>
            </w:r>
            <w:r>
              <w:rPr>
                <w:sz w:val="24"/>
                <w:szCs w:val="24"/>
              </w:rPr>
              <w:t>за земельный участок (за вычетом задатка, внесенного для участия в аукционе) на счет департамента земельных отношений администрации города Перми, 614015, ул. Сибирская,15, тел. 212-61-90 (отдел договоров)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2 642 000 руб.</w:t>
            </w:r>
          </w:p>
        </w:tc>
      </w:tr>
      <w:tr>
        <w:trPr>
          <w:trHeight w:val="225" w:hRule="atLeast"/>
        </w:trPr>
        <w:tc>
          <w:tcPr>
            <w:tcW w:w="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«Шаг аукциона» (3% от начальной цены)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79 260 руб.</w:t>
            </w:r>
          </w:p>
        </w:tc>
      </w:tr>
      <w:tr>
        <w:trPr>
          <w:trHeight w:val="416" w:hRule="atLeast"/>
        </w:trPr>
        <w:tc>
          <w:tcPr>
            <w:tcW w:w="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на участие в аукционе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размещена на сайтах www.torgi.gov.ru, www.gorodperm.ru (раздел Деятельность/ Муниципальная собственность/ Торговая площадка/ Вид торгов Продажа и аренда земельных участков).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Заявка подается и принимается одновременно с полным пакетом документов, требуемых для участия в аукционе. На каждый лот представляется отдельный пакет документов.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Решение о про</w:t>
            </w:r>
            <w:r>
              <w:rPr>
                <w:b/>
                <w:sz w:val="24"/>
                <w:szCs w:val="24"/>
                <w:shd w:fill="auto" w:val="clear"/>
              </w:rPr>
              <w:t>ведении аукциона принято в соответствии со статьей 39.18 Земельного кодекса Российской Федерации, участниками аукциона, могут являться только гражда</w:t>
            </w:r>
            <w:r>
              <w:rPr>
                <w:b/>
                <w:sz w:val="24"/>
                <w:szCs w:val="24"/>
              </w:rPr>
              <w:t>не.</w:t>
            </w:r>
          </w:p>
        </w:tc>
      </w:tr>
      <w:tr>
        <w:trPr>
          <w:trHeight w:val="236" w:hRule="atLeast"/>
        </w:trPr>
        <w:tc>
          <w:tcPr>
            <w:tcW w:w="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задатка (50% от начальной цены)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1 321 000 руб.</w:t>
            </w:r>
          </w:p>
        </w:tc>
      </w:tr>
      <w:tr>
        <w:trPr>
          <w:trHeight w:val="1884" w:hRule="atLeast"/>
        </w:trPr>
        <w:tc>
          <w:tcPr>
            <w:tcW w:w="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 договора купли-продажи земельного участка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Проект договора купли-продажи земельного участка, приобретаемого на торгах в форме аукциона, утвержден постановлением администрации города Перми от 29.05.2015 № 322, является Приложением 2 к настоящему извещению и </w:t>
            </w:r>
            <w:r>
              <w:rPr>
                <w:sz w:val="24"/>
                <w:szCs w:val="24"/>
                <w:lang w:val="en-US" w:eastAsia="en-US"/>
              </w:rPr>
              <w:t xml:space="preserve">размещен на сайтах www.torgi.gov.ru, www.gorodperm.ru (раздел Деятельность/ </w:t>
              <w:br/>
              <w:t>Муниципальная собственность/ Торговая площадка</w:t>
              <w:br/>
              <w:t>Вид торгов Продажа и аренда земельных участков)</w:t>
            </w:r>
          </w:p>
        </w:tc>
      </w:tr>
      <w:tr>
        <w:trPr>
          <w:trHeight w:val="144" w:hRule="atLeast"/>
        </w:trPr>
        <w:tc>
          <w:tcPr>
            <w:tcW w:w="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Порядок осмотра земельного участка </w:t>
              <w:br/>
              <w:t>на местности</w:t>
            </w:r>
          </w:p>
        </w:tc>
        <w:tc>
          <w:tcPr>
            <w:tcW w:w="62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Осмотр земельного участка производится заявителем самостоятельно в любое время с даты опубликования настоящего извещения.</w:t>
            </w:r>
          </w:p>
        </w:tc>
      </w:tr>
    </w:tbl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  <w:highlight w:val="none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  <w:highlight w:val="none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  <w:highlight w:val="none"/>
        </w:rPr>
      </w:pPr>
      <w:r>
        <w:rPr>
          <w:b/>
          <w:lang w:val="en-US"/>
        </w:rPr>
        <w:t>Лот № 2</w:t>
      </w:r>
    </w:p>
    <w:tbl>
      <w:tblPr>
        <w:tblW w:w="5000" w:type="pct"/>
        <w:jc w:val="left"/>
        <w:tblInd w:w="-47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345"/>
        <w:gridCol w:w="3275"/>
        <w:gridCol w:w="6301"/>
      </w:tblGrid>
      <w:tr>
        <w:trPr>
          <w:trHeight w:val="877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0"/>
              <w:ind w:right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органа местного самоуправления, принявшего решение о проведении аукциона, реквизиты указанного решения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города Перми, распоряжение начальника департамента земельных отношений администрации города Перми от 09 сентября 2024 г. № 21-01-03-8202                 «О проведении аукциона по продаже земельного участка в Кировском районе города Перми»</w:t>
            </w:r>
          </w:p>
        </w:tc>
      </w:tr>
      <w:tr>
        <w:trPr>
          <w:trHeight w:val="225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аукциона по продаже земельного участка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93" w:hRule="atLeast"/>
        </w:trPr>
        <w:tc>
          <w:tcPr>
            <w:tcW w:w="3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местоположение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Российская Федерация, край Пермский, городской округ Пермский, город Пермь, улица Бузулукская, з/у 32д</w:t>
            </w:r>
          </w:p>
        </w:tc>
      </w:tr>
      <w:tr>
        <w:trPr>
          <w:trHeight w:val="155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 кв. м</w:t>
            </w:r>
          </w:p>
        </w:tc>
      </w:tr>
      <w:tr>
        <w:trPr>
          <w:trHeight w:val="155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59:01:1810008:210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права на земельный участок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государственная собственность не разграничена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индивидуального жилищного строительства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принадлежность к определенной  </w:t>
              <w:br/>
              <w:t>категории земель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земли населенных пунктов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ограничение прав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Ограничения прав подробно описаны: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выписке из Единого государственного реестра недвижимости об объекте недвижимости от 22.01.2025г. № КУВИ-001/2025-17724656;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градостроительном плане земельного участка</w:t>
            </w:r>
          </w:p>
          <w:p>
            <w:pPr>
              <w:pStyle w:val="Normal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>от 29.08.2024 № РФ-59-2-03-0-00-2024-1816-0 (далее – ГПЗУ).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tabs>
                <w:tab w:val="clear" w:pos="708"/>
                <w:tab w:val="right" w:pos="6000" w:leader="none"/>
              </w:tabs>
              <w:ind w:firstLine="311" w:right="0"/>
              <w:jc w:val="both"/>
              <w:rPr>
                <w:rFonts w:ascii="Times New Roman" w:hAnsi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color w:val="000000"/>
                <w:sz w:val="24"/>
                <w:szCs w:val="24"/>
                <w:highlight w:val="white"/>
              </w:rPr>
            </w:r>
          </w:p>
          <w:p>
            <w:pPr>
              <w:pStyle w:val="BodyText"/>
              <w:tabs>
                <w:tab w:val="clear" w:pos="708"/>
                <w:tab w:val="right" w:pos="6000" w:leader="none"/>
              </w:tabs>
              <w:ind w:firstLine="311" w:right="0"/>
              <w:jc w:val="both"/>
              <w:rPr/>
            </w:pPr>
            <w:r>
              <w:rPr>
                <w:color w:val="000000"/>
                <w:sz w:val="24"/>
                <w:szCs w:val="24"/>
                <w:highlight w:val="white"/>
              </w:rPr>
              <w:t>В ходе обследования установлено: Участок не огорожен, капитальных/некапитальных строений не обнаружено.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Ближайшие  источники противопожарного водоснабжения относительно Участка расположены </w:t>
              <w:br/>
              <w:t xml:space="preserve"> на ул. Агрономическая, 23 (пожарный гидрант), </w:t>
              <w:br/>
              <w:t> ул. Заборная, 41 (пожарный гидрант), Ирбитская, 45 (пожарный водоем).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color w:val="000000"/>
                <w:sz w:val="24"/>
                <w:szCs w:val="24"/>
                <w:highlight w:val="white"/>
              </w:rPr>
              <w:t>администрации Кировского района города Перми</w:t>
            </w:r>
            <w:r>
              <w:rPr>
                <w:color w:val="000000"/>
                <w:sz w:val="24"/>
                <w:szCs w:val="24"/>
                <w:highlight w:val="white"/>
              </w:rPr>
              <w:t xml:space="preserve"> от 07.08.2024  № 059-23-01-25/3-335).</w:t>
            </w:r>
          </w:p>
          <w:p>
            <w:pPr>
              <w:pStyle w:val="BodyText"/>
              <w:spacing w:before="0" w:after="0"/>
              <w:ind w:hanging="0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Согласно сведениям, содержащимся в ГПЗУ, ЕГРН </w:t>
              <w:br/>
              <w:t> и справке по градостроительным условиям от 22.01.2025</w:t>
            </w:r>
            <w:r>
              <w:rPr>
                <w:color w:val="000000"/>
              </w:rPr>
              <w:t xml:space="preserve"> № </w:t>
            </w:r>
            <w:r>
              <w:rPr>
                <w:color w:val="000000"/>
                <w:sz w:val="24"/>
              </w:rPr>
              <w:t xml:space="preserve">619698, Участок расположен в границах зон </w:t>
              <w:br/>
              <w:t> с особыми условиями использования территории: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полностью в приаэродромной территории аэродрома аэропорта Большое Савино, реестровый номер границы 59:32-6.553. Проектирование и строительство вести </w:t>
              <w:br/>
              <w:t xml:space="preserve"> в соответствии с постановлением Правительства Российской Федерации от 11.03.2010 № 138 </w:t>
              <w:br/>
              <w:t> «Об утверждении Федеральных правил использования воздушного пространства Российской Федерации»: «Запрещается размещать в полосах воздушных подходов на удалении до 30 км, а вне полос воздушных подходов – до 15 км от контрольной точки аэродрома объекты выбросов (размещения) отходов, животноводческие фермы, скотобойни и другие объекты, способствующие привлечению и массовому скоплению птиц».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Согласно сведениям информационной системы обеспечения градостроительной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деятельности Участок попадает в противопожарный разрыв до 15 м, от 15 м </w:t>
              <w:br/>
              <w:t> до 30 м от территории пермского городского лесничества.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При размещении объектов на Участке необходимо учитывать требования свода правил СП 4.13130.2013 «Системы противопожарной защиты. Ограничение распространения пожара на объектах защиты. Требования к объемно-планировочным и конструктивным решениям», утвержденного приказом МЧС России от 24.04.2013 № 288 (далее – Свод правил).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Обращаем внимание, что с 01.12.2022 вступили </w:t>
              <w:br/>
              <w:t xml:space="preserve"> в силу изменения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 xml:space="preserve">3 к Своду правил.  Пункт 4.14 Свода правил дополнен абзацем 9, в соответствии </w:t>
              <w:br/>
              <w:t> с которым противопожарные расстояния от зданий, сооружений до лесных и других древесно-кустарниковых насаждений на землях населенных пунктов (городских лесов, парков, скверов, аллей, садов и т.п.) не нормируются.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При планировке и размещении объектов </w:t>
              <w:br/>
              <w:t xml:space="preserve"> на вышеуказанной территории необходимо соблюдать нормы и требования действующего законодательства: Федеральных законов от 21.12.1994 № 69-ФЗ </w:t>
              <w:br/>
              <w:t> «О пожарной безопасности» и от 22.07.2008 № 123-ФЗ «Технический регламент о требованиях пожарной безопасности».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На Участке произрастает 65 шт. деревьев породы – береза 56 шт., сосна 8 шт., ель 1 шт.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Победителю аукциона необходимо соблюдать условия строительства, перечисленные в перечне мероприятий по охране окружающей среды от 21.08.2024 № 198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(прилагается).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color w:val="000000"/>
                <w:sz w:val="24"/>
              </w:rPr>
              <w:t>управления по экологии и природопользованию администрации города Перми</w:t>
            </w:r>
            <w:r>
              <w:rPr>
                <w:color w:val="000000"/>
                <w:sz w:val="24"/>
              </w:rPr>
              <w:t> от 21.08.2024 № 059-33-01-10/3-551).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На территории, где расположен Участок, схемами не предусмотрено строительство сетей водоснабжения  и водоотведения. Для определения технической возможности подключения объекта капитального строительства к сетям водоснабжения и водоотведения необходимо обратиться к гарантирующей организации для проведения гидравлического расчета.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(Аналогичная информация отражена в письме д</w:t>
            </w:r>
            <w:r>
              <w:rPr>
                <w:b/>
                <w:color w:val="000000"/>
                <w:sz w:val="24"/>
              </w:rPr>
              <w:t>епартамента жилищно-коммунального хозяйства администрации города Перми</w:t>
            </w:r>
            <w:r>
              <w:rPr>
                <w:color w:val="000000"/>
                <w:sz w:val="24"/>
              </w:rPr>
              <w:t xml:space="preserve"> от 08.08.2024 № 059-04-17/3-764-ри).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Постановлением администрации города Перми от 23.12.2016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1159, в отношении Участка утверждены проект планировки территории и проект межевания территории.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Проектом планировки территории не предусмотрено установление красных линий, обозначающих территории общего пользования (улицы, проезды), для обеспечения доступа к Участку.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Бюджетом города Перми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на 2024 год и плановый период 2025-2026 годов мероприятия по строительству, реконструкции, капитальному ремонту улично-дорожной сети на Участке не предусмотрены.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На сегодняшний день условия примыкания Участка </w:t>
              <w:br/>
              <w:t> к улично-дорожной сети города Перми отсутствуют.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(Аналогичная информация отражена в письме д</w:t>
            </w:r>
            <w:r>
              <w:rPr>
                <w:b/>
                <w:color w:val="000000"/>
                <w:sz w:val="24"/>
              </w:rPr>
              <w:t>епартамента дорог и благоустройства администрации города Перми</w:t>
            </w:r>
            <w:r>
              <w:rPr>
                <w:color w:val="000000"/>
                <w:sz w:val="24"/>
              </w:rPr>
              <w:t xml:space="preserve"> от 14.08.2024 № 059-24-01-36/3-2939).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Ближайшее подразделение пожарной охраны расположено по адресу: ул. Сысольская, 16 (ПСЧ-6 10-ПСО);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источники противопожарного водоснабжения </w:t>
              <w:br/>
              <w:t> на Участке отсутствуют;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объект общественной безопасности, отнесенные к объектам полиции (участковые пункты полиции) в данном микрорайоне (Налимиха) отсутствуют. Ближайший участковый пункт расположен по адресу:  г. Пермь, ул. Судозаводская, д. 8, (м-н Нижняя Курья, Кировский район). В настоящее время в указанном микрорайоне строительство (приобретение) участковых пунктов полиции не планируется;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 информации, предоставленной министерством территориальной безопасности Пермского края, рассматриваемая территория попадает в зону возможного химического заражения в особый период;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На Участке оконечные устройства системы оповещения населения города Перми отсутствуют. Для обеспечения покрытия запланированной территории системой оповещения населения необходимо предусматривать размещение сиренно-речевых узлов согласно пунктам 6.38, 6.39 СП 165.1325800.2014 «Свод правил. Инженерно-технические мероприятия  по гражданской обороне. Актуализированная редакция СНиП 2.01.51-90».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При размещении объектов на вышеуказанной территории необходимо соблюдать нормы и требования действующего законодательства: Федеральных законов от 21.12.1994 № 69-ФЗ «О пожарной безопасности» </w:t>
              <w:br/>
              <w:t xml:space="preserve"> и от 22.07.2008 № 123-ФЗ «Технический регламент </w:t>
              <w:br/>
              <w:t> о требованиях пожарной безопасности».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департамента общественной безопасности администрации города Перми</w:t>
            </w:r>
            <w:r>
              <w:rPr>
                <w:color w:val="000000"/>
                <w:sz w:val="24"/>
              </w:rPr>
              <w:t xml:space="preserve"> от 02.08.2024 № 059-10-01-27/3-1157).</w:t>
            </w:r>
          </w:p>
          <w:p>
            <w:pPr>
              <w:pStyle w:val="BodyText"/>
              <w:spacing w:before="0" w:after="0"/>
              <w:ind w:firstLine="362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</w:tc>
      </w:tr>
      <w:tr>
        <w:trPr>
          <w:trHeight w:val="2262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максимально и (или) минимально  допустимые параметры разрешенного строительства </w:t>
              <w:br/>
              <w:t>объекта капитального строительства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официальном сайте муниципального образования город Пермь в информационно-телекоммуникационной сети Интернет </w:t>
            </w:r>
            <w:r>
              <w:rPr>
                <w:sz w:val="24"/>
                <w:szCs w:val="24"/>
              </w:rPr>
              <w:t>www.gorodperm.ru.</w:t>
            </w:r>
          </w:p>
          <w:p>
            <w:pPr>
              <w:pStyle w:val="Normal"/>
              <w:tabs>
                <w:tab w:val="clear" w:pos="708"/>
                <w:tab w:val="right" w:pos="6000" w:leader="none"/>
              </w:tabs>
              <w:ind w:firstLine="3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311" w:right="0"/>
              <w:jc w:val="both"/>
              <w:rPr/>
            </w:pPr>
            <w:r>
              <w:rPr>
                <w:color w:val="000000"/>
                <w:sz w:val="24"/>
                <w:szCs w:val="24"/>
              </w:rPr>
              <w:t>Согласно градостроительному плану Земельного участка от 29.08.2024 № РФ-59-2-03-0-00-2024-1816-0 (далее – ГПЗУ): Минимальный отступ от границ земельного участка – 3 м, до места допустимого размещения зданий, строений (за исключением границ со стороны территории общего пользования, где отступ определяется с учетом красных линий и линий регулирования застройки, установленных проектом планировки территории, а также границ смежных земельных участков при блокированной жилой застройке).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участка: </w:t>
              <w:br/>
              <w:t> </w:t>
            </w:r>
            <w:r>
              <w:rPr>
                <w:color w:val="000000"/>
              </w:rPr>
              <w:t xml:space="preserve">– </w:t>
            </w:r>
            <w:r>
              <w:rPr>
                <w:color w:val="000000"/>
                <w:sz w:val="24"/>
              </w:rPr>
              <w:t>40 %.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Предельная высота зданий, сооружений – не более 10,5 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Максимальный выступ за красную линию нависающих частей здания наземных уровней, выступающих из плоскости наружной стены фасада здания на высоте не менее 4,5 м над территорией общего пользования, составляет не более 1,2 м от красной линии.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случаях, когда линия регулирования застройки отличается от красной линии, указанный выступ может быть произведен за линию регулирования застройки.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случае если в границах территориальной зоны предусматривается осуществление деятельности </w:t>
              <w:br/>
              <w:t> по комплексному развитию территории, расчет показателей минимально допустимого уровня обеспеченности территории объектами коммунальной, транспортной,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 xml:space="preserve">социальной инфраструктур и расчет  показателей максимально допустимого уровня территориальной доступности указанных объектов </w:t>
              <w:br/>
              <w:t xml:space="preserve"> для населения осуществляются в соответствии </w:t>
              <w:br/>
              <w:t> с утвержденными нормативами градостроительного проектирования.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Проектирование и строительство необходимо вести </w:t>
              <w:br/>
              <w:t> в соответствии с пунктом 4.5 СП 55.13330.2016 Свода Правил. Дома жилые одноквартирные.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СНиП 31-02-2001, утвержденным и введенным в действие Приказом Министерства строительства и жилищно-коммунального хозяйства Российской Федерации от 20.10.2016 № 725/пр.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Дом должен включать комнаты - одну или несколько (общую комнату или гостиную, спальню), а также вспомогательные помещения: переднюю, кухню (в том числе кухню-столовую и (или) кухню-нишу), ванные комнаты и (или) душевые, туалет (уборную) </w:t>
              <w:br/>
              <w:t xml:space="preserve"> или совмещенный санузел, переднюю. Согласно пункту 6.1 СП 55.13330.2016 площади помещений строящихся </w:t>
              <w:br/>
              <w:t xml:space="preserve"> и реконструируемых жилых домов должны быть </w:t>
              <w:br/>
              <w:t xml:space="preserve"> не менее: общей комнаты в однокомнатном доме - 14 м2, общей комнаты в доме с числом комнат две и более - </w:t>
              <w:br/>
              <w:t> 16 м2, спальни - 8 м2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(на двух человек - 10 м2); кухни - </w:t>
              <w:br/>
              <w:t xml:space="preserve"> 8 м2; кухонной зоны в кухне-столовой - 6 м2. В домах </w:t>
              <w:br/>
              <w:t xml:space="preserve"> с одной комнатой допускается проектировать кухни </w:t>
              <w:br/>
              <w:t> или кухни-ниши площадью не менее 5 м2.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Площадь спальни и кухни в мансардном этаже </w:t>
              <w:br/>
              <w:t> (или этаже с наклонными ограждающими конструкциями) допускается не менее 7 м2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при условии, что общая жилая комната имеет площадь не менее 16 м2.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Высота (от пола до потолка) комнат и кухни (кухни-столовой) в климатических районах строительства IА, IБ, IГ, IД, определяемых по </w:t>
            </w:r>
            <w:r>
              <w:rPr>
                <w:color w:val="000000"/>
                <w:sz w:val="24"/>
                <w:u w:val="single"/>
              </w:rPr>
              <w:t>СП 131.13330</w:t>
            </w:r>
            <w:r>
              <w:rPr>
                <w:color w:val="000000"/>
                <w:sz w:val="24"/>
              </w:rPr>
              <w:t>, должна быть не менее 2,7 м, а в других климатических районах строительства - не менее 2,5 м. Высота внутридомовых коридоров, холлов, передних, антресолей должна составлять не менее 2,1 м, а высота пути эвакуации -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br/>
              <w:t> не менее 2,2 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жилых комнатах и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кухнях, расположенных </w:t>
              <w:br/>
              <w:t> в этажах с наклонными ограждающими конструкциями или в мансардном этаже, допускается уменьшение высоты помещений (от пола до потолка), относительно нормируемой на площади,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не превышающей 50%.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Победителю аукциона (единственному участнику) рекомендовано обратиться в уполномоченный орган </w:t>
              <w:br/>
              <w:t> с уведомлением о планируемом строительстве жилого дома.</w:t>
            </w:r>
          </w:p>
          <w:p>
            <w:pPr>
              <w:pStyle w:val="Normal"/>
              <w:ind w:firstLine="311" w:righ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284" w:left="5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возможность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hanging="0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официальном сайте муниципального образования город Пермь в информационно-телекоммуникационной сети Интернет </w:t>
            </w:r>
            <w:hyperlink r:id="rId10">
              <w:r>
                <w:rPr>
                  <w:rStyle w:val="Hyperlink"/>
                  <w:sz w:val="24"/>
                  <w:szCs w:val="24"/>
                </w:rPr>
                <w:t>www.gorodperm.ru</w:t>
              </w:r>
            </w:hyperlink>
            <w:r>
              <w:rPr>
                <w:sz w:val="24"/>
                <w:szCs w:val="24"/>
              </w:rPr>
              <w:t>.</w:t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color w:val="000000"/>
                <w:sz w:val="24"/>
                <w:szCs w:val="24"/>
              </w:rPr>
              <w:t>О наличии технической возможности технологического присоединения энергопринимающего устройства объекта с предполагаемым электоропотреблением 15 кВт, сообщается следующее.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соответствии с «Правилами технологического присоединения энергопринимающих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сетям», утвержденными постановлением Правительства Российской Федерации от 27.12.2004 № 861 (далее – Правила), конкретные технические условия </w:t>
              <w:br/>
              <w:t> на энергосбережение объекта разрабатываются в составе договора о технологическом присоединении.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Плата за технологическое присоединение энергопринимающих устройств устанавливается исходя из стоимости мероприятий по технологическому присоединению, размер платы определяется </w:t>
              <w:br/>
              <w:t> по утвержденным тарифам согласно постановлению Министерства тарифного регулирования и энергетики Пермского края от 23.11.2023 № 121-тп (в последней редакции).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Для заключения договора на технологическое присоединение необходимо представить письменную заявку с приложением необходимых документов </w:t>
              <w:br/>
              <w:t> и сведений, указанных в п. 10 Правил.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Подать заявку на технологическое присоединение возможно через единый федеральный портал электросетевых услуг группы компаний «Россети» </w:t>
              <w:br/>
              <w:t xml:space="preserve"> на сайте: </w:t>
            </w:r>
            <w:r>
              <w:rPr>
                <w:color w:val="000000"/>
                <w:sz w:val="24"/>
                <w:u w:val="single"/>
              </w:rPr>
              <w:t>https://портал-тп.рф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или через Мобильное приложение ПАО «Россети».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  <w:szCs w:val="24"/>
              </w:rPr>
              <w:t xml:space="preserve">Филиала ПАО «Россети Урал» - «Пермэнерго» </w:t>
            </w:r>
            <w:r>
              <w:rPr>
                <w:color w:val="000000"/>
                <w:sz w:val="24"/>
                <w:szCs w:val="24"/>
              </w:rPr>
              <w:t>(ранее – ОАО «МРСК Урала – филиал Пермэнерго») от 03.09.2024 № ПЭ/ПГЭС/22/367).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Техническая возможность подключения объекта капитального строительства с предполагаемой максимальной нагрузкой (часовым расходом газа) 8м3/час </w:t>
              <w:br/>
              <w:t> к существующим сетям газораспределения имеется.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АО «Газпром газораспределение Пермь»</w:t>
            </w:r>
            <w:r>
              <w:rPr>
                <w:color w:val="000000"/>
                <w:sz w:val="24"/>
              </w:rPr>
              <w:t> от 06.08.2024 № ПФ-5059).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О наличии технической возможности подключения объекта капитального строительства с планируемой величиной подключаемой нагрузки по водоснабжению </w:t>
              <w:br/>
              <w:t> и водоотведению – 1,0 м3/сут. к централизованным системам водоснабжения и водоотведения сообщается следующее.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районе Участка отсутствуют централизованные сети водоснабжения и водоотведения, эксплуатируемые ООО «НОВОГОР-Прикамье».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Ближайшие сети водоснабжения и водоотведения, эксплуатируемые ООО «НОВОГОР-Прикамье», располагаются по ул. Солдатская, ориентировочно </w:t>
              <w:br/>
              <w:t> на расстоянии – более 2 км от Участка.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 xml:space="preserve">ООО «НОВОГОР-Прикамье» </w:t>
            </w:r>
            <w:r>
              <w:rPr>
                <w:color w:val="000000"/>
                <w:sz w:val="24"/>
              </w:rPr>
              <w:t>от 06.08.2024 № 110-12882).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О возможности технологического присоединения </w:t>
              <w:br/>
              <w:t xml:space="preserve"> к системе теплоснабжения объекта сообщается, </w:t>
              <w:br/>
              <w:t xml:space="preserve"> что Участок находится вне зоны теплоснабжения </w:t>
              <w:br/>
              <w:t> ПАО «Т плюс».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Филиала «Пермский ПАО «Т Плюс»</w:t>
            </w:r>
            <w:r>
              <w:rPr>
                <w:color w:val="000000"/>
                <w:sz w:val="24"/>
              </w:rPr>
              <w:t xml:space="preserve"> от 12.08.2024 № 51000-32-02623).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Техническая возможность подключения к сетям теплоснабжения отсутствует. Рекомендовано рассмотреть альтернативный источник теплоснабжения – газ, пеллеты, дрова.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(Аналогичная информация отражена в письме д</w:t>
            </w:r>
            <w:r>
              <w:rPr>
                <w:b/>
                <w:color w:val="000000"/>
                <w:sz w:val="24"/>
              </w:rPr>
              <w:t>епартамента жилищно-коммунального хозяйства администрации города Перми</w:t>
            </w:r>
            <w:r>
              <w:rPr>
                <w:color w:val="000000"/>
                <w:sz w:val="24"/>
              </w:rPr>
              <w:t xml:space="preserve">  от 16.08.2024 059-04-17/3-803-ри).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Техническое присоединение планируемых к строительству объектов в границах Участка может быть произведено в точке подключения - узел ВОЛС (ул. Заречная (Дзержинский р-н), д. 162а), максимальную нагрузку в точке подключения (технологического присоединения) определить на стадии проектирования. В границах указанного земельного участка линии и сооружения связи ПАО «Ростелеком» отсутствуют.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Для подключения (технологического присоединения) вышеуказанных объектов к сетям электросвязи ПАО «Ростелеком» необходим запрос правообладателя земельного участка на выдачу технических условий подключения или заявки о заключении договора </w:t>
              <w:br/>
              <w:t> о подключении в порядке, определенном действующим законодательством.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ПАО «Ростелеком»</w:t>
            </w:r>
            <w:r>
              <w:rPr>
                <w:color w:val="000000"/>
                <w:sz w:val="24"/>
              </w:rPr>
              <w:t xml:space="preserve"> от 07.08.2024 № 01/05/114751/24).</w:t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225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Начальная цена предмета аукциона</w:t>
            </w:r>
          </w:p>
          <w:p>
            <w:pPr>
              <w:pStyle w:val="Normal"/>
              <w:ind w:right="-26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(рыночная стоимость земельного участка)</w:t>
            </w:r>
          </w:p>
          <w:p>
            <w:pPr>
              <w:pStyle w:val="Normal"/>
              <w:ind w:right="-26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Победитель аукциона, иное лицо, с которым договор заключается в соответствии с п.13, п.14 или п. 20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ст. 39.12 Земельного Кодекса Российской Федерации (далее – ЗК РФ), обязан </w:t>
            </w:r>
            <w:r>
              <w:rPr>
                <w:b/>
                <w:sz w:val="24"/>
                <w:szCs w:val="24"/>
              </w:rPr>
              <w:t>в течение 15 дней</w:t>
            </w:r>
            <w:r>
              <w:rPr>
                <w:sz w:val="24"/>
                <w:szCs w:val="24"/>
              </w:rPr>
              <w:t xml:space="preserve"> со дня размещения  протокола о результатах аукциона, а в случаях, определенных п.13, п.14, ст. 39.12 ЗК РФ, протокола рассмотрения заявок, </w:t>
            </w:r>
            <w:r>
              <w:rPr>
                <w:b/>
                <w:sz w:val="24"/>
                <w:szCs w:val="24"/>
              </w:rPr>
              <w:t xml:space="preserve">перечислить денежные средства </w:t>
            </w:r>
            <w:r>
              <w:rPr>
                <w:sz w:val="24"/>
                <w:szCs w:val="24"/>
              </w:rPr>
              <w:t>за земельный участок (за вычетом задатка, внесенного для участия в аукционе) на счет департамента земельных отношений администрации города Перми, 614015, ул. Сибирская,15, тел. 212-61-90 (отдел договоров)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2 073 500 руб.</w:t>
            </w:r>
          </w:p>
        </w:tc>
      </w:tr>
      <w:tr>
        <w:trPr>
          <w:trHeight w:val="225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«Шаг аукциона» (3% от начальной цены)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62 205 руб.</w:t>
            </w:r>
          </w:p>
        </w:tc>
      </w:tr>
      <w:tr>
        <w:trPr>
          <w:trHeight w:val="416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на участие в аукционе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размещена на сайтах www.torgi.gov.ru, www.gorodperm.ru (раздел Деятельность/ Муниципальная собственность/ Торговая площадка/ Вид торгов Продажа и аренда земельных участков).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Заявка подается и принимается одновременно с полным пакетом документов, требуемых для участия в аукционе. На каждый лот представляется отдельный пакет документов.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shd w:fill="auto" w:val="clear"/>
              </w:rPr>
              <w:t>Решение о проведении аукциона принято в соответствии со статьей 39.18 Земельного кодекса Российской Федераци</w:t>
            </w:r>
            <w:r>
              <w:rPr>
                <w:b/>
                <w:sz w:val="24"/>
                <w:szCs w:val="24"/>
              </w:rPr>
              <w:t>и, участниками аукциона могут являться только граждане.</w:t>
            </w:r>
          </w:p>
        </w:tc>
      </w:tr>
      <w:tr>
        <w:trPr>
          <w:trHeight w:val="236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задатка (50% от начальной цены)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1 036 750 руб.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1884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hanging="0" w:left="0"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 договора купли-продажи земельного участка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Проект договора купли-продажи земельного участка, приобретаемого на торгах в форме аукциона, утвержден постановлением администрации города Перми от 29.05.2015 № 322, является Приложением 3 к настоящему извещению  и </w:t>
            </w:r>
            <w:r>
              <w:rPr>
                <w:sz w:val="24"/>
                <w:szCs w:val="24"/>
                <w:lang w:val="en-US" w:eastAsia="en-US"/>
              </w:rPr>
              <w:t xml:space="preserve">размещен на сайтах www.torgi.gov.ru, www.gorodperm.ru (раздел Деятельность/ </w:t>
              <w:br/>
              <w:t>Муниципальная собственность/ Торговая площадка</w:t>
              <w:br/>
              <w:t>Вид торгов Продажа и аренда земельных участков)</w:t>
            </w:r>
          </w:p>
        </w:tc>
      </w:tr>
      <w:tr>
        <w:trPr>
          <w:trHeight w:val="144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Порядок осмотра земельного участка </w:t>
              <w:br/>
              <w:t>на местности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Осмотр земельного участка производится заявителем самостоятельно в любое время с даты опубликования настоящего извещения.</w:t>
            </w:r>
          </w:p>
        </w:tc>
      </w:tr>
    </w:tbl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  <w:highlight w:val="none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  <w:highlight w:val="none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  <w:highlight w:val="none"/>
        </w:rPr>
      </w:pPr>
      <w:r>
        <w:rPr>
          <w:b/>
          <w:lang w:val="en-US"/>
        </w:rPr>
        <w:t>Лот № 3</w:t>
      </w:r>
    </w:p>
    <w:tbl>
      <w:tblPr>
        <w:tblW w:w="5000" w:type="pct"/>
        <w:jc w:val="left"/>
        <w:tblInd w:w="-47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345"/>
        <w:gridCol w:w="3275"/>
        <w:gridCol w:w="6301"/>
      </w:tblGrid>
      <w:tr>
        <w:trPr>
          <w:trHeight w:val="877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0"/>
              <w:ind w:right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органа местного самоуправления, принявшего решение о проведении аукциона, реквизиты указанного решения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города Перми, распоряжение начальника департамента земельных отношений администрации города Перми от 29 октября 2024 г. № 21-01-03-9505                 «О проведении аукциона по продаже земельного участка в Орджоникидзевском районе города Перми»</w:t>
            </w:r>
          </w:p>
        </w:tc>
      </w:tr>
      <w:tr>
        <w:trPr>
          <w:trHeight w:val="225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аукциона по продаже земельного участка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93" w:hRule="atLeast"/>
        </w:trPr>
        <w:tc>
          <w:tcPr>
            <w:tcW w:w="3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местоположение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Российская Федерация, край Пермский, городской округ Пермский, город Пермь, улица Затонская, з/у 16а</w:t>
            </w:r>
          </w:p>
        </w:tc>
      </w:tr>
      <w:tr>
        <w:trPr>
          <w:trHeight w:val="155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591 кв. м</w:t>
            </w:r>
          </w:p>
        </w:tc>
      </w:tr>
      <w:tr>
        <w:trPr>
          <w:trHeight w:val="155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59:01:2512475:175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права на земельный участок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государственная собственность не разграничена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индивидуального жилищного строительства (2.1)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принадлежность к определенной  </w:t>
              <w:br/>
              <w:t>категории земель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земли населенных пунктов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ограничение прав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Ограничения прав подробно описаны: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выписке из Единого государственного реестра недвижимости об объекте недвижимости от 16.01.2025г. № КУВИ-001/2025-11618767;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градостроительном плане земельного участка</w:t>
            </w:r>
          </w:p>
          <w:p>
            <w:pPr>
              <w:pStyle w:val="Normal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>от 20.03.2023 № РФ-59-2-03-0-00-2023-0430 (далее – ГПЗУ).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соответствии со сведениями из ЕГРН в границах Участка объекты капитального строительства отсутствуют.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 данным копии планшета от 06.03.2023, требующей корректуры,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в границах Участка частично расположен деревянный забор, огород, деревья.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По данным геодезической съемки, сделанной в 2023 году, на рассматриваемой территории Участка объекты отсутствуют.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Согласно сведениям, содержащимся в ГПЗУ, ЕГРН </w:t>
              <w:br/>
              <w:t> и справке по градостроительным условиям от 16.01.2025 № 619192, Участок не расположен в границах зон с особыми условиями использования территории.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Участок ничем не огорожен, доступ не ограничен, рельеф ровный. На Участке произрастают лиственные деревья и низкорослые кустарники. Объекты капитального/некапитального строительства отсутствуют. Согласно сведениям, предоставленным отделением надзорной деятельности и профилактической работы </w:t>
              <w:br/>
              <w:t xml:space="preserve"> г. Перми по Орджоникидзевскому району 1 ОНПР </w:t>
              <w:br/>
              <w:t> по городу Перми УНПР Главного управления МЧС России по Пермскому краю, близлежащие пожарные гидранты расположены по адресу: Пермский край, г. Пермь, Орджоникидзевский район, ул. Трясолобова, 40в, 42, 52б.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от 18.10.2024 № 059-37-01-32/3-4330 </w:t>
            </w:r>
            <w:r>
              <w:rPr>
                <w:b/>
                <w:color w:val="000000"/>
                <w:sz w:val="24"/>
              </w:rPr>
              <w:t xml:space="preserve">администрации Орджоникидзевского района города Перми, </w:t>
            </w:r>
            <w:r>
              <w:rPr>
                <w:b w:val="false"/>
                <w:bCs w:val="false"/>
                <w:color w:val="000000"/>
                <w:sz w:val="24"/>
              </w:rPr>
              <w:t>в акте обследования</w:t>
            </w:r>
            <w:r>
              <w:rPr>
                <w:b/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от 03.10.2024 № 282).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На Участке произрастает 68 деревьев пород – береза 47 шт., ива 14 шт., ель 7 шт.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Победителю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аукциона необходимо соблюдать условия строительства, указанные в письме (прилагается).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управления по экологии и природопользованию администрации города Перми</w:t>
            </w:r>
            <w:r>
              <w:rPr>
                <w:color w:val="000000"/>
                <w:sz w:val="24"/>
              </w:rPr>
              <w:t xml:space="preserve"> от 10.03.2023 № 059-33-01-10/3-177).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Считается возможным предоставление Участка при соблюдении ряда условий, указанных в письме (прилагается).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соответствии с Федеральным законом от 08.11.2007 № 257 расходы на строительство, реконструкцию, капитальный ремонт, ремонт пересечений и примыканий, </w:t>
              <w:br/>
              <w:t> в том числе расходы на выполнение дополнительных работ, связанных с обеспечением безопасности дорожного движения, водоотведения и исполнением других установленных техническими регламентами требований, несут лица, в интересах которых осуществляются строительство, реконструкция, капитальный ремонт, ремонт пересечений или примыканий.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(Аналогичная информация отражена в письме д</w:t>
            </w:r>
            <w:r>
              <w:rPr>
                <w:b/>
                <w:color w:val="000000"/>
                <w:sz w:val="24"/>
              </w:rPr>
              <w:t>епартамента дорог и благоустройства администрации города Перми</w:t>
            </w:r>
            <w:r>
              <w:rPr>
                <w:color w:val="000000"/>
                <w:sz w:val="24"/>
              </w:rPr>
              <w:t xml:space="preserve"> от 07.03.2023 № 059-24-01-36/3-691).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Строительство пожарного водоема на территории,  на которой расположен Участок, не запланировано.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Ближайшее подразделение пожарной охраны расположено по адресу: ул. Васнецова, 7 (ПСЧ-7 10-ПСО);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- объекты общественной безопасности, отнесенные к объектам полиции (участковые пункты полиции) в микрорайоне Заозерье, расположены по ул. Трясолобова, 98. В настоящее время потребность в обеспечении служебными помещениями участковых уполномоченных полиции в указанном микрорайоне отсутствует, строительство (приобретение) участковых пунктов полиции не планируется.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Помещения для аварийно-спасательных формирований на указанной территории отсутствует. В настоящее время потребность в обеспечении служебными помещениями для аварийно-спасательных формирований отсутствует.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Имеется источник противопожарного водоснабжения – пожарный водоем, расположенный на пересечении улиц </w:t>
              <w:br/>
              <w:t> 2-я Затонская/2-я Катерная - в радиусе 200 метров.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Объекты гражданской обороны на указанной территории отсутствуют.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Участок в особый период в зону возможного химического заражения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не попадает.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Территория попадает в зону действия региональной автоматизированной системы центрального оповещения населения города Перми, установленной по адресу: </w:t>
              <w:br/>
              <w:t> ул. Радистов, 13 - 1500 метров.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департамента общественной безопасности администрации города Перми</w:t>
            </w:r>
            <w:r>
              <w:rPr>
                <w:color w:val="000000"/>
                <w:sz w:val="24"/>
              </w:rPr>
              <w:t xml:space="preserve"> от 02.03.2023 № 059-10-01-27/3-341).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2262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максимально и (или) минимально  допустимые параметры разрешенного строительства </w:t>
              <w:br/>
              <w:t>объекта капитального строительства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официальном сайте муниципального образования город Пермь в информационно-телекоммуникационной сети Интернет </w:t>
            </w:r>
            <w:r>
              <w:rPr>
                <w:sz w:val="24"/>
                <w:szCs w:val="24"/>
              </w:rPr>
              <w:t>www.gorodperm.ru.</w:t>
            </w:r>
          </w:p>
          <w:p>
            <w:pPr>
              <w:pStyle w:val="Normal"/>
              <w:tabs>
                <w:tab w:val="clear" w:pos="708"/>
                <w:tab w:val="right" w:pos="6000" w:leader="none"/>
              </w:tabs>
              <w:ind w:firstLine="3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tabs>
                <w:tab w:val="clear" w:pos="708"/>
                <w:tab w:val="right" w:pos="6000" w:leader="none"/>
              </w:tabs>
              <w:ind w:firstLine="362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Проектирование и строительство необходимо вести </w:t>
              <w:br/>
              <w:t xml:space="preserve"> в соответствии с пунктом 4.5 СП 55.13330.2016 Свода Правил. Дома жилые одноквартирные. СНиП 31-02-2001, утвержденным и введенным в действие Приказом Министерства строительства и жилищно-коммунального хозяйства Российской Федерации от 20.10.2016 № 725/пр (ред. от 17.05.2023): дом должен включать жилые комнаты - одну или несколько (общую комнату или гостиную, спальню), а также вспомогательные помещения: переднюю, кухню (в том числе кухню-столовую </w:t>
              <w:br/>
              <w:t> и (или) кухню-нишу), ванные комнаты и (или) душевые, туалет (уборную) или совмещенный санузел, переднюю.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Согласно пункту 6.1 СП 55.13330.2016 площади помещений строящихся и реконструируемых жилых домов должны быть не менее: общей комнаты в однокомнатном доме - 14 м2, общей комнаты в доме с числом комнат две  и более - 16 м2, спальни - 8 м2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(на двух человек - 10 м2); кухни - 8 м2; кухонной зоны в кухне-столовой - 6 м2.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В домах с одной комнатой допускается проектировать кухни или кухни-ниши площадью не менее 5 м2.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Площадь спальни и кухни в мансардном этаже (или этаже с наклонными ограждающими конструкциями) допускается не менее 7 м2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при условии, что общая жилая комната имеет площадь не менее 16 м2.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Согласно пункту 6.2 СП 55.13330.2016 высота (от пола до потолка) комнат и кухни (кухни-столовой) </w:t>
              <w:br/>
              <w:t xml:space="preserve"> в климатических районах строительства IА, IБ, IГ, IД, определяемых по СП 131.13330, должна быть не менее </w:t>
              <w:br/>
              <w:t> 2,7 м, а в других климатических районах строительства - не менее 2,5 м. Высота внутридомовых коридоров, холлов, передних, антресолей должна составлять не менее 2,1 м,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br/>
              <w:t> а высота пути эвакуации - не менее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2,2 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жилых комнатах и кухнях, расположенных в этажах </w:t>
              <w:br/>
              <w:t xml:space="preserve"> с наклонными ограждающими конструкциями </w:t>
              <w:br/>
              <w:t> или в мансардном этаже, допускается уменьшение высоты помещений (от пола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до потолка), относительно нормируемой на площади, не превышающей 50%.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Согласно информации, содержащейся </w:t>
              <w:br/>
              <w:t xml:space="preserve"> в градостроительном плане земельного участка </w:t>
              <w:br/>
              <w:t xml:space="preserve"> от 20.03.2023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РФ-59-2-03-0-00-2023-0430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(далее - ГПЗУ), предельная высота зданий, строений не более </w:t>
              <w:br/>
              <w:t> 10,5 м (документация по планировке территории, утвержденная постановлением администрации города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Перми от 31.12.2013 № 1292).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Минимальный отступ от границ земельного участка </w:t>
              <w:br/>
              <w:t xml:space="preserve"> до места допустимого размещения зданий, строений, сооружений (за исключением границ со стороны территории общего пользования, где отступ определяется </w:t>
              <w:br/>
              <w:t> с учетом красных линий и линий регулирования застройки, установленных проектом планировки территории, а также смежных земельных участков при блокированной жилой застройке) – 3 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Максимальный выступ за красную линию нависающих частей здания наземных уровней, выступающих </w:t>
              <w:br/>
              <w:t xml:space="preserve"> из плоскости наружной стены фасада здания на высоте </w:t>
              <w:br/>
              <w:t xml:space="preserve"> не менее 4,5 м над территорией общего пользования, составляет не более 1,2 м от красной линии. В случаях, когда линия регулирования застройки отличается </w:t>
              <w:br/>
              <w:t> от красной линии, указанный выступ может быть произведен за линию регулирования застройки.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Максимальный процент застройки в границах Участка – 30%.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С уведомлением о планируемом строительстве жилого дома рекомендуется обратиться в уполномоченный орган администрации города Перми.</w:t>
            </w:r>
          </w:p>
          <w:p>
            <w:pPr>
              <w:pStyle w:val="BodyText"/>
              <w:tabs>
                <w:tab w:val="clear" w:pos="708"/>
                <w:tab w:val="right" w:pos="6000" w:leader="none"/>
              </w:tabs>
              <w:ind w:firstLine="3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284" w:left="5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возможность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/>
              <w:t xml:space="preserve">В </w:t>
            </w:r>
            <w:r>
              <w:rPr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lang w:val="en-US"/>
              </w:rPr>
              <w:t>www</w:t>
            </w:r>
            <w:r>
              <w:rPr/>
              <w:t>.</w:t>
            </w:r>
            <w:r>
              <w:rPr>
                <w:lang w:val="en-US"/>
              </w:rPr>
              <w:t>torgi</w:t>
            </w:r>
            <w:r>
              <w:rPr/>
              <w:t>.</w:t>
            </w:r>
            <w:r>
              <w:rPr>
                <w:lang w:val="en-US"/>
              </w:rPr>
              <w:t>gov</w:t>
            </w:r>
            <w:r>
              <w:rPr/>
              <w:t>.</w:t>
            </w:r>
            <w:r>
              <w:rPr>
                <w:lang w:val="en-US"/>
              </w:rPr>
              <w:t>ru</w:t>
            </w:r>
            <w:r>
              <w:rPr>
                <w:shd w:fill="FFFFFF" w:val="clear"/>
              </w:rPr>
              <w:t xml:space="preserve">, официальном сайте муниципального образования город Пермь в информационно-телекоммуникационной сети Интернет </w:t>
            </w:r>
            <w:hyperlink r:id="rId11">
              <w:r>
                <w:rPr>
                  <w:rStyle w:val="Hyperlink"/>
                </w:rPr>
                <w:t>www.gorodperm.ru</w:t>
              </w:r>
            </w:hyperlink>
            <w:r>
              <w:rPr/>
              <w:t>.</w:t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b w:val="false"/>
                <w:bCs w:val="false"/>
                <w:color w:val="000000"/>
                <w:sz w:val="24"/>
                <w:szCs w:val="24"/>
              </w:rPr>
              <w:t>Сообщается о наличии технической возможности технологического присоединения энергопринимающего устройства мощностью 15 кВт, возможная точка подключения ТП-4565.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b w:val="false"/>
                <w:bCs w:val="false"/>
                <w:color w:val="000000"/>
                <w:sz w:val="24"/>
                <w:szCs w:val="24"/>
              </w:rPr>
              <w:t xml:space="preserve">(Аналогичная информация отражена в письме </w:t>
            </w:r>
            <w:r>
              <w:rPr>
                <w:b/>
                <w:bCs w:val="false"/>
                <w:color w:val="000000"/>
                <w:sz w:val="24"/>
                <w:szCs w:val="24"/>
              </w:rPr>
              <w:t>ОАО «Межрегиональная распределительная сетевая компания Урала» – филиал «Пермэнерго»</w:t>
            </w:r>
            <w:r>
              <w:rPr>
                <w:b w:val="false"/>
                <w:bCs w:val="false"/>
                <w:color w:val="000000"/>
                <w:sz w:val="24"/>
                <w:szCs w:val="24"/>
              </w:rPr>
              <w:t xml:space="preserve"> письмом  от 13.03.2023 № ПЭ/ПГЭС/22/167).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b w:val="false"/>
                <w:bCs w:val="false"/>
                <w:color w:val="000000"/>
                <w:sz w:val="24"/>
                <w:szCs w:val="24"/>
              </w:rPr>
            </w:pPr>
            <w:r>
              <w:rPr>
                <w:b w:val="false"/>
                <w:bCs w:val="false"/>
                <w:color w:val="000000"/>
                <w:sz w:val="24"/>
                <w:szCs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Техническая возможность подключения объекта капитального строительства с предполагаемой максимальной нагрузкой (часовым расходом газа) 8м3/час к существующим сетям газораспределения имеется.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color w:val="000000"/>
                <w:sz w:val="24"/>
              </w:rPr>
              <w:t>АО «Газпром газораспределение Пермь»</w:t>
            </w:r>
            <w:r>
              <w:rPr>
                <w:color w:val="000000"/>
                <w:sz w:val="24"/>
              </w:rPr>
              <w:t xml:space="preserve"> от 07.03.2023 № ПФ-1289).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О наличии технической возможности подключения объекта капитального строительства с предполагаемыми объемами водопотребления и водоотведения 1 м3/сут. сообщается следующее.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Сети водоснабжения микрорайона «Заозерье» эксплуатирует МП «Пермводоканал», которое </w:t>
              <w:br/>
              <w:t xml:space="preserve"> в соответствии с постановлением администрации города Перми от 24.07.2013 № 604 (ред. от 05.03.2019 № 149) </w:t>
              <w:br/>
              <w:t xml:space="preserve"> «Об определении гарантирующих организаций в сфере водоснабжения и водоотведения на территории города Перми», является гарантирующей организацией </w:t>
              <w:br/>
              <w:t xml:space="preserve"> для централизованной системы холодного водоснабжения в микрорайоне «Заозерье». Таким образом, информацию </w:t>
              <w:br/>
              <w:t xml:space="preserve"> о возможности подключения к сетям водопровода </w:t>
              <w:br/>
              <w:t> в микрорайоне Заозерье можно получить в вышеуказанной организации.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районе Участка отсутствуют централизованные сети канализации, эксплуатируемые ООО «НОВОГОР-Прикамье».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Альтернативным методом отвода канализационных стоков могут быть локальные очистные сооружения, либо выгребная яма, с последующим вывозом стоков спец. машинами, при этом состав канализационных стоков должен соответствовать всем нормативным требованиям Российской Федерации.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ООО «НОВОГОР-Прикамье» эксплуатирует только централизованные системы водоотведения, по вопросу возможности отвода канализационных стоков от жилого дома локально, предлагается обратиться в организации, регулирующие недропользование.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sz w:val="24"/>
                <w:szCs w:val="24"/>
              </w:rPr>
              <w:t>(Аналогичная информация отражена в письме</w:t>
            </w:r>
            <w:r>
              <w:rPr/>
              <w:t xml:space="preserve">  </w:t>
            </w:r>
            <w:r>
              <w:rPr>
                <w:b/>
                <w:color w:val="000000"/>
                <w:sz w:val="24"/>
              </w:rPr>
              <w:t>ООО «НОВОГОР-Прикамье»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от 09.03.2023 № 110-3384).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/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В районе Участка отсутствуют централизованные сети водоснабжения, эксплуатируемые МП «Пермводоканал».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Ближайшая сеть водоснабжения Д-150 мм, эксплуатируемая МП «Перводоканал», располагается </w:t>
              <w:br/>
              <w:t> по ул. Трясолобова в районе здания по ул. Трясолобова, 40,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ориентировочно на расстоянии 400 п.м. от Участка.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соответствии СП 8.13130 «Системы противопожарной защиты. Наружное противопожарное водоснабжение. Требования пожарной безопасности», </w:t>
              <w:br/>
              <w:t> п. 8.5. «Водопроводные сети должны быть, как правило, кольцевыми. Тупиковые линии водопроводов допускается применять для подачи воды на противопожарные нужды независимо от расхода воды на пожаротушение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при длине линии не свыше 200 м», необходимо выполнять кольцевание наружных сетей водопровода.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При проектировании может быть применен альтернативный способ водоснабжения без подключения </w:t>
              <w:br/>
              <w:t> к централизованной системе водоснабжения (от скважины) и альтернативный способ канализования, без подключения к централизованной системе канализации города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Перми (отвод стоков на локальные очистные сооружения, канализование объекта в выгребную яму с последующим вывозом стоков спец. машинами), который должен соответствовать всем нормативным требованиям Российской Федерации.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color w:val="000000"/>
              </w:rPr>
            </w:pPr>
            <w:r>
              <w:rPr>
                <w:color w:val="000000"/>
                <w:sz w:val="24"/>
              </w:rPr>
              <w:t xml:space="preserve">В связи с тем, что МП «Пермводоканал» эксплуатирует только централизованные системы водоснабжения, </w:t>
              <w:br/>
              <w:t xml:space="preserve"> по вопросу возможности обеспечения конкурсной площадки холодным водоснабжением от скважины </w:t>
              <w:br/>
              <w:t> и приемом канализационных стоков локально предлагается обратиться в соответствующие организации, регулирующие недропользование.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(Аналогичная информация отражена в письме  </w:t>
            </w:r>
            <w:r>
              <w:rPr>
                <w:b/>
                <w:color w:val="000000"/>
                <w:sz w:val="24"/>
              </w:rPr>
              <w:t xml:space="preserve">МП «Пермводоканал» </w:t>
            </w:r>
            <w:r>
              <w:rPr>
                <w:color w:val="000000"/>
                <w:sz w:val="24"/>
              </w:rPr>
              <w:t>от 16.03.2023 № 059-04-ПВК-01-вн-183).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Участок расположен вне зоны теплоснабжения ПАО «Т Плюс».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Филиала «Пермский ПАО «Т Плюс»</w:t>
            </w:r>
            <w:r>
              <w:rPr>
                <w:color w:val="000000"/>
                <w:sz w:val="24"/>
              </w:rPr>
              <w:t xml:space="preserve"> от 06.03.2023 № 51000-32-00626).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Техническая возможность подключения к сетям теплоснабжения отсутствует. Рекомендовано рассмотреть альтернативный источник теплоснабжения -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газ.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(Аналогичная информация отражена в письме д</w:t>
            </w:r>
            <w:r>
              <w:rPr>
                <w:b/>
                <w:color w:val="000000"/>
                <w:sz w:val="24"/>
              </w:rPr>
              <w:t xml:space="preserve">епартамента жилищно-коммунального хозяйства администрации города Перми </w:t>
            </w:r>
            <w:r>
              <w:rPr>
                <w:color w:val="000000"/>
                <w:sz w:val="24"/>
              </w:rPr>
              <w:t>от 13.03.2023 № 059-04-25/3-18-ри).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Технологическое присоединение к сетям связи </w:t>
            </w:r>
            <w:r>
              <w:rPr>
                <w:b w:val="false"/>
                <w:bCs w:val="false"/>
                <w:color w:val="000000"/>
                <w:sz w:val="24"/>
              </w:rPr>
              <w:t>ПАО «Ростелеком»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может быть произведено в точке подключения узел ВОЛС (г. Пермь, ул. Писарева, 33), максимальную нагрузку в точке подключения (технологического присоединения) определить на стадии проектирования.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color w:val="000000"/>
                <w:sz w:val="24"/>
              </w:rPr>
              <w:t xml:space="preserve">ПАО «Ростелеком»  </w:t>
            </w:r>
            <w:r>
              <w:rPr>
                <w:b w:val="false"/>
                <w:bCs w:val="false"/>
                <w:color w:val="000000"/>
                <w:sz w:val="24"/>
              </w:rPr>
              <w:t>от 26.09.2024 № 01/05/144027/24).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b w:val="false"/>
                <w:bCs w:val="false"/>
                <w:color w:val="000000"/>
                <w:sz w:val="24"/>
              </w:rPr>
            </w:pPr>
            <w:r>
              <w:rPr>
                <w:b w:val="false"/>
                <w:bCs w:val="false"/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На период до 2028 года на территории, где расположен Участок, схемами водоснабжения и водоотведения города Перми, утвержденными постановлением администрации города Перми от 28.12.2018 № 1085, предусмотрено строительство сетей водоснабжения и водоотведения. Муниципальной программой «Развитие системы жилищно-коммунального хозяйства в городе Перми», утвержденной постановлением администрации города Перми от 20.10.2021 № 924, предусмотрено мероприятие по строительству сетей водоснабжения в мкр. Заозерье </w:t>
              <w:br/>
              <w:t> для земельных участков многодетных семей, со сроком 2023-2024 годы.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color w:val="000000"/>
                <w:sz w:val="24"/>
              </w:rPr>
              <w:t xml:space="preserve">департамента жилищно-коммунального хозяйства </w:t>
            </w:r>
            <w:r>
              <w:rPr>
                <w:color w:val="000000"/>
                <w:sz w:val="24"/>
              </w:rPr>
              <w:t xml:space="preserve"> </w:t>
            </w:r>
            <w:r>
              <w:rPr>
                <w:b/>
                <w:color w:val="000000"/>
                <w:sz w:val="24"/>
              </w:rPr>
              <w:t xml:space="preserve">администрации города Перми </w:t>
            </w:r>
            <w:r>
              <w:rPr>
                <w:color w:val="000000"/>
                <w:sz w:val="24"/>
              </w:rPr>
              <w:t>от 02.03.2023 № 059-04-17/3-112-ри).</w:t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hanging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225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Начальная цена предмета аукциона</w:t>
            </w:r>
          </w:p>
          <w:p>
            <w:pPr>
              <w:pStyle w:val="Normal"/>
              <w:ind w:right="-26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(рыночная стоимость земельного участка)</w:t>
            </w:r>
          </w:p>
          <w:p>
            <w:pPr>
              <w:pStyle w:val="Normal"/>
              <w:ind w:right="-26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Победитель аукциона, иное лицо, с которым договор заключается в соответствии с п.13, п.14 или п. 20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ст. 39.12 Земельного Кодекса Российской Федерации (далее – ЗК РФ), обязан </w:t>
            </w:r>
            <w:r>
              <w:rPr>
                <w:b/>
                <w:sz w:val="24"/>
                <w:szCs w:val="24"/>
              </w:rPr>
              <w:t>в течение 15 дней</w:t>
            </w:r>
            <w:r>
              <w:rPr>
                <w:sz w:val="24"/>
                <w:szCs w:val="24"/>
              </w:rPr>
              <w:t xml:space="preserve"> со дня размещения  протокола о результатах аукциона, а в случаях, определенных п.13, п.14, ст. 39.12 ЗК РФ, протокола рассмотрения заявок, </w:t>
            </w:r>
            <w:r>
              <w:rPr>
                <w:b/>
                <w:sz w:val="24"/>
                <w:szCs w:val="24"/>
              </w:rPr>
              <w:t xml:space="preserve">перечислить денежные средства </w:t>
            </w:r>
            <w:r>
              <w:rPr>
                <w:sz w:val="24"/>
                <w:szCs w:val="24"/>
              </w:rPr>
              <w:t>за земельный участок (за вычетом задатка, внесенного для участия в аукционе) на счет департамента земельных отношений администрации города Перми, 614015, ул. Сибирская,15, тел. 212-61-90 (отдел договоров)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1 088 000 руб.</w:t>
            </w:r>
          </w:p>
        </w:tc>
      </w:tr>
      <w:tr>
        <w:trPr>
          <w:trHeight w:val="225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«Шаг аукциона» (3% от начальной цены)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32 640 руб.</w:t>
            </w:r>
          </w:p>
        </w:tc>
      </w:tr>
      <w:tr>
        <w:trPr>
          <w:trHeight w:val="416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на участие в аукционе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размещена на сайтах www.torgi.gov.ru, www.gorodperm.ru (раздел Деятельность/ Муниципальная собственность/ Торговая площадка/ Вид торгов Продажа и аренда земельных участков).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Заявка подается и принимается одновременно с полным пакетом документов, требуемых для участия в аукционе. На каждый лот представляется отдельный пакет документов.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shd w:fill="auto" w:val="clear"/>
              </w:rPr>
              <w:t>Решение о проведении аукциона принято в соответствии со статьей 39.18 Земельного кодекса Российской Федерации, учас</w:t>
            </w:r>
            <w:r>
              <w:rPr>
                <w:b/>
                <w:sz w:val="24"/>
                <w:szCs w:val="24"/>
              </w:rPr>
              <w:t>тниками аукциона могут являться только граждане.</w:t>
            </w:r>
          </w:p>
        </w:tc>
      </w:tr>
      <w:tr>
        <w:trPr>
          <w:trHeight w:val="236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задатка (50% от начальной цены)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544 000 руб.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1884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hanging="0" w:left="0"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 договора купли-продажи земельного участка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Проект договора купли-продажи земельного участка, приобретаемого на торгах в форме аукциона, утвержден постановлением администрации города Перми от 29.05.2015 № 322, является Приложением 4 к настоящему извещению  и </w:t>
            </w:r>
            <w:r>
              <w:rPr>
                <w:sz w:val="24"/>
                <w:szCs w:val="24"/>
                <w:lang w:val="en-US" w:eastAsia="en-US"/>
              </w:rPr>
              <w:t xml:space="preserve">размещен на сайтах www.torgi.gov.ru, www.gorodperm.ru (раздел Деятельность/ </w:t>
              <w:br/>
              <w:t>Муниципальная собственность/ Торговая площадка</w:t>
              <w:br/>
              <w:t>Вид торгов Продажа и аренда земельных участков)</w:t>
            </w:r>
          </w:p>
        </w:tc>
      </w:tr>
      <w:tr>
        <w:trPr>
          <w:trHeight w:val="144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Порядок осмотра земельного участка </w:t>
              <w:br/>
              <w:t>на местности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Осмотр земельного участка производится заявителем самостоятельно в любое время с даты опубликования настоящего извещения.</w:t>
            </w:r>
          </w:p>
        </w:tc>
      </w:tr>
    </w:tbl>
    <w:p>
      <w:pPr>
        <w:pStyle w:val="Normal"/>
        <w:widowControl w:val="false"/>
        <w:spacing w:before="0" w:after="0"/>
        <w:contextualSpacing/>
        <w:rPr>
          <w:rFonts w:eastAsia="Courier New"/>
          <w:b/>
          <w:bCs/>
          <w:sz w:val="24"/>
          <w:szCs w:val="24"/>
          <w:highlight w:val="none"/>
        </w:rPr>
      </w:pPr>
      <w:r>
        <w:rPr>
          <w:rFonts w:eastAsia="Courier New"/>
          <w:b/>
          <w:bCs/>
          <w:sz w:val="24"/>
          <w:szCs w:val="24"/>
        </w:rPr>
      </w:r>
    </w:p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  <w:highlight w:val="none"/>
        </w:rPr>
      </w:pPr>
      <w:r>
        <w:rPr>
          <w:sz w:val="20"/>
          <w:szCs w:val="20"/>
        </w:rPr>
      </w:r>
    </w:p>
    <w:p>
      <w:pPr>
        <w:pStyle w:val="Normal"/>
        <w:tabs>
          <w:tab w:val="clear" w:pos="708"/>
          <w:tab w:val="left" w:pos="5103" w:leader="none"/>
        </w:tabs>
        <w:ind w:right="-263"/>
        <w:rPr>
          <w:sz w:val="20"/>
          <w:szCs w:val="20"/>
          <w:highlight w:val="none"/>
        </w:rPr>
      </w:pPr>
      <w:r>
        <w:rPr>
          <w:b/>
          <w:lang w:val="en-US"/>
        </w:rPr>
        <w:t>Лот № 4</w:t>
      </w:r>
    </w:p>
    <w:tbl>
      <w:tblPr>
        <w:tblW w:w="5000" w:type="pct"/>
        <w:jc w:val="left"/>
        <w:tblInd w:w="-47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1e0" w:noHBand="0" w:noVBand="0" w:firstColumn="1" w:lastRow="1" w:lastColumn="1" w:firstRow="1"/>
      </w:tblPr>
      <w:tblGrid>
        <w:gridCol w:w="345"/>
        <w:gridCol w:w="3275"/>
        <w:gridCol w:w="6301"/>
      </w:tblGrid>
      <w:tr>
        <w:trPr>
          <w:trHeight w:val="877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before="0" w:after="0"/>
              <w:ind w:right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органа местного самоуправления, принявшего решение о проведении аукциона, реквизиты указанного решения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города Перми, распоряжение начальника департамента земельных отношений администрации города Перми от 22 ноября 2024 г.  № 21-01-03-10319                 «О проведении аукциона по продаже земельного участка в Свердловском районе города Перми»</w:t>
            </w:r>
          </w:p>
        </w:tc>
      </w:tr>
      <w:tr>
        <w:trPr>
          <w:trHeight w:val="225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Предмет аукциона по продаже земельного участка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93" w:hRule="atLeast"/>
        </w:trPr>
        <w:tc>
          <w:tcPr>
            <w:tcW w:w="3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местоположение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Российская Федерация, край Пермский, городской округ Пермский, город Пермь, улица Бахаревская, з/у 42а</w:t>
            </w:r>
          </w:p>
        </w:tc>
      </w:tr>
      <w:tr>
        <w:trPr>
          <w:trHeight w:val="155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1311 кв. м</w:t>
            </w:r>
          </w:p>
        </w:tc>
      </w:tr>
      <w:tr>
        <w:trPr>
          <w:trHeight w:val="155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59:01:4411069:630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права на земельный участок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государственная собственность не разграничена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разрешенное использование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для индивидуального жилищного строительства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принадлежность к определенной  </w:t>
              <w:br/>
              <w:t>категории земель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земли населенных пунктов</w:t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ограничение прав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Ограничения прав подробно описаны: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выписке из Единого государственного реестра недвижимости об объекте недвижимости от 22.01.2025г. № КУВИ-001/2025-17958281;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градостроительном плане земельного участка</w:t>
            </w:r>
          </w:p>
          <w:p>
            <w:pPr>
              <w:pStyle w:val="Normal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>от 26.07.2024 № РФ-59-2-03-0-00-2024-1562-0 (далее – ГПЗУ).</w:t>
            </w:r>
          </w:p>
          <w:p>
            <w:pPr>
              <w:pStyle w:val="Normal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311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highlight w:val="white"/>
              </w:rPr>
              <w:t>Участок огорожен деревянным забором, на участке произрастает садово-огородная растительность, овощи, зелень, установлена разборная теплица.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  <w:szCs w:val="24"/>
                <w:highlight w:val="white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  <w:szCs w:val="24"/>
                <w:highlight w:val="white"/>
              </w:rPr>
              <w:t xml:space="preserve"> администрации Свердловского района города Перми </w:t>
            </w:r>
            <w:r>
              <w:rPr>
                <w:color w:val="000000"/>
                <w:sz w:val="24"/>
                <w:szCs w:val="24"/>
                <w:highlight w:val="white"/>
              </w:rPr>
              <w:t>(далее – Администрация района) от 26.07.2024 № 059-39-01-29/3-564, в  акте обследования от 18.07.2024 № 24).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ходе визуального обследования Участка 29.08.2024 установлено, что вышеуказанная территория огорожена деревянным забором, на участке произрастает садово-огородные растительность, овощи, зелень, установлены две разборные теплицы, две хозяйственные постройки. </w:t>
            </w:r>
            <w:r>
              <w:rPr>
                <w:color w:val="000000"/>
                <w:sz w:val="24"/>
                <w:u w:val="single"/>
              </w:rPr>
              <w:t>Баня отсутствует</w:t>
            </w:r>
            <w:r>
              <w:rPr>
                <w:color w:val="000000"/>
                <w:sz w:val="24"/>
              </w:rPr>
              <w:t>, сгорела в 2023 году. В настоящее время Участок использует Вагизова Любовь Юрьевна.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>Расположение близлежащих источников противопожарного водоснабжения относительно Участка: ул.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Пристанционная, 37-25 куб. м., железо/бетонный, женский монастырь, ул. Пристанционная, 37-16 куб. м, водонапорная башня, водоемы.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Администрации района</w:t>
            </w:r>
            <w:r>
              <w:rPr>
                <w:color w:val="000000"/>
                <w:sz w:val="24"/>
              </w:rPr>
              <w:t> от 30.08.2024 № 059-39-01-29/3-646).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Согласно сведениям, содержащимся в ГПЗУ, ЕГРН </w:t>
              <w:br/>
              <w:t> и справке по градостроительным условиям от 22.01.2025</w:t>
            </w:r>
            <w:r>
              <w:rPr>
                <w:color w:val="000000"/>
              </w:rPr>
              <w:t xml:space="preserve"> № </w:t>
            </w:r>
            <w:r>
              <w:rPr>
                <w:color w:val="000000"/>
                <w:sz w:val="24"/>
              </w:rPr>
              <w:t>619749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Участок полностью расположен в границах зон с особыми условиями использования территории: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Приаэродромной территории аэродрома аэропорта Большое Савино, реестровый номер границы </w:t>
              <w:br/>
              <w:t> 59:32-6.553.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Проектирование и строительство вести </w:t>
              <w:br/>
              <w:t xml:space="preserve"> в соответствии с постановлением Правительства Российской Федерации от 11.03.2010 № 138 </w:t>
              <w:br/>
              <w:t> «Об утверждении Федеральных правил использования воздушного пространства Российской Федерации»: «Запрещается размещать в полосах воздушных подходов на удалении до 30 км, а вне полос воздушных подходов – до 15 км от контрольной точки аэродрома объекты выбросов (размещения) отходов, животноводческие фермы, скотобойни и другие объекты, способствующие привлечению и массовому скоплению птиц»;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Зоне санитарной охраны водозаборной скважины </w:t>
              <w:br/>
              <w:t> 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 xml:space="preserve">1усл. железнодорожной станции Бахаревка Пермского территориального участка Свердловской дирекции по тепловодоснабжению (Свердловский район г. Пермь) (3 пояс), реестровый номер границы </w:t>
              <w:br/>
              <w:t> 59:01-6.8452.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При проектировании и строительстве необходимо учитывать требования Постановления Главного государственного санитарного врача РФ от 14 марта 2002 г. № 10 «О введении в действие санитарных правил и норм «Зоны санитарной охраны источников водоснабжения и водопроводов питьевого назначения. СанПиН 2.1.4.1110-02» 3.2.2. Мероприятия по третьему поясу 3.2.2.3. Запрещение закачки отработанных вод </w:t>
              <w:br/>
              <w:t xml:space="preserve"> в подземные горизонты, подземного складирования твердых отходов и разработки недр земли. 3.2.2.4. Запрещение размещения складов горюче-смазочных материалов, ядохимикатов и минеральных удобрений, накопителей промстоков, шламохранилищ и других объектов, обусловливающих опасность химического загрязнения подземных вод. Размещение таких объектов допускается в пределах третьего пояса ЗСО только </w:t>
              <w:br/>
              <w:t xml:space="preserve"> при использовании защищенных подземных вод, </w:t>
              <w:br/>
              <w:t xml:space="preserve"> при условии выполнения специальных мероприятий </w:t>
              <w:br/>
              <w:t xml:space="preserve"> по защите водоносного горизонта от загрязнения </w:t>
              <w:br/>
              <w:t> при наличии санитарно-эпидемиологического заключения центра государственного санитарно-эпидемиологического надзора, выданного с учетом заключения органов геологического контроля.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Частично в зоне Бахаревского элеватора. </w:t>
              <w:br/>
              <w:t xml:space="preserve"> При проектировании и строительстве необходимо учитывать требования Постановления Постановление администрации города Перми Об утверждении перечней и проектов границ общих и индивидуальных санитарно-защитных зон промышленных предприятий и объектов, расположенных на территории города Перми №2735 </w:t>
              <w:br/>
              <w:t> от 22.11.2005.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ind w:firstLine="311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highlight w:val="white"/>
              </w:rPr>
              <w:t>На Участке произрастает 5 деревьев породы – клен 3 шт., осина  2 шт.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Победителю аукциона необходимо соблюдать условия строительства, перечисленные в перечне мероприятий по охране окружающей среды  от 15.07.2024 № 159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(прилагается).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color w:val="000000"/>
                <w:sz w:val="24"/>
                <w:szCs w:val="24"/>
                <w:highlight w:val="white"/>
              </w:rPr>
              <w:t>управления по экологии и природопользованию администрации города Перми</w:t>
            </w:r>
            <w:r>
              <w:rPr>
                <w:color w:val="000000"/>
                <w:sz w:val="24"/>
                <w:szCs w:val="24"/>
                <w:highlight w:val="white"/>
              </w:rPr>
              <w:t> от 16.07.2024 № 059-33-01-10/3-425).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соответствии с бюджетом города Перми на 2024 год и плановый период 2025-2026 годов мероприятий </w:t>
              <w:br/>
              <w:t> по строительству, реконструкции, капитальному ремонту улично-дорожной сети на Участке  не предусмотрены.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Организация плоскостных парковок общего пользования местного значения Планом развития парковочного пространства города Перми на 2024-2026 гг. на Участке не предусмотрена.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sz w:val="24"/>
                <w:szCs w:val="24"/>
              </w:rPr>
              <w:t>(Аналогичная информация отражена в письме</w:t>
            </w:r>
            <w:r>
              <w:rPr/>
              <w:t xml:space="preserve"> д</w:t>
            </w:r>
            <w:r>
              <w:rPr>
                <w:b/>
                <w:color w:val="000000"/>
                <w:sz w:val="24"/>
              </w:rPr>
              <w:t>епартамента дорог и благоустройства администрации города Перми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 от 15.07.2024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059-24-01-36/3-2516).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>Ближайшее подразделение пожарной охраны расположено по адресу: ул. Белинского, 52 (ПСЧ-5 10-ПСО);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на указанной территории источники противопожарного водоснабжения отсутствуют. Строительство пожарного водоема запланировано в 2024 году на пересечении улиц 1-я Бахаревская  и Пристанционная в микрорайоне Бахаревка Свердловского района города Перми;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при планировке и размещении объектов </w:t>
              <w:br/>
              <w:t xml:space="preserve"> на вышеуказанной территории необходимо соблюдать нормы и требования действующего законодательства: Федеральных законов от 21.12.1994 № 69-ФЗ </w:t>
              <w:br/>
              <w:t xml:space="preserve"> «О пожарной безопасности» и от 22.07.2008 № 123-ФЗ «Технический регламент о требованиях пожарной безопасности», Региональных нормативов градостроительного проектирования «Расчетные показатели обеспеченности населения Пермского края объектами пожарной охраны», утвержденных приказом Министерства по управлению имуществом </w:t>
              <w:br/>
              <w:t xml:space="preserve"> и градостроительной деятельности Пермского края </w:t>
              <w:br/>
              <w:t xml:space="preserve"> от 25.02.2021 № 31-02-1-4-248, а также Свода правил 8.13130 «Системы противопожарной защиты. Источники наружного противопожарного водоснабжения. Требования пожарной безопасности», утвержденных приказом МЧС России от 30.03.2020 </w:t>
            </w:r>
            <w:r>
              <w:rPr>
                <w:color w:val="000000"/>
              </w:rPr>
              <w:t xml:space="preserve">№ </w:t>
            </w:r>
            <w:r>
              <w:rPr>
                <w:color w:val="000000"/>
                <w:sz w:val="24"/>
              </w:rPr>
              <w:t>225, Свода правил 4.13130 «Системы противопожарной защиты. Ограничение распространения пожара на объектах защиты. Требования к объемно-планировочным и конструктивным решениям», утвержденных Приказом МЧС России от 24.04.2013 № 288 и иной документации, касающейся норм противопожарной безопасности;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объекты общественной безопасности, отнесенные </w:t>
              <w:br/>
              <w:t xml:space="preserve"> к объектам полиции (участковые пункты полиции) </w:t>
              <w:br/>
              <w:t xml:space="preserve"> в данном микрорайоне отсутствуют. Ближайший участковый пункт расположен по адресу: </w:t>
              <w:br/>
              <w:t xml:space="preserve"> г. Пермь, ул. Героев Хасана, 151/а, (микрорайон Липовая Гора, Свердловский район). В настоящее время </w:t>
              <w:br/>
              <w:t> в указанном микрорайоне строительство (приобретение) участков пунктов полиции не планируется;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помещения для аварийно-спасательных служб </w:t>
              <w:br/>
              <w:t xml:space="preserve"> и (или) аварийно-спасательных формирований </w:t>
              <w:br/>
              <w:t> на Участке отсутствуют;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>в соответствии с информацией, предоставленной Министерством территориальной безопасности Пермского края, Участок попадает в зону возможного химического заражения в особый период;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Участок находится в зоне действия региональной автоматизированной системы централизованного оповещения населения города Перми, установленной </w:t>
              <w:br/>
              <w:t> по адресу: ул. Василия Васильевича, 5а – 60 метров.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департамента общественной безопасности администрации города Перми</w:t>
            </w:r>
            <w:r>
              <w:rPr>
                <w:color w:val="000000"/>
                <w:sz w:val="24"/>
              </w:rPr>
              <w:t xml:space="preserve"> от 17.07.2024 № 059-10-01-27/3-1040).</w:t>
            </w:r>
          </w:p>
          <w:p>
            <w:pPr>
              <w:pStyle w:val="BodyText"/>
              <w:ind w:firstLine="31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2262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360" w:left="720"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максимально и (или) минимально  допустимые параметры разрешенного строительства </w:t>
              <w:br/>
              <w:t>объекта капитального строительства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официальном сайте муниципального образования город Пермь в информационно-телекоммуникационной сети Интернет </w:t>
            </w:r>
            <w:r>
              <w:rPr>
                <w:sz w:val="24"/>
                <w:szCs w:val="24"/>
              </w:rPr>
              <w:t>www.gorodperm.ru.</w:t>
            </w:r>
          </w:p>
          <w:p>
            <w:pPr>
              <w:pStyle w:val="Normal"/>
              <w:tabs>
                <w:tab w:val="clear" w:pos="708"/>
                <w:tab w:val="right" w:pos="6000" w:leader="none"/>
              </w:tabs>
              <w:ind w:firstLine="3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tabs>
                <w:tab w:val="clear" w:pos="708"/>
                <w:tab w:val="right" w:pos="6000" w:leader="none"/>
              </w:tabs>
              <w:ind w:firstLine="362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Согласно градостроительному плану Земельного участка от 26.07.2024 № РФ-59-2-03-0-00-2024-1562-0 (далее – ГПЗУ): Минимальный отступ от границ земельного участка – 3 м, до места допустимого размещения зданий, строений (за исключением границ со стороны территории общего пользования, где отступ определяется с учетом красных линий и линий регулирования застройки, установленных проектом планировки территории, а также границ смежных земельных участков при блокированной жилой застройке).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участка: </w:t>
              <w:br/>
              <w:t> – 40 %.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Предельная высота зданий, сооружений – не более 10,5 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>Максимальный выступ за красную линию нависающих частей здания наземных уровней, выступающих из плоскости наружной стены фасада здания на высоте не менее 4,5 м над территорией общего пользования, составляет не более 1,2 м от красной линии. В случаях, когда линия регулирования застройки отличается от красной линии, указанный выступ может быть произведен за линию регулирования застройки.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color w:val="FF0000"/>
              </w:rPr>
            </w:pPr>
            <w:r>
              <w:rPr>
                <w:color w:val="000000"/>
                <w:sz w:val="24"/>
              </w:rPr>
              <w:t>С уведомлением о планируемом строительстве жилого дома рекомендуется обратиться в уполномоченный орган администрации города Перми.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Проектирование и строительство необходимо вести </w:t>
              <w:br/>
              <w:t xml:space="preserve"> в соответствии с пунктом 4.5 СП 55.13330.2016 Свода Правил. Дома жилые одноквартирные. СНиП </w:t>
              <w:br/>
              <w:t xml:space="preserve"> 31-02-2001, утвержденным и введенным в действие Приказом Министерства строительства и жилищно-коммунального хозяйства Российской Федерации </w:t>
              <w:br/>
              <w:t xml:space="preserve"> от 20.10.2016 № 725/пр (ред. от 17.05.2023): дом должен включать жилые комнаты – одну или несколько </w:t>
              <w:br/>
              <w:t xml:space="preserve"> (общую комнату или гостиную, спальню), </w:t>
              <w:br/>
              <w:t xml:space="preserve"> а также вспомогательные помещения: переднюю, кухню (в том числе кухню-столовую и (или) кухню-нишу), ванные комнаты и (или) душевые, туалет (уборную) </w:t>
              <w:br/>
              <w:t> или совмещенный санузел, переднюю.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Согласно пункту 6.1 СП 55.13330.2016 площади помещений строящихся и реконструируемых жилых домов должны быть не менее: общей комнаты </w:t>
              <w:br/>
              <w:t xml:space="preserve"> в однокомнатном доме - 14 м2, общей комнаты в доме </w:t>
              <w:br/>
              <w:t xml:space="preserve"> с числом комнат две и более - 16 м2, спальни - 8 м2 </w:t>
              <w:br/>
              <w:t xml:space="preserve"> (на двух человек - 10 м2); кухни - 8 м2; кухонной зоны </w:t>
              <w:br/>
              <w:t xml:space="preserve"> в кухне-столовой - 6 м2. В домах с одной комнатой допускается проектировать кухни или кухни-ниши площадью не менее 5 м2. Площадь спальни и кухни </w:t>
              <w:br/>
              <w:t xml:space="preserve"> в мансардном этаже (или этаже с наклонными ограждающими конструкциями) допускается не менее </w:t>
              <w:br/>
              <w:t> 7 м2 при условии, что общая жилая комната имеет площадь не менее 16 м2.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Согласно пункту 6.2 СП 55.13330.2016 высота </w:t>
              <w:br/>
              <w:t xml:space="preserve"> (от пола до потолка) комнат и кухни (кухни-столовой) </w:t>
              <w:br/>
              <w:t xml:space="preserve"> в климатических районах строительства IА, IБ, IГ, IД, определяемых по СП 131.13330, должна быть не менее 2,7 м, а в других климатических районах строительства - не менее 2,5 м. Высота внутридомовых коридоров, холлов, передних, антресолей должна составлять </w:t>
              <w:br/>
              <w:t> не менее 2,1 м, а высота пути эвакуации - не менее 2,2 м.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жилых комнатах и кухнях, расположенных </w:t>
              <w:br/>
              <w:t> в этажах с наклонными ограждающими конструкциями или в мансардном этаже, допускается уменьшение высоты помещений (от пола</w:t>
            </w:r>
            <w:r>
              <w:rPr>
                <w:color w:val="000000"/>
              </w:rPr>
              <w:t> </w:t>
            </w:r>
            <w:r>
              <w:rPr>
                <w:color w:val="000000"/>
                <w:sz w:val="24"/>
              </w:rPr>
              <w:t>до потолка), относительно нормируемой на площади, не превышающей 50%.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Победителю аукциона (единственному участнику) рекомендовано обратиться в уполномоченный орган </w:t>
              <w:br/>
              <w:t> с уведомлением о планируемом строительстве жилого дома.</w:t>
            </w:r>
          </w:p>
          <w:p>
            <w:pPr>
              <w:pStyle w:val="Normal"/>
              <w:tabs>
                <w:tab w:val="clear" w:pos="708"/>
                <w:tab w:val="right" w:pos="6000" w:leader="none"/>
              </w:tabs>
              <w:ind w:firstLine="36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144" w:hRule="atLeast"/>
        </w:trPr>
        <w:tc>
          <w:tcPr>
            <w:tcW w:w="34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0"/>
              </w:rPr>
            </w:pPr>
            <w:r>
              <w:rPr>
                <w:sz w:val="20"/>
              </w:rPr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numPr>
                <w:ilvl w:val="0"/>
                <w:numId w:val="3"/>
              </w:numPr>
              <w:ind w:hanging="284" w:left="52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возможность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  <w:t xml:space="preserve">В </w:t>
            </w:r>
            <w:r>
              <w:rPr>
                <w:sz w:val="24"/>
                <w:szCs w:val="24"/>
                <w:shd w:fill="FFFFFF" w:val="clear"/>
              </w:rPr>
              <w:t xml:space="preserve">документации по земельному участку, размещенной с извещением о проведении аукциона в ГИС Торги </w:t>
            </w:r>
            <w:r>
              <w:rPr>
                <w:sz w:val="24"/>
                <w:szCs w:val="24"/>
                <w:lang w:val="en-US"/>
              </w:rPr>
              <w:t>www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torgi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gov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  <w:shd w:fill="FFFFFF" w:val="clear"/>
              </w:rPr>
              <w:t xml:space="preserve">, официальном сайте муниципального образования город Пермь в информационно-телекоммуникационной сети Интернет </w:t>
            </w:r>
            <w:hyperlink r:id="rId12">
              <w:r>
                <w:rPr>
                  <w:rStyle w:val="Hyperlink"/>
                  <w:sz w:val="24"/>
                  <w:szCs w:val="24"/>
                </w:rPr>
                <w:t>www.gorodperm.ru</w:t>
              </w:r>
            </w:hyperlink>
            <w:r>
              <w:rPr>
                <w:sz w:val="24"/>
                <w:szCs w:val="24"/>
              </w:rPr>
              <w:t>.</w:t>
            </w:r>
          </w:p>
          <w:p>
            <w:pPr>
              <w:pStyle w:val="Normal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BodyText"/>
              <w:ind w:firstLine="312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b w:val="false"/>
                <w:bCs w:val="false"/>
                <w:color w:val="000000"/>
                <w:sz w:val="24"/>
                <w:szCs w:val="24"/>
              </w:rPr>
              <w:t>О наличии технической возможности технологического присоединения энергопринимающего устройства объекта с предполагаемым электоропотреблением  15 кВт сообщается следующее.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В соответствии с «Правилами технологического присоединения энергопринимающих устройств потребителей электрической энергии, объектов </w:t>
              <w:br/>
              <w:t> 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сетям», утвержденных постановлением Правительства Российской Федерации от 27.12.2004 № 861, конкретные технические условия на энергосбережение объекта разрабатываются в составе договора о технологическом присоединении.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Плата за технологическое присоединение энергопринимающих устройств устанавливается исходя из стоимости мероприятий по технологическому присоединению, размер платы определяется </w:t>
              <w:br/>
              <w:t xml:space="preserve"> по утвержденным тарифам согласно постановлению РСТ Пермского края от 23.11.2023 № 121-тп </w:t>
              <w:br/>
              <w:t> (в последней редакции).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Электроснабжение объекта возможно будет осуществить при условии строительства питающей линии электропередачи 0,4 кВ на основании договора </w:t>
              <w:br/>
              <w:t> об осуществлении технологического присоединения объекта к электрическим сетям филиала «Пермэнерго».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Подать заявку на технологическое присоединение возможно через единый федеральный портал электросетевых услуг группы компаний «Россети» </w:t>
              <w:br/>
              <w:t xml:space="preserve"> на сайте: </w:t>
            </w:r>
            <w:r>
              <w:rPr>
                <w:color w:val="000000"/>
                <w:sz w:val="24"/>
                <w:u w:val="single"/>
              </w:rPr>
              <w:t>https://портал-тп.рф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>или через Мобильное приложение ПАО «Россети».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bCs w:val="false"/>
                <w:color w:val="000000"/>
                <w:sz w:val="24"/>
                <w:szCs w:val="24"/>
              </w:rPr>
              <w:t xml:space="preserve">Филиала ПАО «Россети Урал» - «Пермэнерго» </w:t>
            </w:r>
            <w:r>
              <w:rPr>
                <w:b w:val="false"/>
                <w:bCs w:val="false"/>
                <w:color w:val="000000"/>
                <w:sz w:val="24"/>
                <w:szCs w:val="24"/>
              </w:rPr>
              <w:t>от 20.08.2024 № ПЭ/ПГЭС/01/22/8785).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Техническая возможность подключения объекта капитального строительства с предполагаемой максимальной нагрузкой (часовым расходом газа) 8м3/час </w:t>
              <w:br/>
              <w:t> к существующим сетям газораспределения имеется.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АО «Газпром газораспределение Пермь»</w:t>
            </w:r>
            <w:r>
              <w:rPr>
                <w:color w:val="000000"/>
                <w:sz w:val="24"/>
              </w:rPr>
              <w:t> от 17.07.2024 № ПФ-4389).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О наличии технической возможности подключения объекта капитального строительства с планируемой величиной подключаемой нагрузки по водоснабжению </w:t>
              <w:br/>
              <w:t> и водоотведению – 1,0 м3/сут. к централизованным системам водоснабжения и водоотведения сообщается следующее.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В районе Участка отсутствуют централизованные сети водоснабжения и водоотведения, эксплуатируемые ООО «НОВОГОР-Прикамье».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Ближайшие сети водоснабжения, эксплуатируемые ООО «НОВОГОР-Прикамье», располагаются </w:t>
              <w:br/>
              <w:t> по ул. Куйбышева, в районе здания по ул. Куйбышева, 128 ориентировочно на расстоянии – 1120 м выше Участка.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Ближайшие сети водоотведения, эксплуатируемые ООО «НОВОГОР-Прикамье», располагаются вдоль </w:t>
              <w:br/>
              <w:t> ул. Василия Васильева, ориентировочно на расстоянии – 1000 м от Участка.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 xml:space="preserve">ООО «НОВОГОР-Прикамье» </w:t>
            </w:r>
            <w:r>
              <w:rPr>
                <w:color w:val="000000"/>
                <w:sz w:val="24"/>
              </w:rPr>
              <w:t>от 16.07.2023  № 110-11571).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Участок расположен вне зоны теплоснабжения ПАО </w:t>
              <w:br/>
              <w:t> «Т Плюс».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Филиала «Пермский ПАО «Т Плюс»</w:t>
            </w:r>
            <w:r>
              <w:rPr>
                <w:color w:val="000000"/>
                <w:sz w:val="24"/>
              </w:rPr>
              <w:t xml:space="preserve"> от 15.07.2024 № 51000-32-02282).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Технологическая возможность подключения объекта капитального строительства к сетям теплоснабжения отсутствует.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Рекомендуется рассмотреть альтернативный источник теплоснабжения – электричество, дрова, пеллеты.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sz w:val="24"/>
                <w:szCs w:val="24"/>
              </w:rPr>
              <w:t>(Аналогичная информация отражена в письме</w:t>
            </w:r>
            <w:r>
              <w:rPr/>
              <w:t xml:space="preserve">  </w:t>
            </w:r>
            <w:r>
              <w:rPr>
                <w:b/>
                <w:color w:val="000000"/>
                <w:sz w:val="24"/>
              </w:rPr>
              <w:t>департамента жилищно-коммунального хозяйства администрации города Перми</w:t>
            </w:r>
            <w:r>
              <w:rPr>
                <w:color w:val="000000"/>
                <w:sz w:val="24"/>
              </w:rPr>
              <w:t xml:space="preserve"> от 22.08.2024 № 059-04-25/3-95-ри).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/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>
                <w:color w:val="FF0000"/>
              </w:rPr>
            </w:pPr>
            <w:r>
              <w:rPr>
                <w:color w:val="000000"/>
                <w:sz w:val="24"/>
              </w:rPr>
              <w:t xml:space="preserve">Техническое присоединение к сетям связи ПАО «Ростелеком» планируемых к строительству объектов в границах Участка может быть произведено </w:t>
              <w:br/>
              <w:t> в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z w:val="24"/>
              </w:rPr>
              <w:t xml:space="preserve">точке подключения – узел ВОЛС (г. Пермь, Солдатова, д.29а), максимальную нагрузку в точке подключения (технологического присоединения) определить </w:t>
              <w:br/>
              <w:t> на стадии проектирования.</w:t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Для подключения (технологического присоединения) объектов к сетям электросвязи ПАО «Ростелеком» необходим запрос правообладателя земельного участка на выдачу технических условий подключения или заявка о заключении договора о подключении в порядке, определенном действующим законодательством </w:t>
              <w:br/>
              <w:t xml:space="preserve"> по адресу: г. Пермь, ул. Крупской, 2, ел.:(342) 235-57-34 или направить запрос на </w:t>
            </w:r>
            <w:hyperlink r:id="rId13">
              <w:r>
                <w:rPr>
                  <w:rStyle w:val="Hyperlink"/>
                  <w:color w:val="000000"/>
                  <w:sz w:val="24"/>
                </w:rPr>
                <w:t>perm-mail@ural.rt.ru</w:t>
              </w:r>
            </w:hyperlink>
            <w:r>
              <w:rPr>
                <w:color w:val="000000"/>
                <w:sz w:val="24"/>
              </w:rPr>
              <w:t>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 </w:t>
            </w:r>
            <w:r>
              <w:rPr>
                <w:b/>
                <w:color w:val="000000"/>
                <w:sz w:val="24"/>
              </w:rPr>
              <w:t>ПАО «Ростелеком»</w:t>
            </w:r>
            <w:r>
              <w:rPr>
                <w:color w:val="000000"/>
                <w:sz w:val="24"/>
              </w:rPr>
              <w:t xml:space="preserve"> от 19.07.2024  № 01/05/104188/24).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</w:p>
          <w:p>
            <w:pPr>
              <w:pStyle w:val="BodyText"/>
              <w:spacing w:before="0" w:after="0"/>
              <w:ind w:firstLine="317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На территории, где расположен Участок, схемами водоснабжения и водоотведения города Перми, утвержденными постановлением администрации города Перми от 28.12.2018 № 1085, </w:t>
              <w:br/>
              <w:t> на период до 2028 года схемами не предусмотрено строительство сетей водоснабжения и водоотведения.</w:t>
            </w:r>
          </w:p>
          <w:p>
            <w:pPr>
              <w:pStyle w:val="BodyText"/>
              <w:spacing w:before="0" w:after="0"/>
              <w:ind w:firstLine="311" w:left="0" w:right="0"/>
              <w:jc w:val="both"/>
              <w:rPr/>
            </w:pPr>
            <w:r>
              <w:rPr>
                <w:color w:val="000000"/>
                <w:sz w:val="24"/>
              </w:rPr>
              <w:t xml:space="preserve">(Аналогичная информация отражена в письме </w:t>
            </w:r>
            <w:r>
              <w:rPr>
                <w:b/>
                <w:bCs/>
                <w:color w:val="000000"/>
                <w:sz w:val="24"/>
              </w:rPr>
              <w:t>департамента жилищно-коммунального хозяйства</w:t>
            </w:r>
            <w:r>
              <w:rPr>
                <w:color w:val="000000"/>
                <w:sz w:val="24"/>
              </w:rPr>
              <w:t xml:space="preserve"> </w:t>
            </w:r>
            <w:r>
              <w:rPr>
                <w:b/>
                <w:color w:val="000000"/>
                <w:sz w:val="24"/>
              </w:rPr>
              <w:t>администрации города Перми</w:t>
            </w:r>
            <w:r>
              <w:rPr>
                <w:color w:val="000000"/>
                <w:sz w:val="24"/>
              </w:rPr>
              <w:t xml:space="preserve"> от 12.07.2024 № 059-04-17/3-666-ри).</w:t>
            </w:r>
          </w:p>
          <w:p>
            <w:pPr>
              <w:pStyle w:val="BodyText"/>
              <w:ind w:hanging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225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Начальная цена предмета аукциона</w:t>
            </w:r>
          </w:p>
          <w:p>
            <w:pPr>
              <w:pStyle w:val="Normal"/>
              <w:ind w:right="-26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(рыночная стоимость земельного участка)</w:t>
            </w:r>
          </w:p>
          <w:p>
            <w:pPr>
              <w:pStyle w:val="Normal"/>
              <w:ind w:right="-263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Победитель аукциона, иное лицо, с которым договор заключается в соответствии с п.13, п.14 или п. 20</w:t>
            </w:r>
          </w:p>
          <w:p>
            <w:pPr>
              <w:pStyle w:val="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ст. 39.12 Земельного Кодекса Российской Федерации (далее – ЗК РФ), обязан </w:t>
            </w:r>
            <w:r>
              <w:rPr>
                <w:b/>
                <w:sz w:val="24"/>
                <w:szCs w:val="24"/>
              </w:rPr>
              <w:t>в течение 15 дней</w:t>
            </w:r>
            <w:r>
              <w:rPr>
                <w:sz w:val="24"/>
                <w:szCs w:val="24"/>
              </w:rPr>
              <w:t xml:space="preserve"> со дня размещения  протокола о результатах аукциона, а в случаях, определенных п.13, п.14, ст. 39.12 ЗК РФ, протокола рассмотрения заявок, </w:t>
            </w:r>
            <w:r>
              <w:rPr>
                <w:b/>
                <w:sz w:val="24"/>
                <w:szCs w:val="24"/>
              </w:rPr>
              <w:t xml:space="preserve">перечислить денежные средства </w:t>
            </w:r>
            <w:r>
              <w:rPr>
                <w:sz w:val="24"/>
                <w:szCs w:val="24"/>
              </w:rPr>
              <w:t>за земельный участок (за вычетом задатка, внесенного для участия в аукционе) на счет департамента земельных отношений администрации города Перми, 614015, ул. Сибирская,15, тел. 212-61-90 (отдел договоров)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2 577 000 руб.</w:t>
            </w:r>
          </w:p>
        </w:tc>
      </w:tr>
      <w:tr>
        <w:trPr>
          <w:trHeight w:val="225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«Шаг аукциона» (3% от начальной цены)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77 310 руб.</w:t>
            </w:r>
          </w:p>
        </w:tc>
      </w:tr>
      <w:tr>
        <w:trPr>
          <w:trHeight w:val="416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на участие в аукционе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заявки размещена на сайтах www.torgi.gov.ru, www.gorodperm.ru (раздел Деятельность/ Муниципальная собственность/ Торговая площадка/ Вид торгов Продажа и аренда земельных участков).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Заявка подается и принимается одновременно с полным пакетом документов, требуемых для участия в аукционе. На каждый лот представляется отдельный пакет документов.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  <w:p>
            <w:pPr>
              <w:pStyle w:val="Normal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</w:t>
            </w:r>
            <w:r>
              <w:rPr>
                <w:b/>
                <w:sz w:val="24"/>
                <w:szCs w:val="24"/>
                <w:shd w:fill="auto" w:val="clear"/>
              </w:rPr>
              <w:t>шение о проведении аукциона принято в соответствии со статьей 39.18 Земельно</w:t>
            </w:r>
            <w:r>
              <w:rPr>
                <w:b/>
                <w:sz w:val="24"/>
                <w:szCs w:val="24"/>
              </w:rPr>
              <w:t>го кодекса Российской Федерации, участниками аукциона могут являться только граждане.</w:t>
            </w:r>
          </w:p>
        </w:tc>
      </w:tr>
      <w:tr>
        <w:trPr>
          <w:trHeight w:val="236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Размер задатка (50% от начальной цены)</w:t>
            </w:r>
          </w:p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1 288 500 руб.</w:t>
            </w:r>
          </w:p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1884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hanging="0" w:left="0" w:right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 договора купли-продажи земельного участка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en-US"/>
              </w:rPr>
              <w:t xml:space="preserve">Проект договора купли-продажи земельного участка, приобретаемого на торгах в форме аукциона, утвержден постановлением администрации города Перми от 29.05.2015 № 322, является Приложением 5 к настоящему извещению  и </w:t>
            </w:r>
            <w:r>
              <w:rPr>
                <w:sz w:val="24"/>
                <w:szCs w:val="24"/>
                <w:lang w:val="en-US" w:eastAsia="en-US"/>
              </w:rPr>
              <w:t xml:space="preserve">размещен на сайтах www.torgi.gov.ru, www.gorodperm.ru (раздел Деятельность/ </w:t>
              <w:br/>
              <w:t>Муниципальная собственность/ Торговая площадка</w:t>
              <w:br/>
              <w:t>Вид торгов Продажа и аренда земельных участков)</w:t>
            </w:r>
          </w:p>
        </w:tc>
      </w:tr>
      <w:tr>
        <w:trPr>
          <w:trHeight w:val="144" w:hRule="atLeast"/>
        </w:trPr>
        <w:tc>
          <w:tcPr>
            <w:tcW w:w="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ind w:right="-26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Порядок осмотра земельного участка </w:t>
              <w:br/>
              <w:t>на местности</w:t>
            </w:r>
          </w:p>
        </w:tc>
        <w:tc>
          <w:tcPr>
            <w:tcW w:w="6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Осмотр земельного участка производится заявителем самостоятельно в любое время с даты опубликования настоящего извещения.</w:t>
            </w:r>
          </w:p>
        </w:tc>
      </w:tr>
    </w:tbl>
    <w:p>
      <w:pPr>
        <w:pStyle w:val="Normal"/>
        <w:widowControl w:val="false"/>
        <w:spacing w:before="0" w:after="0"/>
        <w:contextualSpacing/>
        <w:rPr>
          <w:rFonts w:eastAsia="Courier New"/>
          <w:b/>
          <w:bCs/>
          <w:sz w:val="24"/>
          <w:szCs w:val="24"/>
          <w:highlight w:val="none"/>
        </w:rPr>
      </w:pPr>
      <w:r>
        <w:rPr>
          <w:rFonts w:eastAsia="Courier New"/>
          <w:b/>
          <w:bCs/>
          <w:sz w:val="24"/>
          <w:szCs w:val="24"/>
        </w:rPr>
      </w:r>
      <w:bookmarkStart w:id="0" w:name="_GoBack"/>
      <w:bookmarkStart w:id="1" w:name="_GoBack"/>
      <w:bookmarkEnd w:id="1"/>
    </w:p>
    <w:p>
      <w:pPr>
        <w:pStyle w:val="Normal"/>
        <w:widowControl w:val="false"/>
        <w:spacing w:before="0" w:after="0"/>
        <w:ind w:left="567"/>
        <w:contextualSpacing/>
        <w:jc w:val="center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  <w:t>Сроки, время подачи заявок, рассмотрения заявок, проведения аукциона</w:t>
      </w:r>
    </w:p>
    <w:p>
      <w:pPr>
        <w:pStyle w:val="Normal"/>
        <w:widowControl w:val="false"/>
        <w:spacing w:before="0" w:after="0"/>
        <w:ind w:left="567"/>
        <w:contextualSpacing/>
        <w:jc w:val="center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</w:r>
    </w:p>
    <w:p>
      <w:pPr>
        <w:pStyle w:val="Normal"/>
        <w:widowControl w:val="false"/>
        <w:ind w:firstLine="709" w:left="-567"/>
        <w:jc w:val="both"/>
        <w:rPr>
          <w:rFonts w:eastAsia="Courier New"/>
          <w:lang w:bidi="ru-RU"/>
        </w:rPr>
      </w:pPr>
      <w:r>
        <w:rPr>
          <w:rFonts w:eastAsia="Courier New"/>
          <w:b/>
          <w:lang w:bidi="ru-RU"/>
        </w:rPr>
        <w:t>Дата и время начала срока подачи заявок на участие в аукционе – 08.02.2025</w:t>
      </w:r>
      <w:r>
        <w:rPr>
          <w:rFonts w:eastAsia="Courier New"/>
          <w:lang w:bidi="ru-RU"/>
        </w:rPr>
        <w:t xml:space="preserve"> в 9:00 </w:t>
      </w:r>
      <w:r>
        <w:rPr>
          <w:rFonts w:eastAsia="Courier New"/>
          <w:lang w:bidi="ru-RU"/>
        </w:rPr>
        <w:br w:type="textWrapping" w:clear="all"/>
      </w:r>
      <w:r>
        <w:rPr>
          <w:rFonts w:eastAsia="Courier New"/>
          <w:lang w:bidi="ru-RU"/>
        </w:rPr>
        <w:t>по местному времени (7:00 МСК).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lang w:bidi="ru-RU"/>
        </w:rPr>
      </w:pPr>
      <w:r>
        <w:rPr>
          <w:rFonts w:eastAsia="Courier New"/>
          <w:lang w:bidi="ru-RU"/>
        </w:rPr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  <w:t>Дата и время окончания срока подачи заявок на участие в аукционе – 11.03.2025</w:t>
      </w:r>
      <w:r>
        <w:rPr>
          <w:rFonts w:eastAsia="Courier New"/>
          <w:lang w:bidi="ru-RU"/>
        </w:rPr>
        <w:t xml:space="preserve"> </w:t>
      </w:r>
      <w:r>
        <w:rPr>
          <w:rFonts w:eastAsia="Courier New"/>
          <w:lang w:bidi="ru-RU"/>
        </w:rPr>
        <w:br w:type="textWrapping" w:clear="all"/>
      </w:r>
      <w:r>
        <w:rPr>
          <w:rFonts w:eastAsia="Courier New"/>
          <w:lang w:bidi="ru-RU"/>
        </w:rPr>
        <w:t xml:space="preserve">в 18:00 по местному времени (16:00 МСК). 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</w:r>
    </w:p>
    <w:p>
      <w:pPr>
        <w:pStyle w:val="Normal"/>
        <w:widowControl w:val="false"/>
        <w:ind w:firstLine="709" w:left="-567"/>
        <w:jc w:val="both"/>
        <w:rPr>
          <w:rFonts w:eastAsia="Courier New"/>
          <w:lang w:bidi="ru-RU"/>
        </w:rPr>
      </w:pPr>
      <w:r>
        <w:rPr>
          <w:rFonts w:eastAsia="Courier New"/>
          <w:b/>
          <w:lang w:bidi="ru-RU"/>
        </w:rPr>
        <w:t>Дата окончания срока рассмотрения заявок на участие в аукционе (определение участников аукциона)</w:t>
      </w:r>
      <w:r>
        <w:rPr>
          <w:rFonts w:eastAsia="Courier New"/>
          <w:lang w:bidi="ru-RU"/>
        </w:rPr>
        <w:t xml:space="preserve"> –</w:t>
      </w:r>
      <w:r>
        <w:rPr>
          <w:rFonts w:eastAsia="Courier New"/>
          <w:b/>
          <w:bCs/>
          <w:lang w:bidi="ru-RU"/>
        </w:rPr>
        <w:t xml:space="preserve"> 12.03.2025. 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bCs/>
          <w:lang w:bidi="ru-RU"/>
        </w:rPr>
      </w:pPr>
      <w:r>
        <w:rPr>
          <w:rFonts w:eastAsia="Courier New"/>
          <w:b/>
          <w:bCs/>
          <w:lang w:bidi="ru-RU"/>
        </w:rPr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lang w:bidi="ru-RU"/>
        </w:rPr>
      </w:pPr>
      <w:r>
        <w:rPr>
          <w:rFonts w:eastAsia="Courier New"/>
          <w:b/>
          <w:bCs/>
          <w:lang w:bidi="ru-RU"/>
        </w:rPr>
        <w:t xml:space="preserve">Дата проведения аукциона (дата и время начала приема предложений </w:t>
      </w:r>
      <w:r>
        <w:rPr>
          <w:rFonts w:eastAsia="Courier New"/>
          <w:b/>
          <w:bCs/>
          <w:lang w:bidi="ru-RU"/>
        </w:rPr>
        <w:br w:type="textWrapping" w:clear="all"/>
      </w:r>
      <w:r>
        <w:rPr>
          <w:rFonts w:eastAsia="Courier New"/>
          <w:b/>
          <w:bCs/>
          <w:lang w:bidi="ru-RU"/>
        </w:rPr>
        <w:t>от участников аукциона) – 13.03</w:t>
      </w:r>
      <w:r>
        <w:rPr>
          <w:rFonts w:eastAsia="Courier New"/>
          <w:b/>
          <w:lang w:bidi="ru-RU"/>
        </w:rPr>
        <w:t>.2025</w:t>
      </w:r>
      <w:r>
        <w:rPr>
          <w:rFonts w:eastAsia="Courier New"/>
          <w:lang w:bidi="ru-RU"/>
        </w:rPr>
        <w:t xml:space="preserve"> в 09:00 по местному времени (07:00 МСК). 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lang w:bidi="ru-RU"/>
        </w:rPr>
      </w:pPr>
      <w:r>
        <w:rPr>
          <w:rFonts w:eastAsia="Courier New"/>
          <w:b/>
          <w:lang w:bidi="ru-RU"/>
        </w:rPr>
      </w:r>
    </w:p>
    <w:p>
      <w:pPr>
        <w:pStyle w:val="Normal"/>
        <w:widowControl w:val="false"/>
        <w:ind w:firstLine="709" w:left="-567"/>
        <w:jc w:val="both"/>
        <w:rPr/>
      </w:pPr>
      <w:r>
        <w:rPr>
          <w:b/>
        </w:rPr>
        <w:t>Место подачи (приема) заявок и место проведения аукциона:</w:t>
      </w:r>
      <w:r>
        <w:rPr/>
        <w:t xml:space="preserve"> электронная площадка – универсальная торговая платформа АО «Сбербанк-АСТ», размещенная на сайте http://utp.sberbank-ast.ru в сети Интернет (торговая секция «Приватизация, аренда и продажа прав»).</w:t>
      </w:r>
    </w:p>
    <w:p>
      <w:pPr>
        <w:pStyle w:val="Normal"/>
        <w:widowControl w:val="false"/>
        <w:jc w:val="both"/>
        <w:rPr/>
      </w:pPr>
      <w:r>
        <w:rPr/>
      </w:r>
    </w:p>
    <w:p>
      <w:pPr>
        <w:pStyle w:val="Normal"/>
        <w:widowControl w:val="false"/>
        <w:ind w:firstLine="709" w:left="-567"/>
        <w:jc w:val="center"/>
        <w:rPr>
          <w:b/>
        </w:rPr>
      </w:pPr>
      <w:r>
        <w:rPr>
          <w:b/>
        </w:rPr>
        <w:t>Плата оператору электронной площадки за участие в электронном аукционе</w:t>
      </w:r>
    </w:p>
    <w:p>
      <w:pPr>
        <w:pStyle w:val="Normal"/>
        <w:widowControl w:val="false"/>
        <w:ind w:firstLine="709" w:left="-567"/>
        <w:jc w:val="center"/>
        <w:rPr>
          <w:b/>
        </w:rPr>
      </w:pPr>
      <w:r>
        <w:rPr>
          <w:b/>
        </w:rPr>
      </w:r>
    </w:p>
    <w:p>
      <w:pPr>
        <w:pStyle w:val="Normal"/>
        <w:widowControl w:val="false"/>
        <w:ind w:firstLine="709" w:left="-567"/>
        <w:jc w:val="both"/>
        <w:rPr/>
      </w:pPr>
      <w:r>
        <w:rPr/>
        <w:t xml:space="preserve">В соответствии с постановлением Правительства Российской Федерации от 10 мая 2018 г. </w:t>
      </w:r>
      <w:r>
        <w:rPr/>
        <w:br w:type="textWrapping" w:clear="all"/>
      </w:r>
      <w:r>
        <w:rPr/>
        <w:t>№ 564 «О 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установления ее предельных размеров» оператор электронной площадки вправе взимать плату с победителя аукциона или иного лица, с которыми в соответствии с пунктами 13, 14, 20 и 25 статьи 39.12 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участка, в размере 1% начальной цены предмета аукциона, но не более 5 тыс. рублей без учета налога на добавленную стоимость.</w:t>
      </w:r>
    </w:p>
    <w:p>
      <w:pPr>
        <w:pStyle w:val="Normal"/>
        <w:widowControl w:val="false"/>
        <w:ind w:firstLine="709" w:left="-567"/>
        <w:jc w:val="both"/>
        <w:rPr/>
      </w:pPr>
      <w:r>
        <w:rPr/>
        <w:t>По информации оператора электронной площадки АО «Сбербанк-АСТ» в настоящее время взимание платы не установлено.</w:t>
      </w:r>
    </w:p>
    <w:p>
      <w:pPr>
        <w:pStyle w:val="Normal"/>
        <w:widowControl w:val="false"/>
        <w:ind w:firstLine="709" w:left="-567"/>
        <w:jc w:val="both"/>
        <w:rPr/>
      </w:pPr>
      <w:r>
        <w:rPr/>
      </w:r>
    </w:p>
    <w:p>
      <w:pPr>
        <w:pStyle w:val="Normal"/>
        <w:widowControl w:val="false"/>
        <w:spacing w:before="0" w:after="0"/>
        <w:ind w:left="502"/>
        <w:contextualSpacing/>
        <w:jc w:val="center"/>
        <w:rPr>
          <w:b/>
          <w:bCs/>
          <w:lang w:bidi="ru-RU"/>
        </w:rPr>
      </w:pPr>
      <w:r>
        <w:rPr>
          <w:b/>
          <w:bCs/>
          <w:lang w:bidi="ru-RU"/>
        </w:rPr>
        <w:t>Размер задатка для участия в аукционе, порядок его внесения и возврата, реквизиты счета для перечисления задатка</w:t>
      </w:r>
    </w:p>
    <w:p>
      <w:pPr>
        <w:pStyle w:val="Normal"/>
        <w:widowControl w:val="false"/>
        <w:spacing w:before="0" w:after="0"/>
        <w:ind w:left="502"/>
        <w:contextualSpacing/>
        <w:jc w:val="center"/>
        <w:rPr>
          <w:b/>
          <w:bCs/>
          <w:lang w:bidi="ru-RU"/>
        </w:rPr>
      </w:pPr>
      <w:r>
        <w:rPr>
          <w:b/>
          <w:bCs/>
          <w:lang w:bidi="ru-RU"/>
        </w:rPr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Cs/>
          <w:lang w:bidi="ru-RU"/>
        </w:rPr>
      </w:pPr>
      <w:r>
        <w:rPr>
          <w:bCs/>
          <w:lang w:bidi="ru-RU"/>
        </w:rPr>
        <w:t xml:space="preserve">Заявители, зарегистрированные на электронной площадке в установленном порядке, </w:t>
        <w:br/>
        <w:t xml:space="preserve">до подачи заявки на участие в аукционе (далее – заявка), осуществляют перечисление суммы задатка на участие в аукционе на банковские реквизиты Оператора, размещенные в открытой части торговой секции. 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Cs/>
          <w:lang w:bidi="ru-RU"/>
        </w:rPr>
      </w:pPr>
      <w:r>
        <w:rPr>
          <w:bCs/>
          <w:lang w:bidi="ru-RU"/>
        </w:rPr>
        <w:t xml:space="preserve">В момент подачи заявки Оператор проверяет наличие денежной суммы в размере задатка </w:t>
      </w:r>
      <w:r>
        <w:rPr>
          <w:bCs/>
          <w:lang w:bidi="ru-RU"/>
        </w:rPr>
        <w:br w:type="textWrapping" w:clear="all"/>
      </w:r>
      <w:r>
        <w:rPr>
          <w:bCs/>
          <w:lang w:bidi="ru-RU"/>
        </w:rPr>
        <w:t>на лицевом счете заявителя и осуществляет блокирование необходимой денежной суммы.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Cs/>
          <w:lang w:bidi="ru-RU"/>
        </w:rPr>
      </w:pPr>
      <w:r>
        <w:rPr>
          <w:bCs/>
          <w:lang w:bidi="ru-RU"/>
        </w:rPr>
        <w:t>Представление документов, подтверждающих внесение задатка, признается заключением соглашения о задатке (п.2 ст. 39.12 Земельного кодекса Российской Федерации).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Cs/>
          <w:lang w:bidi="ru-RU"/>
        </w:rPr>
      </w:pPr>
      <w:r>
        <w:rPr>
          <w:bCs/>
          <w:lang w:bidi="ru-RU"/>
        </w:rPr>
        <w:t>Сумма задатка для участия в аукционе определяется в размере 50 процентов начальной цены предмета аукциона. Размер задатка в извещении о проведении аукциона указан по каждому лоту.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b/>
          <w:bCs/>
          <w:lang w:bidi="ru-RU"/>
        </w:rPr>
      </w:pPr>
      <w:r>
        <w:rPr>
          <w:bCs/>
          <w:lang w:bidi="ru-RU"/>
        </w:rPr>
        <w:t xml:space="preserve">Перечисление задатка для участия в аукционе и возврат задатка осуществляются с учетом особенностей, установленных регламентом электронной площадки. </w:t>
      </w:r>
    </w:p>
    <w:p>
      <w:pPr>
        <w:pStyle w:val="Normal"/>
        <w:widowControl w:val="false"/>
        <w:ind w:firstLine="567" w:left="-567"/>
        <w:jc w:val="both"/>
        <w:rPr>
          <w:rFonts w:eastAsia="Calibri"/>
          <w:bCs/>
          <w:lang w:eastAsia="en-US"/>
        </w:rPr>
      </w:pPr>
      <w:r>
        <w:rPr>
          <w:b/>
          <w:bCs/>
          <w:lang w:bidi="ru-RU"/>
        </w:rPr>
        <w:t>Задаток перечисляется на реквизиты Оператора электронной площадки (</w:t>
      </w:r>
      <w:hyperlink r:id="rId14" w:tgtFrame="http://utp.sberbank-ast.ru/AP/Notice/653/Requisites">
        <w:r>
          <w:rPr>
            <w:rStyle w:val="Hyperlink"/>
            <w:b/>
            <w:bCs/>
            <w:lang w:bidi="ru-RU"/>
          </w:rPr>
          <w:t>http://utp.sberbank-ast.ru/AP/Notice/653/Requisites</w:t>
        </w:r>
      </w:hyperlink>
      <w:r>
        <w:rPr>
          <w:b/>
          <w:bCs/>
          <w:lang w:bidi="ru-RU"/>
        </w:rPr>
        <w:t>).</w:t>
      </w:r>
    </w:p>
    <w:p>
      <w:pPr>
        <w:pStyle w:val="Normal"/>
        <w:spacing w:lineRule="exact" w:line="24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Получатель: АО «Сбербанк-АСТ»</w:t>
      </w:r>
    </w:p>
    <w:p>
      <w:pPr>
        <w:pStyle w:val="Normal"/>
        <w:spacing w:lineRule="exact" w:line="24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ИНН: 7707308480, КПП: 770401001, </w:t>
      </w:r>
    </w:p>
    <w:p>
      <w:pPr>
        <w:pStyle w:val="Normal"/>
        <w:spacing w:lineRule="exact" w:line="240"/>
        <w:rPr/>
      </w:pPr>
      <w:r>
        <w:rPr>
          <w:rFonts w:eastAsia="Calibri"/>
          <w:bCs/>
          <w:lang w:eastAsia="en-US"/>
        </w:rPr>
        <w:t>Банк получателя: ПАО «СБЕРБАНК РОССИИ» Г. МОСКВА</w:t>
      </w:r>
    </w:p>
    <w:p>
      <w:pPr>
        <w:pStyle w:val="Normal"/>
        <w:spacing w:lineRule="exact" w:line="240"/>
        <w:rPr>
          <w:rFonts w:eastAsia="Calibri"/>
          <w:bCs/>
          <w:lang w:eastAsia="en-US"/>
        </w:rPr>
      </w:pPr>
      <w:r>
        <w:rPr/>
        <w:t xml:space="preserve">Расчетный счет: </w:t>
      </w:r>
      <w:r>
        <w:rPr>
          <w:rFonts w:eastAsia="Calibri"/>
          <w:bCs/>
          <w:lang w:eastAsia="en-US"/>
        </w:rPr>
        <w:t>40702810300020038047</w:t>
      </w:r>
    </w:p>
    <w:p>
      <w:pPr>
        <w:pStyle w:val="Normal"/>
        <w:spacing w:lineRule="exact" w:line="240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БИК: 044525225</w:t>
      </w:r>
    </w:p>
    <w:p>
      <w:pPr>
        <w:pStyle w:val="Normal"/>
        <w:spacing w:lineRule="exact" w:line="240"/>
        <w:rPr>
          <w:bCs/>
          <w:lang w:bidi="ru-RU"/>
        </w:rPr>
      </w:pPr>
      <w:r>
        <w:rPr>
          <w:rFonts w:eastAsia="Calibri"/>
          <w:bCs/>
          <w:lang w:eastAsia="en-US"/>
        </w:rPr>
        <w:t>Корреспондентский счет: 30101810400000000225</w:t>
      </w:r>
    </w:p>
    <w:p>
      <w:pPr>
        <w:pStyle w:val="Normal"/>
        <w:widowControl w:val="false"/>
        <w:ind w:firstLine="567" w:left="-567"/>
        <w:jc w:val="both"/>
        <w:rPr>
          <w:b/>
        </w:rPr>
      </w:pPr>
      <w:r>
        <w:rPr>
          <w:bCs/>
          <w:lang w:bidi="ru-RU"/>
        </w:rPr>
        <w:t>В платёжном поручении в части «Назначение платежа» необходимо указать: Задаток по лоту  № ___, ИНН плательщика. НДС не облагается.</w:t>
      </w:r>
    </w:p>
    <w:p>
      <w:pPr>
        <w:pStyle w:val="Normal"/>
        <w:widowControl w:val="false"/>
        <w:ind w:firstLine="567" w:left="-567"/>
        <w:jc w:val="both"/>
        <w:rPr>
          <w:bCs/>
          <w:lang w:bidi="ru-RU"/>
        </w:rPr>
      </w:pPr>
      <w:r>
        <w:rPr>
          <w:b/>
        </w:rPr>
        <w:t xml:space="preserve">Срок внесения задатка, т.е. поступления суммы задатка на счет </w:t>
      </w:r>
      <w:r>
        <w:rPr>
          <w:rFonts w:eastAsia="Calibri"/>
          <w:b/>
        </w:rPr>
        <w:t>Оператора</w:t>
      </w:r>
      <w:r>
        <w:rPr>
          <w:b/>
        </w:rPr>
        <w:t xml:space="preserve">: </w:t>
      </w:r>
      <w:r>
        <w:rPr>
          <w:b/>
        </w:rPr>
        <w:br w:type="textWrapping" w:clear="all"/>
      </w:r>
      <w:r>
        <w:rPr>
          <w:bCs/>
          <w:lang w:bidi="ru-RU"/>
        </w:rPr>
        <w:t>c 08.02.2025 по 11.03.2025.</w:t>
      </w:r>
    </w:p>
    <w:p>
      <w:pPr>
        <w:pStyle w:val="Normal"/>
        <w:widowControl w:val="false"/>
        <w:ind w:hanging="0" w:left="-567"/>
        <w:jc w:val="both"/>
        <w:rPr>
          <w:bCs/>
          <w:lang w:bidi="ru-RU"/>
        </w:rPr>
      </w:pPr>
      <w:r>
        <w:rPr>
          <w:bCs/>
          <w:lang w:bidi="ru-RU"/>
        </w:rPr>
      </w:r>
    </w:p>
    <w:p>
      <w:pPr>
        <w:pStyle w:val="Normal"/>
        <w:widowControl w:val="false"/>
        <w:ind w:firstLine="709" w:left="-567"/>
        <w:jc w:val="center"/>
        <w:rPr>
          <w:b/>
          <w:lang w:bidi="ru-RU"/>
        </w:rPr>
      </w:pPr>
      <w:r>
        <w:rPr>
          <w:b/>
          <w:lang w:bidi="ru-RU"/>
        </w:rPr>
        <w:t>Порядок возврата задатка:</w:t>
      </w:r>
    </w:p>
    <w:p>
      <w:pPr>
        <w:pStyle w:val="Normal"/>
        <w:widowControl w:val="false"/>
        <w:ind w:firstLine="709" w:left="-567"/>
        <w:jc w:val="both"/>
        <w:rPr>
          <w:b/>
          <w:lang w:bidi="ru-RU"/>
        </w:rPr>
      </w:pPr>
      <w:r>
        <w:rPr>
          <w:b/>
          <w:lang w:bidi="ru-RU"/>
        </w:rPr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lang w:bidi="ru-RU"/>
        </w:rPr>
      </w:pPr>
      <w:r>
        <w:rPr>
          <w:bCs/>
          <w:lang w:bidi="ru-RU"/>
        </w:rPr>
        <w:t>Задаток возвращается лицам, участвовавшим в аукционе, но не победившим в нем, в течение трех рабочих дней со дня подписания протокола о результатах аукциона.</w:t>
      </w:r>
    </w:p>
    <w:p>
      <w:pPr>
        <w:pStyle w:val="Normal"/>
        <w:widowControl w:val="false"/>
        <w:spacing w:before="0" w:after="0"/>
        <w:ind w:firstLine="567" w:left="-567"/>
        <w:contextualSpacing/>
        <w:jc w:val="both"/>
        <w:rPr>
          <w:lang w:bidi="ru-RU"/>
        </w:rPr>
      </w:pPr>
      <w:r>
        <w:rPr>
          <w:lang w:bidi="ru-RU"/>
        </w:rPr>
        <w:t xml:space="preserve">Заявителю, не допущенному к участию в аукционе, внесенный им задаток возвращается </w:t>
      </w:r>
      <w:r>
        <w:rPr>
          <w:lang w:bidi="ru-RU"/>
        </w:rPr>
        <w:br w:type="textWrapping" w:clear="all"/>
      </w:r>
      <w:r>
        <w:rPr>
          <w:lang w:bidi="ru-RU"/>
        </w:rPr>
        <w:t xml:space="preserve">в течение трех рабочих дней со дня оформления протокола приема заявок на участие в аукционе. </w:t>
      </w:r>
    </w:p>
    <w:p>
      <w:pPr>
        <w:pStyle w:val="Normal"/>
        <w:widowControl w:val="false"/>
        <w:ind w:firstLine="567" w:left="-567"/>
        <w:jc w:val="both"/>
        <w:rPr>
          <w:lang w:bidi="ru-RU"/>
        </w:rPr>
      </w:pPr>
      <w:r>
        <w:rPr>
          <w:lang w:bidi="ru-RU"/>
        </w:rPr>
        <w:t xml:space="preserve">Оператор прекращает блокирование в отношении денежных средств участников аукциона, заблокированных в размере задатков на их лицевых счетах на электронной площадке после публикации протокола о результатах аукциона, за исключением единственного заявителя, признанного участником аукциона, победителя аукциона или единственного принявшего участие </w:t>
        <w:br/>
        <w:t>в аукционе участника.</w:t>
      </w:r>
    </w:p>
    <w:p>
      <w:pPr>
        <w:pStyle w:val="Normal"/>
        <w:widowControl w:val="false"/>
        <w:ind w:firstLine="567" w:left="-567"/>
        <w:jc w:val="both"/>
        <w:rPr>
          <w:lang w:bidi="ru-RU"/>
        </w:rPr>
      </w:pPr>
      <w:r>
        <w:rPr>
          <w:lang w:bidi="ru-RU"/>
        </w:rPr>
        <w:t>Организатор аукциона посредством штатного интерфейса торговой секции в установленные сроки формирует поручение Оператору:</w:t>
      </w:r>
    </w:p>
    <w:p>
      <w:pPr>
        <w:pStyle w:val="Normal"/>
        <w:widowControl w:val="false"/>
        <w:ind w:firstLine="567" w:left="-567"/>
        <w:jc w:val="both"/>
        <w:rPr>
          <w:bCs/>
          <w:lang w:bidi="ru-RU"/>
        </w:rPr>
      </w:pPr>
      <w:r>
        <w:rPr>
          <w:lang w:bidi="ru-RU"/>
        </w:rPr>
        <w:t>- о перечислении задатка единственного заявителя, признанного участником аукциона, победителя аукциона или единственного принявшего участие в аукционе участника после формирования протокола о результатах аукциона на указанные в поручении банковские реквизиты;</w:t>
      </w:r>
    </w:p>
    <w:p>
      <w:pPr>
        <w:pStyle w:val="Normal"/>
        <w:widowControl w:val="false"/>
        <w:ind w:firstLine="567" w:left="-567"/>
        <w:jc w:val="both"/>
        <w:rPr>
          <w:bCs/>
          <w:lang w:bidi="ru-RU"/>
        </w:rPr>
      </w:pPr>
      <w:r>
        <w:rPr>
          <w:bCs/>
          <w:lang w:bidi="ru-RU"/>
        </w:rPr>
        <w:t xml:space="preserve">Задаток, внесенный лицом, признанным победителем аукциона, задаток, внесенный иным лицом, с которым договор купли-продажи или договор аренды земельного участка заключается </w:t>
        <w:br/>
        <w:t xml:space="preserve">в соответствии с пунктами 13, 14, 20 ст. 39.12 Земельного Кодекса Российской Федерации, засчитываются в оплату приобретаемого земельного участка или в счет арендной платы за него. Задатки, внесенные этими лицами, не заключившими в установленном настоящей статьей порядке договора купли-продажи или договора аренды земельного участка вследствие уклонения </w:t>
        <w:br/>
        <w:t xml:space="preserve">от заключения указанных договоров, не возвращаются. </w:t>
      </w:r>
    </w:p>
    <w:p>
      <w:pPr>
        <w:pStyle w:val="Normal"/>
        <w:widowControl w:val="false"/>
        <w:spacing w:lineRule="auto" w:line="276"/>
        <w:jc w:val="both"/>
        <w:rPr>
          <w:bCs/>
          <w:lang w:bidi="ru-RU"/>
        </w:rPr>
      </w:pPr>
      <w:r>
        <w:rPr>
          <w:bCs/>
          <w:lang w:bidi="ru-RU"/>
        </w:rPr>
      </w:r>
    </w:p>
    <w:p>
      <w:pPr>
        <w:pStyle w:val="Normal"/>
        <w:widowControl w:val="false"/>
        <w:jc w:val="center"/>
        <w:rPr>
          <w:rFonts w:eastAsia="Courier New"/>
          <w:lang w:bidi="ru-RU"/>
        </w:rPr>
      </w:pPr>
      <w:r>
        <w:rPr>
          <w:b/>
        </w:rPr>
        <w:t>Организатор аукциона вправе: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lang w:bidi="ru-RU"/>
        </w:rPr>
      </w:pPr>
      <w:r>
        <w:rPr>
          <w:rFonts w:eastAsia="Courier New"/>
          <w:lang w:bidi="ru-RU"/>
        </w:rPr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В соответствии с п. 4 ст. 448 Гражданского кодекса Российской Федерации отказаться </w:t>
      </w:r>
      <w:r>
        <w:rPr/>
        <w:br w:type="textWrapping" w:clear="all"/>
      </w:r>
      <w:r>
        <w:rPr/>
        <w:t xml:space="preserve">от проведения аукциона в любое время, но не позднее чем за три дня до наступления даты </w:t>
      </w:r>
      <w:r>
        <w:rPr/>
        <w:br w:type="textWrapping" w:clear="all"/>
      </w:r>
      <w:r>
        <w:rPr/>
        <w:t xml:space="preserve">его проведения, указанной в извещении о проведении аукциона. 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Принять решение об отказе в проведении аукциона в случае выявления обстоятельств, предусмотренных п. 8 ст. 39.11 Земельного Кодекса Российской Федерации. Извещение об отказе </w:t>
        <w:br/>
        <w:t xml:space="preserve">в проведении аукциона размещается на официальном сайте организатором аукциона </w:t>
        <w:br/>
        <w:t>и на электронной площадке в течение трех дней со дня принятия данного решения.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>В течение трех дней со дня принятия решения об отказе в проведении аукциона участники аукциона извещаются об отказе в проведении аукциона, внесенные задатки возвращаются его участникам.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В случае отмены аукциона организатором аукциона (в т. ч. одного или нескольких лотов) </w:t>
      </w:r>
      <w:r>
        <w:rPr/>
        <w:br w:type="textWrapping" w:clear="all"/>
      </w:r>
      <w:r>
        <w:rPr/>
        <w:t>Оператор в течение одного часа прекращает блокирование денежных средств участников аукциона в размере задатка на их лицевых счетах на электронной площадке.</w:t>
      </w:r>
    </w:p>
    <w:p>
      <w:pPr>
        <w:pStyle w:val="Normal"/>
        <w:widowControl w:val="false"/>
        <w:jc w:val="both"/>
        <w:rPr/>
      </w:pPr>
      <w:r>
        <w:rPr/>
      </w:r>
    </w:p>
    <w:p>
      <w:pPr>
        <w:pStyle w:val="Normal"/>
        <w:widowControl w:val="false"/>
        <w:ind w:left="502"/>
        <w:jc w:val="center"/>
        <w:rPr>
          <w:rFonts w:eastAsia="Courier New"/>
          <w:b/>
          <w:bCs/>
          <w:lang w:bidi="ru-RU"/>
        </w:rPr>
      </w:pPr>
      <w:r>
        <w:rPr>
          <w:rFonts w:eastAsia="Courier New"/>
          <w:b/>
          <w:lang w:bidi="ru-RU"/>
        </w:rPr>
        <w:t>Порядок регистрации на электронной площадке</w:t>
      </w:r>
    </w:p>
    <w:p>
      <w:pPr>
        <w:pStyle w:val="Normal"/>
        <w:widowControl w:val="false"/>
        <w:ind w:firstLine="709" w:left="-567"/>
        <w:jc w:val="both"/>
        <w:rPr>
          <w:rFonts w:eastAsia="Courier New"/>
          <w:b/>
          <w:bCs/>
          <w:lang w:bidi="ru-RU"/>
        </w:rPr>
      </w:pPr>
      <w:r>
        <w:rPr>
          <w:rFonts w:eastAsia="Courier New"/>
          <w:b/>
          <w:bCs/>
          <w:lang w:bidi="ru-RU"/>
        </w:rPr>
      </w:r>
    </w:p>
    <w:p>
      <w:pPr>
        <w:pStyle w:val="Normal"/>
        <w:widowControl w:val="false"/>
        <w:ind w:firstLine="567" w:left="-567"/>
        <w:jc w:val="both"/>
        <w:rPr>
          <w:bCs/>
          <w:lang w:bidi="ru-RU"/>
        </w:rPr>
      </w:pPr>
      <w:r>
        <w:rPr>
          <w:bCs/>
          <w:lang w:bidi="ru-RU"/>
        </w:rPr>
        <w:t>Для обеспечения доступа к участию в аукционе заявителю необходимо пройти процедуру регистрации на электронной площадке. Регистрации на электронной площадке подлежат лица, ранее не зарегистрированные на электронной площадке.</w:t>
      </w:r>
    </w:p>
    <w:p>
      <w:pPr>
        <w:pStyle w:val="Normal"/>
        <w:widowControl w:val="false"/>
        <w:ind w:firstLine="567" w:left="-567"/>
        <w:jc w:val="both"/>
        <w:rPr>
          <w:bCs/>
          <w:lang w:bidi="ru-RU"/>
        </w:rPr>
      </w:pPr>
      <w:r>
        <w:rPr>
          <w:bCs/>
          <w:lang w:bidi="ru-RU"/>
        </w:rPr>
        <w:t>Регистрация на электронной площадке проводится в соответствии с регламентом электронной площадки.</w:t>
      </w:r>
    </w:p>
    <w:p>
      <w:pPr>
        <w:pStyle w:val="Normal"/>
        <w:widowControl w:val="false"/>
        <w:ind w:firstLine="567" w:left="-567"/>
        <w:jc w:val="both"/>
        <w:rPr>
          <w:b/>
          <w:color w:val="000000"/>
        </w:rPr>
      </w:pPr>
      <w:r>
        <w:rPr>
          <w:bCs/>
          <w:lang w:bidi="ru-RU"/>
        </w:rPr>
        <w:t xml:space="preserve">Дата и время регистрации участников аукциона на участие в аукционе на электронной площадке на сайте в сети Интернет: c 08.02.2025 по 11.03.2025 с 9.00 до 18.00 по местному времени (7:00 – 16:00 МСК). </w:t>
      </w:r>
    </w:p>
    <w:p>
      <w:pPr>
        <w:pStyle w:val="NormalWeb"/>
        <w:jc w:val="center"/>
        <w:rPr>
          <w:bCs/>
          <w:lang w:bidi="ru-RU"/>
        </w:rPr>
      </w:pPr>
      <w:r>
        <w:rPr>
          <w:b/>
          <w:color w:val="000000"/>
        </w:rPr>
        <w:t>Разъяснение положений извещения о проведении аукциона</w:t>
      </w:r>
    </w:p>
    <w:p>
      <w:pPr>
        <w:pStyle w:val="ListParagraph"/>
        <w:widowControl w:val="false"/>
        <w:ind w:firstLine="567" w:left="-567"/>
        <w:jc w:val="both"/>
        <w:rPr>
          <w:bCs/>
          <w:lang w:bidi="ru-RU"/>
        </w:rPr>
      </w:pPr>
      <w:r>
        <w:rPr>
          <w:bCs/>
          <w:lang w:bidi="ru-RU"/>
        </w:rPr>
        <w:t xml:space="preserve">На этапе приема заявок любое заинтересованное лицо вправе не позднее 10 календарных дней до окончания срока подачи заявок направить Организатору аукциона запрос о разъяснениях положений извещения о проведении аукциона посредством функционала электронной площадки. Запросы о разъяснении положений извещения, полученные после вышеуказанного срока, </w:t>
        <w:br/>
        <w:t>не рассматриваются.</w:t>
      </w:r>
    </w:p>
    <w:p>
      <w:pPr>
        <w:pStyle w:val="ListParagraph"/>
        <w:widowControl w:val="false"/>
        <w:ind w:firstLine="567" w:left="-567"/>
        <w:jc w:val="both"/>
        <w:rPr>
          <w:bCs/>
          <w:lang w:bidi="ru-RU"/>
        </w:rPr>
      </w:pPr>
      <w:r>
        <w:rPr>
          <w:bCs/>
          <w:lang w:bidi="ru-RU"/>
        </w:rPr>
        <w:t xml:space="preserve">Ответ на запрос о разъяснении положений извещения должен быть подготовлен в течение трех рабочих дней со дня поступления указанного запроса.  </w:t>
      </w:r>
    </w:p>
    <w:p>
      <w:pPr>
        <w:pStyle w:val="Normal"/>
        <w:widowControl w:val="false"/>
        <w:spacing w:lineRule="auto" w:line="276"/>
        <w:ind w:firstLine="709" w:left="-567"/>
        <w:jc w:val="both"/>
        <w:rPr>
          <w:bCs/>
          <w:lang w:bidi="ru-RU"/>
        </w:rPr>
      </w:pPr>
      <w:r>
        <w:rPr>
          <w:bCs/>
          <w:lang w:bidi="ru-RU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hanging="0" w:left="0"/>
        <w:jc w:val="center"/>
        <w:outlineLvl w:val="0"/>
        <w:rPr>
          <w:b/>
          <w:bCs/>
        </w:rPr>
      </w:pPr>
      <w:r>
        <w:rPr>
          <w:b/>
          <w:bCs/>
        </w:rPr>
        <w:t>Требования к содержанию и составу заявки на участие в аукционе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hanging="0" w:left="0"/>
        <w:jc w:val="center"/>
        <w:outlineLvl w:val="0"/>
        <w:rPr>
          <w:b/>
          <w:bCs/>
        </w:rPr>
      </w:pPr>
      <w:r>
        <w:rPr>
          <w:b/>
          <w:bCs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rFonts w:eastAsia="Courier New"/>
          <w:lang w:bidi="ru-RU"/>
        </w:rPr>
      </w:pPr>
      <w:r>
        <w:rPr/>
        <w:t xml:space="preserve">Заявка (Приложение 1 к настоящему извещению) и прилагаемые документы подаются заявителем в отношении каждого заявляемого лота по форме и в сроки, установленные извещением </w:t>
      </w:r>
      <w:r>
        <w:rPr/>
        <w:br w:type="textWrapping" w:clear="all"/>
      </w:r>
      <w:r>
        <w:rPr/>
        <w:t>о проведении аукциона.</w:t>
      </w:r>
    </w:p>
    <w:p>
      <w:pPr>
        <w:pStyle w:val="Normal"/>
        <w:widowControl w:val="false"/>
        <w:ind w:firstLine="567" w:left="-567"/>
        <w:jc w:val="both"/>
        <w:rPr>
          <w:rFonts w:eastAsia="Calibri"/>
        </w:rPr>
      </w:pPr>
      <w:r>
        <w:rPr>
          <w:rFonts w:eastAsia="Courier New"/>
          <w:lang w:bidi="ru-RU"/>
        </w:rPr>
        <w:t xml:space="preserve">Для участия в аукционе заявители представляют в установленный в извещении </w:t>
      </w:r>
      <w:r>
        <w:rPr>
          <w:rFonts w:eastAsia="Courier New"/>
          <w:lang w:bidi="ru-RU"/>
        </w:rPr>
        <w:br w:type="textWrapping" w:clear="all"/>
      </w:r>
      <w:r>
        <w:rPr>
          <w:rFonts w:eastAsia="Courier New"/>
          <w:lang w:bidi="ru-RU"/>
        </w:rPr>
        <w:t>о проведении аукциона срок следующие документы: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1) 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>
      <w:pPr>
        <w:pStyle w:val="Normal"/>
        <w:jc w:val="both"/>
        <w:rPr>
          <w:rFonts w:eastAsia="Calibri"/>
        </w:rPr>
      </w:pPr>
      <w:r>
        <w:rPr>
          <w:rFonts w:eastAsia="Calibri"/>
        </w:rPr>
        <w:t>2) копии документов, удостоверяющих личность заявителя (для граждан), всех страниц;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3) надлежащим образом заверенный перевод на русский язык документов </w:t>
      </w:r>
      <w:r>
        <w:rPr>
          <w:rFonts w:eastAsia="Calibri"/>
        </w:rPr>
        <w:br w:type="textWrapping" w:clear="all"/>
      </w:r>
      <w:r>
        <w:rPr>
          <w:rFonts w:eastAsia="Calibri"/>
        </w:rPr>
        <w:t>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>
      <w:pPr>
        <w:pStyle w:val="Normal"/>
        <w:jc w:val="both"/>
        <w:rPr>
          <w:rFonts w:eastAsia="Calibri"/>
        </w:rPr>
      </w:pPr>
      <w:r>
        <w:rPr>
          <w:rFonts w:eastAsia="Calibri"/>
        </w:rPr>
        <w:t>4) документы, подтверждающие внесение задатка.</w:t>
      </w:r>
    </w:p>
    <w:p>
      <w:pPr>
        <w:pStyle w:val="Normal"/>
        <w:jc w:val="both"/>
        <w:rPr>
          <w:rFonts w:eastAsia="Calibri"/>
        </w:rPr>
      </w:pPr>
      <w:r>
        <w:rPr>
          <w:rFonts w:eastAsia="Calibri"/>
        </w:rPr>
      </w:r>
    </w:p>
    <w:p>
      <w:pPr>
        <w:pStyle w:val="Normal"/>
        <w:ind w:firstLine="708"/>
        <w:jc w:val="center"/>
        <w:rPr>
          <w:b/>
        </w:rPr>
      </w:pPr>
      <w:r>
        <w:rPr>
          <w:b/>
        </w:rPr>
        <w:t>Инструкция по заполнению и подаче заявки, порядок приема заявки</w:t>
      </w:r>
    </w:p>
    <w:p>
      <w:pPr>
        <w:pStyle w:val="Normal"/>
        <w:ind w:firstLine="708"/>
        <w:jc w:val="center"/>
        <w:rPr>
          <w:b/>
        </w:rPr>
      </w:pPr>
      <w:r>
        <w:rPr>
          <w:b/>
        </w:rPr>
      </w:r>
    </w:p>
    <w:p>
      <w:pPr>
        <w:pStyle w:val="Normal"/>
        <w:ind w:firstLine="567" w:left="-567"/>
        <w:jc w:val="both"/>
        <w:rPr/>
      </w:pPr>
      <w:r>
        <w:rPr/>
        <w:t>Заявка на участие в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указанных в подпунктах 2 - 4 пункта 1, пункте 1.1 статьи 39.12 Земельного Кодекса Российской Федерации. Заявка на участие в аукционе, а также прилагаемые к ней документы подписываются усиленной квалифицированной электронной подписью заявителя.</w:t>
      </w:r>
    </w:p>
    <w:p>
      <w:pPr>
        <w:pStyle w:val="Normal"/>
        <w:ind w:firstLine="567" w:left="-567"/>
        <w:jc w:val="both"/>
        <w:rPr/>
      </w:pPr>
      <w:r>
        <w:rPr/>
        <w:t>Заполнение заявки осуществляется в соответствии с порядком, определенным регламентом электронной площадки АО «Сбербанк-АСТ».</w:t>
      </w:r>
    </w:p>
    <w:p>
      <w:pPr>
        <w:pStyle w:val="Normal"/>
        <w:ind w:firstLine="567" w:left="-567"/>
        <w:jc w:val="both"/>
        <w:rPr/>
      </w:pPr>
      <w:r>
        <w:rPr/>
        <w:t xml:space="preserve">Подача заявки осуществляется заявителем, зарегистрированным в торговой секции, </w:t>
      </w:r>
      <w:r>
        <w:rPr/>
        <w:br w:type="textWrapping" w:clear="all"/>
      </w:r>
      <w:r>
        <w:rPr/>
        <w:t>из личного кабинета посредством штатного интерфейса торговой секции отдельно по каждому лоту в сроки, установленные в извещении о проведении аукциона.</w:t>
      </w:r>
    </w:p>
    <w:p>
      <w:pPr>
        <w:pStyle w:val="Normal"/>
        <w:ind w:firstLine="567" w:left="-567"/>
        <w:jc w:val="both"/>
        <w:rPr/>
      </w:pPr>
      <w:r>
        <w:rPr/>
        <w:t xml:space="preserve">Заявитель вправе подать заявку в любое время с момента размещения извещения </w:t>
      </w:r>
      <w:r>
        <w:rPr/>
        <w:br w:type="textWrapping" w:clear="all"/>
      </w:r>
      <w:r>
        <w:rPr/>
        <w:t>о проведении аукциона до предусмотренных указанным извещением даты и времени окончания срока подачи заявок.</w:t>
      </w:r>
    </w:p>
    <w:p>
      <w:pPr>
        <w:pStyle w:val="Normal"/>
        <w:ind w:firstLine="567" w:left="-567"/>
        <w:jc w:val="both"/>
        <w:rPr/>
      </w:pPr>
      <w:r>
        <w:rPr/>
        <w:t>Один заявитель вправе подать только одну заявку на участие в аукционе в отношении каждого лота.</w:t>
      </w:r>
    </w:p>
    <w:p>
      <w:pPr>
        <w:pStyle w:val="Normal"/>
        <w:ind w:firstLine="567" w:left="-567"/>
        <w:jc w:val="both"/>
        <w:rPr/>
      </w:pPr>
      <w:r>
        <w:rPr/>
        <w:t>Заявка на участие в аукционе, поступившая по истечении срока приема заявок, возвращается заявителю в день ее поступления.</w:t>
      </w:r>
    </w:p>
    <w:p>
      <w:pPr>
        <w:pStyle w:val="Normal"/>
        <w:ind w:firstLine="567" w:left="-567"/>
        <w:jc w:val="both"/>
        <w:rPr/>
      </w:pPr>
      <w:r>
        <w:rPr/>
        <w:t xml:space="preserve">Участие в аукционе возможно при наличии на лицевом счете заявителя денежных средств </w:t>
      </w:r>
      <w:r>
        <w:rPr/>
        <w:br w:type="textWrapping" w:clear="all"/>
      </w:r>
      <w:r>
        <w:rPr/>
        <w:t xml:space="preserve">в размере не менее чем размер задатка на участие в аукционе, предусмотренный извещением </w:t>
      </w:r>
      <w:r>
        <w:rPr/>
        <w:br w:type="textWrapping" w:clear="all"/>
      </w:r>
      <w:r>
        <w:rPr/>
        <w:t>о проведении аукциона.</w:t>
      </w:r>
    </w:p>
    <w:p>
      <w:pPr>
        <w:pStyle w:val="Normal"/>
        <w:ind w:firstLine="567" w:left="-567"/>
        <w:jc w:val="both"/>
        <w:rPr/>
      </w:pPr>
      <w:r>
        <w:rPr/>
        <w:t>Все документы, входящие в состав заявки, должны иметь четко читаемый текст.</w:t>
      </w:r>
    </w:p>
    <w:p>
      <w:pPr>
        <w:pStyle w:val="Normal"/>
        <w:ind w:firstLine="567" w:left="-567"/>
        <w:jc w:val="both"/>
        <w:rPr>
          <w:bCs/>
        </w:rPr>
      </w:pPr>
      <w:r>
        <w:rPr/>
        <w:t>Заявка предоставляется организатору аукциона через Оператора.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hanging="0" w:left="0"/>
        <w:jc w:val="both"/>
        <w:outlineLvl w:val="0"/>
        <w:rPr>
          <w:bCs/>
        </w:rPr>
      </w:pPr>
      <w:r>
        <w:rPr>
          <w:bCs/>
        </w:rPr>
        <w:t>Заявка не может быть принята Оператором в случае: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 xml:space="preserve">а) отсутствия на лицевом счете заявителя достаточной суммы денежных средств </w:t>
      </w:r>
      <w:r>
        <w:rPr>
          <w:bCs/>
        </w:rPr>
        <w:br w:type="textWrapping" w:clear="all"/>
      </w:r>
      <w:r>
        <w:rPr>
          <w:bCs/>
        </w:rPr>
        <w:t>в размере задатка;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>б) подачи заявителем второй заявки на участие в отношении одного и того же лота при условии, что поданная ранее заявка таким заявителем не отозвана;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hanging="0" w:left="0"/>
        <w:jc w:val="both"/>
        <w:outlineLvl w:val="0"/>
        <w:rPr>
          <w:bCs/>
        </w:rPr>
      </w:pPr>
      <w:r>
        <w:rPr>
          <w:bCs/>
        </w:rPr>
        <w:t>в) подачи заявки по истечении установленного срока подачи заявок;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>г) некорректного заполнения формы заявки, в том числе незаполнения полей, являющихся обязательными для заполнения.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284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 xml:space="preserve">Протокол рассмотрения заявок на участие в аукционе подписывается не позднее чем </w:t>
      </w:r>
      <w:r>
        <w:rPr>
          <w:bCs/>
        </w:rPr>
        <w:br w:type="textWrapping" w:clear="all"/>
      </w:r>
      <w:r>
        <w:rPr>
          <w:bCs/>
        </w:rPr>
        <w:t>в течение одного дня со дня их рассмотрения усиленной квалифицированной электронной подписью лица, уполномоченного действовать от имени организатора аукциона, и размещается на электронной площадке не позднее чем на следующий рабочий день после дня подписания протокола.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284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 xml:space="preserve">Заявителям, признанным участниками аукциона, и заявителям, не допущенным к участию </w:t>
        <w:br/>
        <w:t xml:space="preserve">в аукционе, оператор электронной площадки направляет в электронной форме уведомления </w:t>
        <w:br/>
        <w:t xml:space="preserve">о принятых в отношении их решениях не позднее дня, следующего после дня подписания протокола рассмотрения заявок на участие в аукционе. 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284" w:leader="none"/>
        </w:tabs>
        <w:spacing w:lineRule="auto" w:line="276"/>
        <w:ind w:firstLine="567" w:left="-567"/>
        <w:jc w:val="both"/>
        <w:outlineLvl w:val="0"/>
        <w:rPr>
          <w:bCs/>
        </w:rPr>
      </w:pPr>
      <w:r>
        <w:rPr>
          <w:bCs/>
        </w:rPr>
      </w:r>
    </w:p>
    <w:p>
      <w:pPr>
        <w:pStyle w:val="Normal"/>
        <w:widowControl w:val="false"/>
        <w:ind w:left="502"/>
        <w:jc w:val="center"/>
        <w:rPr>
          <w:b/>
          <w:bCs/>
          <w:lang w:bidi="ru-RU"/>
        </w:rPr>
      </w:pPr>
      <w:r>
        <w:rPr>
          <w:b/>
          <w:bCs/>
          <w:lang w:bidi="ru-RU"/>
        </w:rPr>
        <w:t>Порядок и срок изменения, отзыва заявки на участие в аукционе</w:t>
      </w:r>
    </w:p>
    <w:p>
      <w:pPr>
        <w:pStyle w:val="Normal"/>
        <w:widowControl w:val="false"/>
        <w:ind w:left="502"/>
        <w:rPr>
          <w:b/>
          <w:bCs/>
          <w:lang w:bidi="ru-RU"/>
        </w:rPr>
      </w:pPr>
      <w:r>
        <w:rPr>
          <w:b/>
          <w:bCs/>
          <w:lang w:bidi="ru-RU"/>
        </w:rPr>
      </w:r>
    </w:p>
    <w:p>
      <w:pPr>
        <w:pStyle w:val="Normal"/>
        <w:widowControl w:val="false"/>
        <w:ind w:firstLine="567" w:left="-567"/>
        <w:jc w:val="both"/>
        <w:rPr>
          <w:rFonts w:eastAsia="Courier New"/>
          <w:lang w:bidi="ru-RU"/>
        </w:rPr>
      </w:pPr>
      <w:r>
        <w:rPr/>
        <w:t xml:space="preserve">Заявитель имеет право отозвать принятую организатором аукциона заявку на участие </w:t>
      </w:r>
      <w:r>
        <w:rPr/>
        <w:br w:type="textWrapping" w:clear="all"/>
      </w:r>
      <w:r>
        <w:rPr/>
        <w:t xml:space="preserve">в аукционе до дня окончания срока приема заявок, путем направления уведомления об отзыве заявки на электронную площадку. В случае отзыва заявки в установленном порядке, уведомление об отзыве заявки поступает в «личный кабинет» организатора аукциона, о чем заявителю направляется соответствующее уведомление. Заявителю внесенный им задаток возвращается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 </w:t>
      </w:r>
    </w:p>
    <w:p>
      <w:pPr>
        <w:pStyle w:val="Normal"/>
        <w:jc w:val="center"/>
        <w:rPr>
          <w:b/>
          <w:bCs/>
        </w:rPr>
      </w:pPr>
      <w:r>
        <w:rPr>
          <w:b/>
          <w:bCs/>
        </w:rPr>
        <w:t>Определение участников аукциона</w:t>
      </w:r>
    </w:p>
    <w:p>
      <w:pPr>
        <w:pStyle w:val="Normal"/>
        <w:jc w:val="center"/>
        <w:rPr>
          <w:b/>
          <w:bCs/>
        </w:rPr>
      </w:pPr>
      <w:r>
        <w:rPr>
          <w:b/>
          <w:bCs/>
        </w:rPr>
      </w:r>
    </w:p>
    <w:p>
      <w:pPr>
        <w:pStyle w:val="Normal"/>
        <w:ind w:firstLine="567" w:left="-567"/>
        <w:jc w:val="both"/>
        <w:rPr/>
      </w:pPr>
      <w:r>
        <w:rPr>
          <w:bCs/>
        </w:rPr>
        <w:t xml:space="preserve">По результатам рассмотрения заявок комиссия принимает решение о допуске заявителей </w:t>
      </w:r>
      <w:r>
        <w:rPr>
          <w:bCs/>
        </w:rPr>
        <w:br w:type="textWrapping" w:clear="all"/>
      </w:r>
      <w:r>
        <w:rPr>
          <w:bCs/>
        </w:rPr>
        <w:t>к участию в аукционе или об отказе в допуске к участию в аукционе.</w:t>
      </w:r>
    </w:p>
    <w:p>
      <w:pPr>
        <w:pStyle w:val="Normal"/>
        <w:jc w:val="both"/>
        <w:rPr>
          <w:sz w:val="20"/>
        </w:rPr>
      </w:pPr>
      <w:r>
        <w:rPr/>
        <w:t>Заявитель не допускается к участию в аукционе в следующих случаях:</w:t>
      </w:r>
    </w:p>
    <w:p>
      <w:pPr>
        <w:pStyle w:val="Normal"/>
        <w:widowControl w:val="false"/>
        <w:ind w:firstLine="567" w:left="-567"/>
        <w:jc w:val="both"/>
        <w:rPr/>
      </w:pPr>
      <w:r>
        <w:rPr>
          <w:sz w:val="20"/>
        </w:rPr>
        <w:t xml:space="preserve">1) </w:t>
      </w:r>
      <w:r>
        <w:rPr/>
        <w:t>непредставление необходимых для участия в аукционе документов или представление недостоверных сведений;</w:t>
      </w:r>
    </w:p>
    <w:p>
      <w:pPr>
        <w:pStyle w:val="Normal"/>
        <w:widowControl w:val="false"/>
        <w:jc w:val="both"/>
        <w:rPr/>
      </w:pPr>
      <w:r>
        <w:rPr/>
        <w:t>2) непоступление задатка на дату рассмотрения заявок на участие в аукционе;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3) подача заявки на участие в аукционе лицом, которое в соответствии с Земельным Кодексом Российской Федерации и другими федеральными законами не имеет права быть участником конкретного аукциона, покупателем земельного участка или приобрести земельный участок </w:t>
        <w:br/>
        <w:t>в аренду;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>4)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В день признания заявителей участниками аукциона, указанный в извещении </w:t>
        <w:br/>
        <w:t>о проведении аукциона, оператор через «личный кабинет» организатора торгов обеспечивает доступ организатора торгов к поданным  заявителями заявкам и документам, а также к журналу приема заявок.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По результатам рассмотрения заявок и документов к ним комиссия принимает решение </w:t>
        <w:br/>
        <w:t xml:space="preserve">о признании заявителя участником аукциона или об отказе в допуске к участию в аукционе, которое оформляется протоколом рассмотрения заявок с указанием причины отказа в допуске </w:t>
        <w:br/>
        <w:t xml:space="preserve">к участию в аукционе. Протокол рассмотрения заявок на участие в аукционе подписывается организатором аукциона не позднее чем в течение одного дня со дня их рассмотрения </w:t>
        <w:br/>
        <w:t>и размещается на официальных сайтах и на электронной площадке не позднее чем на следующий день после дня подписания протокола.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Заявитель приобретает статус участника аукциона с момента подписания протокола </w:t>
      </w:r>
      <w:r>
        <w:rPr/>
        <w:br w:type="textWrapping" w:clear="all"/>
      </w:r>
      <w:r>
        <w:rPr/>
        <w:t>о признании претендентов участниками аукциона.</w:t>
      </w:r>
    </w:p>
    <w:p>
      <w:pPr>
        <w:pStyle w:val="Normal"/>
        <w:widowControl w:val="false"/>
        <w:ind w:firstLine="567" w:left="-567"/>
        <w:jc w:val="both"/>
        <w:rPr/>
      </w:pPr>
      <w:r>
        <w:rPr/>
        <w:t xml:space="preserve">Не позднее следующего рабочего дня после дня подписания протокола о признании претендентов участниками всем претендентам, подавшим заявки, оператором электронной площадки направляется в личные кабинеты претендентов уведомления о признании их участниками аукциона или об отказе в признании участниками аукциона с указанием оснований отказа. </w:t>
      </w:r>
    </w:p>
    <w:p>
      <w:pPr>
        <w:pStyle w:val="Normal"/>
        <w:widowControl w:val="false"/>
        <w:spacing w:lineRule="auto" w:line="276"/>
        <w:ind w:firstLine="567" w:left="-567"/>
        <w:jc w:val="both"/>
        <w:rPr/>
      </w:pPr>
      <w:r>
        <w:rPr/>
      </w:r>
    </w:p>
    <w:p>
      <w:pPr>
        <w:pStyle w:val="Normal"/>
        <w:jc w:val="center"/>
        <w:rPr>
          <w:rFonts w:eastAsia="Courier New"/>
          <w:b/>
          <w:bCs/>
          <w:lang w:bidi="ru-RU"/>
        </w:rPr>
      </w:pPr>
      <w:r>
        <w:rPr>
          <w:b/>
          <w:bCs/>
        </w:rPr>
        <w:t>Порядок проведения аукциона</w:t>
      </w:r>
    </w:p>
    <w:p>
      <w:pPr>
        <w:pStyle w:val="Normal"/>
        <w:widowControl w:val="false"/>
        <w:ind w:left="502"/>
        <w:jc w:val="center"/>
        <w:rPr>
          <w:rFonts w:eastAsia="Courier New"/>
          <w:b/>
          <w:bCs/>
          <w:lang w:bidi="ru-RU"/>
        </w:rPr>
      </w:pPr>
      <w:r>
        <w:rPr>
          <w:rFonts w:eastAsia="Courier New"/>
          <w:b/>
          <w:bCs/>
          <w:lang w:bidi="ru-RU"/>
        </w:rPr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Торговая сессия проводится путем последовательного повышения участниками аукциона начальной цены аукциона на величину, равную величине «шага аукциона».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«Шаг аукциона» устанавливается Организатором аукциона в фиксированной сумме, составляющей 3% начальной цены аукциона, и не изменяется в течение всего времени подачи предложений о цене.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В ходе проведения аукциона участники аукциона подают предложения о цене предмета аукциона в соответствии со следующими требованиями: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1) предложение о цене предмета аукциона увеличивает текущее максимальное предложение </w:t>
      </w:r>
      <w:r>
        <w:rPr>
          <w:rFonts w:eastAsia="Calibri"/>
        </w:rPr>
        <w:br w:type="textWrapping" w:clear="all"/>
      </w:r>
      <w:r>
        <w:rPr>
          <w:rFonts w:eastAsia="Calibri"/>
        </w:rPr>
        <w:t>о цене предмета аукциона на величину «шага аукциона»;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2) участник аукциона не вправе подать предложение о цене предмета аукциона в случае, если текущее максимальное предложение о цене предмета аукциона подано таким участником аукциона.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Время для подачи предложений о цене аукциона определяется в следующем порядке: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Время ожидания предложения участника аукциона о цене предмета аукциона составляет </w:t>
      </w:r>
      <w:r>
        <w:rPr>
          <w:rFonts w:eastAsia="Calibri"/>
        </w:rPr>
        <w:br w:type="textWrapping" w:clear="all"/>
      </w:r>
      <w:r>
        <w:rPr>
          <w:rFonts w:eastAsia="Calibri"/>
        </w:rPr>
        <w:t xml:space="preserve">10 (десять) минут. При поступлении предложения участника аукциона </w:t>
        <w:br/>
        <w:t>о повышении цены предмета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аукциона не поступило, аукцион завершается.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Срок для подачи предложений о цене обновляется автоматически после улучшения текущего предложения о цене. Время срока подачи предложений отсчитывается с момента подачи последнего (лучшего) предложения (или с начала подачи предложений о цене), отображается в закрытой части электронной площадки как расчетное время окончания торгов, </w:t>
        <w:br/>
        <w:t>а так же как время, оставшееся до окончания торгов в минутах.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В ходе проведения подачи предложений о цене аукциона Оператор программными средствами электронной площадки обеспечивает отклонение предложения о цене аукциона </w:t>
      </w:r>
      <w:r>
        <w:rPr>
          <w:rFonts w:eastAsia="Calibri"/>
        </w:rPr>
        <w:br w:type="textWrapping" w:clear="all"/>
      </w:r>
      <w:r>
        <w:rPr>
          <w:rFonts w:eastAsia="Calibri"/>
        </w:rPr>
        <w:t>в момент его поступления и соответствующее уведомление участника аукциона, в случаях, если: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предложение о цене аукциона предоставлено до начала или по истечении установленного времени для подачи предложений о цене аукциона;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представленное предложение о цене аукциона ниже начальной цены;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представленное предложение о цене аукциона равно нулю;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представленное предложение о цене аукциона не соответствует увеличению текущей цены на величину «шага аукциона»;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предыдущее представленное данным участником аукциона предложение о цене аукциона является лучшим текущим предложением о цене;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- представленное участником аукциона предложение о цене аукциона меньше ранее представленных предложений.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В случае если при проведении процедуры подачи ценовых предложений были поданы равные ценовые предложения несколькими участниками аукциона, то лучшим признается ценовое предложение, поступившее ранее других ценовых предложений.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 xml:space="preserve">Победителем аукциона признается участник аукциона, предложивший наибольшую цену </w:t>
      </w:r>
      <w:r>
        <w:rPr>
          <w:rFonts w:eastAsia="Calibri"/>
        </w:rPr>
        <w:br w:type="textWrapping" w:clear="all"/>
      </w:r>
      <w:r>
        <w:rPr>
          <w:rFonts w:eastAsia="Calibri"/>
        </w:rPr>
        <w:t>за земельный участок или наибольший размер ежегодной арендной платы за земельный участок.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  <w:t>Протокол проведения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аукциона.</w:t>
      </w:r>
    </w:p>
    <w:p>
      <w:pPr>
        <w:pStyle w:val="Normal"/>
        <w:ind w:firstLine="567" w:left="-567"/>
        <w:jc w:val="both"/>
        <w:rPr>
          <w:rFonts w:eastAsia="Calibri"/>
        </w:rPr>
      </w:pPr>
      <w:r>
        <w:rPr>
          <w:rFonts w:eastAsia="Calibri"/>
        </w:rPr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hanging="0" w:left="0"/>
        <w:jc w:val="center"/>
        <w:outlineLvl w:val="0"/>
        <w:rPr>
          <w:bCs/>
        </w:rPr>
      </w:pPr>
      <w:r>
        <w:rPr>
          <w:b/>
          <w:bCs/>
        </w:rPr>
        <w:t>Порядок и срок заключения договора</w:t>
      </w:r>
      <w:r>
        <w:rPr>
          <w:b/>
          <w:bCs/>
        </w:rPr>
        <w:br w:type="textWrapping" w:clear="all"/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>По результатам проведения аукциона не допускается заключение договора купли-продажи земельного участка, находящегося в государственной или муниципальной собственности, либо договора аренды такого участка ранее чем через десять дней со дня размещения протокола рассмотрения заявок на участие в аукционе в случае, если аукцион признан несостоявшимся, либо протокола о результатах аукциона на официальном сайте.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 xml:space="preserve">Департамент земельных отношений администрации города Перми обязан в течение пяти дней со дня истечения срока, предусмотренного пунктом 11 статьи 39.13 Земельного Кодекса Российской Федерации, направить победителю аукциона или иным лицам, с которыми </w:t>
        <w:br/>
        <w:t xml:space="preserve">в соответствии с пунктами 13, 14, 20 и 25 статьи 39.12 Земельного Кодекса Российской Федерации заключается договор купли-продажи земельного участка, находящегося </w:t>
        <w:br/>
        <w:t xml:space="preserve">в государственной или муниципальной собственности, либо договор аренды такого участка, подписанный проект договора купли-продажи земельного участка, находящегося </w:t>
        <w:br/>
        <w:t>в государственной или муниципальной собственности, либо подписанный проект договора аренды такого участка.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076" w:leader="none"/>
        </w:tabs>
        <w:ind w:firstLine="567" w:left="-567"/>
        <w:jc w:val="both"/>
        <w:outlineLvl w:val="0"/>
        <w:rPr>
          <w:bCs/>
        </w:rPr>
      </w:pPr>
      <w:r>
        <w:rPr>
          <w:bCs/>
        </w:rPr>
        <w:t>По результатам проведения аукциона договор купли-продажи земельного участка, находящегося в государственной или муниципальной собственности,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договора.</w:t>
      </w:r>
    </w:p>
    <w:p>
      <w:pPr>
        <w:pStyle w:val="Normal"/>
        <w:ind w:firstLine="567" w:left="-567"/>
        <w:jc w:val="both"/>
        <w:rPr>
          <w:bCs/>
        </w:rPr>
      </w:pPr>
      <w:r>
        <w:rPr>
          <w:bCs/>
        </w:rPr>
        <w:t>Проекты договоров являются частью извещения и представлены в Приложениях 2-5  к настоящему извещению.</w:t>
        <w:tab/>
      </w:r>
    </w:p>
    <w:p>
      <w:pPr>
        <w:pStyle w:val="Normal"/>
        <w:ind w:firstLine="567" w:left="-567"/>
        <w:jc w:val="both"/>
        <w:rPr>
          <w:bCs/>
        </w:rPr>
      </w:pPr>
      <w:r>
        <w:rPr>
          <w:bCs/>
        </w:rPr>
        <w:t>Если договор купли-продажи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департамент земельных отношений администрации города Перми, организатор аукциона предлагает заключить указанные договоры иному участнику аукциона, который сделал предпоследнее предложение о цене предмета аукциона, по цене, предложенной победителем аукциона.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67" w:leader="none"/>
        </w:tabs>
        <w:ind w:firstLine="567" w:left="-567"/>
        <w:jc w:val="both"/>
        <w:outlineLvl w:val="0"/>
        <w:rPr>
          <w:rFonts w:eastAsia="Courier New"/>
          <w:lang w:bidi="ru-RU"/>
        </w:rPr>
      </w:pPr>
      <w:r>
        <w:rPr>
          <w:bCs/>
        </w:rPr>
        <w:tab/>
        <w:t>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купли-продажи или проекта договора аренды земельного участка этот участник не представил в департамент земельных отношений администрации города Перми подписанные им договоры,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>
      <w:pPr>
        <w:pStyle w:val="Normal"/>
        <w:numPr>
          <w:ilvl w:val="0"/>
          <w:numId w:val="0"/>
        </w:numPr>
        <w:tabs>
          <w:tab w:val="clear" w:pos="708"/>
          <w:tab w:val="center" w:pos="567" w:leader="none"/>
        </w:tabs>
        <w:ind w:firstLine="567" w:left="-567"/>
        <w:jc w:val="both"/>
        <w:outlineLvl w:val="0"/>
        <w:rPr>
          <w:rFonts w:eastAsia="Courier New"/>
          <w:lang w:bidi="ru-RU"/>
        </w:rPr>
      </w:pPr>
      <w:r>
        <w:rPr>
          <w:rFonts w:eastAsia="Courier New"/>
          <w:lang w:bidi="ru-RU"/>
        </w:rPr>
        <w:t xml:space="preserve">Сведения о победителях аукционов, уклонившихся от заключения договора купли-продажи или договора аренды земельного участка, являющегося предметом аукциона, и об иных лицах, </w:t>
        <w:br/>
        <w:t xml:space="preserve">с которыми указанные договоры заключаются в соответствии с пунктом 13, 14 или 20 </w:t>
        <w:br/>
        <w:t>ст. 39.12 Земельного Кодекса Российской Федерации и которые уклонились от их заключения, включаются в реестр недобросовестных участников аукциона.</w:t>
      </w:r>
    </w:p>
    <w:sectPr>
      <w:headerReference w:type="default" r:id="rId15"/>
      <w:headerReference w:type="first" r:id="rId16"/>
      <w:type w:val="nextPage"/>
      <w:pgSz w:w="11906" w:h="16838"/>
      <w:pgMar w:left="1418" w:right="567" w:gutter="0" w:header="363" w:top="420" w:footer="0" w:bottom="1134"/>
      <w:pgNumType w:start="1"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empora LGC Uni"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1"/>
    <w:family w:val="roman"/>
    <w:pitch w:val="variable"/>
  </w:font>
  <w:font w:name="Courier New">
    <w:charset w:val="01"/>
    <w:family w:val="roman"/>
    <w:pitch w:val="variable"/>
  </w:font>
  <w:font w:name="Calibri Light">
    <w:charset w:val="01"/>
    <w:family w:val="roman"/>
    <w:pitch w:val="variable"/>
  </w:font>
  <w:font w:name="Open Sans">
    <w:charset w:val="01"/>
    <w:family w:val="roman"/>
    <w:pitch w:val="variable"/>
  </w:font>
  <w:font w:name="Consultant">
    <w:charset w:val="01"/>
    <w:family w:val="roman"/>
    <w:pitch w:val="variable"/>
  </w:font>
  <w:font w:name="Tahoma">
    <w:charset w:val="01"/>
    <w:family w:val="roman"/>
    <w:pitch w:val="variable"/>
  </w:font>
  <w:font w:name="Verdana">
    <w:charset w:val="01"/>
    <w:family w:val="roman"/>
    <w:pitch w:val="variable"/>
  </w:font>
  <w:font w:name="Calibri">
    <w:charset w:val="01"/>
    <w:family w:val="roman"/>
    <w:pitch w:val="variable"/>
  </w:font>
  <w:font w:name="Symbol">
    <w:charset w:val="02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>
        <w:sz w:val="20"/>
        <w:szCs w:val="28"/>
      </w:rPr>
    </w:pPr>
    <w:r>
      <w:rPr>
        <w:sz w:val="20"/>
        <w:szCs w:val="28"/>
      </w:rPr>
      <w:fldChar w:fldCharType="begin"/>
    </w:r>
    <w:r>
      <w:rPr>
        <w:sz w:val="20"/>
        <w:szCs w:val="28"/>
      </w:rPr>
      <w:instrText xml:space="preserve"> PAGE </w:instrText>
    </w:r>
    <w:r>
      <w:rPr>
        <w:sz w:val="20"/>
        <w:szCs w:val="28"/>
      </w:rPr>
      <w:fldChar w:fldCharType="separate"/>
    </w:r>
    <w:r>
      <w:rPr>
        <w:sz w:val="20"/>
        <w:szCs w:val="28"/>
      </w:rPr>
      <w:t>39</w:t>
    </w:r>
    <w:r>
      <w:rPr>
        <w:sz w:val="20"/>
        <w:szCs w:val="28"/>
      </w:rPr>
      <w:fldChar w:fldCharType="end"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pStyle w:val="Heading6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4"/>
        <w:u w:val="none"/>
        <w:szCs w:val="24"/>
        <w:color w:val="00000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sz w:val="24"/>
        <w:u w:val="none"/>
        <w:szCs w:val="24"/>
        <w:color w:val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eastAsia="Courier New"/>
        <w:lang w:bidi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eastAsia="Calibri"/>
        <w:lang w:eastAsia="en-US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bCs/>
        <w:lang w:eastAsia="en-US" w:bidi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b/>
        <w:bCs/>
        <w:lang w:bidi="ru-RU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Lohit Devanagari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4"/>
      <w:szCs w:val="24"/>
      <w:lang w:val="ru-RU" w:eastAsia="zh-CN" w:bidi="ar-SA"/>
    </w:rPr>
  </w:style>
  <w:style w:type="paragraph" w:styleId="Heading1">
    <w:name w:val="Heading 1"/>
    <w:basedOn w:val="Normal"/>
    <w:qFormat/>
    <w:pPr>
      <w:keepNext w:val="true"/>
      <w:numPr>
        <w:ilvl w:val="0"/>
        <w:numId w:val="1"/>
      </w:numPr>
      <w:jc w:val="center"/>
      <w:outlineLvl w:val="0"/>
    </w:pPr>
    <w:rPr>
      <w:b/>
      <w:sz w:val="28"/>
      <w:szCs w:val="20"/>
    </w:rPr>
  </w:style>
  <w:style w:type="paragraph" w:styleId="Heading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Heading6">
    <w:name w:val="Heading 6"/>
    <w:basedOn w:val="Normal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uiPriority w:val="9"/>
    <w:qFormat/>
    <w:rPr>
      <w:rFonts w:ascii="Arial" w:hAnsi="Arial" w:eastAsia="Arial" w:cs="Arial"/>
      <w:sz w:val="40"/>
      <w:szCs w:val="40"/>
    </w:rPr>
  </w:style>
  <w:style w:type="character" w:styleId="2" w:customStyle="1">
    <w:name w:val="Заголовок 2 Знак"/>
    <w:uiPriority w:val="9"/>
    <w:qFormat/>
    <w:rPr>
      <w:rFonts w:ascii="Arial" w:hAnsi="Arial" w:eastAsia="Arial" w:cs="Arial"/>
      <w:sz w:val="34"/>
    </w:rPr>
  </w:style>
  <w:style w:type="character" w:styleId="3" w:customStyle="1">
    <w:name w:val="Заголовок 3 Знак"/>
    <w:uiPriority w:val="9"/>
    <w:qFormat/>
    <w:rPr>
      <w:rFonts w:ascii="Arial" w:hAnsi="Arial" w:eastAsia="Arial" w:cs="Arial"/>
      <w:sz w:val="30"/>
      <w:szCs w:val="30"/>
    </w:rPr>
  </w:style>
  <w:style w:type="character" w:styleId="4" w:customStyle="1">
    <w:name w:val="Заголовок 4 Знак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5" w:customStyle="1">
    <w:name w:val="Заголовок 5 Знак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1" w:customStyle="1">
    <w:name w:val="Заголовок 6 Знак1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7" w:customStyle="1">
    <w:name w:val="Заголовок 7 Знак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8" w:customStyle="1">
    <w:name w:val="Заголовок 8 Знак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9" w:customStyle="1">
    <w:name w:val="Заголовок 9 Знак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11" w:customStyle="1">
    <w:name w:val="Заголовок Знак1"/>
    <w:uiPriority w:val="10"/>
    <w:qFormat/>
    <w:rPr>
      <w:sz w:val="48"/>
      <w:szCs w:val="48"/>
    </w:rPr>
  </w:style>
  <w:style w:type="character" w:styleId="Style5" w:customStyle="1">
    <w:name w:val="Подзаголовок Знак"/>
    <w:uiPriority w:val="11"/>
    <w:qFormat/>
    <w:rPr>
      <w:sz w:val="24"/>
      <w:szCs w:val="24"/>
    </w:rPr>
  </w:style>
  <w:style w:type="character" w:styleId="21" w:customStyle="1">
    <w:name w:val="Цитата 2 Знак"/>
    <w:uiPriority w:val="29"/>
    <w:qFormat/>
    <w:rPr>
      <w:i/>
    </w:rPr>
  </w:style>
  <w:style w:type="character" w:styleId="Style6" w:customStyle="1">
    <w:name w:val="Выделенная цитата Знак"/>
    <w:uiPriority w:val="30"/>
    <w:qFormat/>
    <w:rPr>
      <w:i/>
    </w:rPr>
  </w:style>
  <w:style w:type="character" w:styleId="12" w:customStyle="1">
    <w:name w:val="Верхний колонтитул Знак1"/>
    <w:uiPriority w:val="99"/>
    <w:qFormat/>
    <w:rPr/>
  </w:style>
  <w:style w:type="character" w:styleId="FooterChar" w:customStyle="1">
    <w:name w:val="Footer Char"/>
    <w:uiPriority w:val="99"/>
    <w:qFormat/>
    <w:rPr/>
  </w:style>
  <w:style w:type="character" w:styleId="13" w:customStyle="1">
    <w:name w:val="Нижний колонтитул Знак1"/>
    <w:uiPriority w:val="99"/>
    <w:qFormat/>
    <w:rPr/>
  </w:style>
  <w:style w:type="character" w:styleId="Style7" w:customStyle="1">
    <w:name w:val="Текст сноски Знак"/>
    <w:uiPriority w:val="99"/>
    <w:qFormat/>
    <w:rPr>
      <w:sz w:val="18"/>
    </w:rPr>
  </w:style>
  <w:style w:type="character" w:styleId="Style8">
    <w:name w:val="Символ сноски"/>
    <w:uiPriority w:val="99"/>
    <w:unhideWhenUsed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Style9" w:customStyle="1">
    <w:name w:val="Текст концевой сноски Знак"/>
    <w:uiPriority w:val="99"/>
    <w:qFormat/>
    <w:rPr>
      <w:sz w:val="20"/>
    </w:rPr>
  </w:style>
  <w:style w:type="character" w:styleId="Style10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WW8Num2z0" w:customStyle="1">
    <w:name w:val="WW8Num2z0"/>
    <w:qFormat/>
    <w:rPr>
      <w:rFonts w:ascii="Symbol" w:hAnsi="Symbol" w:cs="Symbol"/>
    </w:rPr>
  </w:style>
  <w:style w:type="character" w:styleId="WW8Num3z0" w:customStyle="1">
    <w:name w:val="WW8Num3z0"/>
    <w:qFormat/>
    <w:rPr/>
  </w:style>
  <w:style w:type="character" w:styleId="WW8Num4z0" w:customStyle="1">
    <w:name w:val="WW8Num4z0"/>
    <w:qFormat/>
    <w:rPr/>
  </w:style>
  <w:style w:type="character" w:styleId="WW8Num5z0" w:customStyle="1">
    <w:name w:val="WW8Num5z0"/>
    <w:qFormat/>
    <w:rPr>
      <w:sz w:val="16"/>
      <w:szCs w:val="16"/>
    </w:rPr>
  </w:style>
  <w:style w:type="character" w:styleId="WW8Num6z0" w:customStyle="1">
    <w:name w:val="WW8Num6z0"/>
    <w:qFormat/>
    <w:rPr/>
  </w:style>
  <w:style w:type="character" w:styleId="WW8Num7z0" w:customStyle="1">
    <w:name w:val="WW8Num7z0"/>
    <w:qFormat/>
    <w:rPr/>
  </w:style>
  <w:style w:type="character" w:styleId="WW8Num8z0" w:customStyle="1">
    <w:name w:val="WW8Num8z0"/>
    <w:qFormat/>
    <w:rPr/>
  </w:style>
  <w:style w:type="character" w:styleId="WW8Num9z0" w:customStyle="1">
    <w:name w:val="WW8Num9z0"/>
    <w:qFormat/>
    <w:rPr/>
  </w:style>
  <w:style w:type="character" w:styleId="WW8Num10z0" w:customStyle="1">
    <w:name w:val="WW8Num10z0"/>
    <w:qFormat/>
    <w:rPr/>
  </w:style>
  <w:style w:type="character" w:styleId="WW8Num11z0" w:customStyle="1">
    <w:name w:val="WW8Num11z0"/>
    <w:qFormat/>
    <w:rPr/>
  </w:style>
  <w:style w:type="character" w:styleId="WW8Num12z0" w:customStyle="1">
    <w:name w:val="WW8Num12z0"/>
    <w:qFormat/>
    <w:rPr/>
  </w:style>
  <w:style w:type="character" w:styleId="WW8Num13z0" w:customStyle="1">
    <w:name w:val="WW8Num13z0"/>
    <w:qFormat/>
    <w:rPr/>
  </w:style>
  <w:style w:type="character" w:styleId="WW8Num14z0" w:customStyle="1">
    <w:name w:val="WW8Num14z0"/>
    <w:qFormat/>
    <w:rPr/>
  </w:style>
  <w:style w:type="character" w:styleId="WW8Num15z0" w:customStyle="1">
    <w:name w:val="WW8Num15z0"/>
    <w:qFormat/>
    <w:rPr/>
  </w:style>
  <w:style w:type="character" w:styleId="WW8Num18z0" w:customStyle="1">
    <w:name w:val="WW8Num18z0"/>
    <w:qFormat/>
    <w:rPr/>
  </w:style>
  <w:style w:type="character" w:styleId="WW8Num19z0" w:customStyle="1">
    <w:name w:val="WW8Num19z0"/>
    <w:qFormat/>
    <w:rPr/>
  </w:style>
  <w:style w:type="character" w:styleId="WW8Num20z0" w:customStyle="1">
    <w:name w:val="WW8Num20z0"/>
    <w:qFormat/>
    <w:rPr/>
  </w:style>
  <w:style w:type="character" w:styleId="WW8Num21z0" w:customStyle="1">
    <w:name w:val="WW8Num21z0"/>
    <w:qFormat/>
    <w:rPr/>
  </w:style>
  <w:style w:type="character" w:styleId="WW8Num22z0" w:customStyle="1">
    <w:name w:val="WW8Num22z0"/>
    <w:qFormat/>
    <w:rPr/>
  </w:style>
  <w:style w:type="character" w:styleId="WW8Num23z0" w:customStyle="1">
    <w:name w:val="WW8Num23z0"/>
    <w:qFormat/>
    <w:rPr/>
  </w:style>
  <w:style w:type="character" w:styleId="WW8Num25z0" w:customStyle="1">
    <w:name w:val="WW8Num25z0"/>
    <w:qFormat/>
    <w:rPr/>
  </w:style>
  <w:style w:type="character" w:styleId="WW8Num26z0" w:customStyle="1">
    <w:name w:val="WW8Num26z0"/>
    <w:qFormat/>
    <w:rPr/>
  </w:style>
  <w:style w:type="character" w:styleId="WW8Num27z0" w:customStyle="1">
    <w:name w:val="WW8Num27z0"/>
    <w:qFormat/>
    <w:rPr/>
  </w:style>
  <w:style w:type="character" w:styleId="WW8Num29z0" w:customStyle="1">
    <w:name w:val="WW8Num29z0"/>
    <w:qFormat/>
    <w:rPr>
      <w:rFonts w:ascii="Symbol" w:hAnsi="Symbol" w:cs="Symbol"/>
    </w:rPr>
  </w:style>
  <w:style w:type="character" w:styleId="WW8Num30z0" w:customStyle="1">
    <w:name w:val="WW8Num30z0"/>
    <w:qFormat/>
    <w:rPr/>
  </w:style>
  <w:style w:type="character" w:styleId="WW8Num31z0" w:customStyle="1">
    <w:name w:val="WW8Num31z0"/>
    <w:qFormat/>
    <w:rPr/>
  </w:style>
  <w:style w:type="character" w:styleId="WW8Num32z0" w:customStyle="1">
    <w:name w:val="WW8Num32z0"/>
    <w:qFormat/>
    <w:rPr/>
  </w:style>
  <w:style w:type="character" w:styleId="WW8Num33z0" w:customStyle="1">
    <w:name w:val="WW8Num33z0"/>
    <w:qFormat/>
    <w:rPr/>
  </w:style>
  <w:style w:type="character" w:styleId="WW8Num34z0" w:customStyle="1">
    <w:name w:val="WW8Num34z0"/>
    <w:qFormat/>
    <w:rPr/>
  </w:style>
  <w:style w:type="character" w:styleId="Pagenumber">
    <w:name w:val="page number"/>
    <w:basedOn w:val="DefaultParagraphFont"/>
    <w:qFormat/>
    <w:rPr/>
  </w:style>
  <w:style w:type="character" w:styleId="Style11" w:customStyle="1">
    <w:name w:val="Текст Знак"/>
    <w:qFormat/>
    <w:rPr>
      <w:rFonts w:ascii="Courier New" w:hAnsi="Courier New" w:cs="Courier New"/>
    </w:rPr>
  </w:style>
  <w:style w:type="character" w:styleId="Style12" w:customStyle="1">
    <w:name w:val="Верхний колонтитул Знак"/>
    <w:qFormat/>
    <w:rPr>
      <w:sz w:val="16"/>
      <w:lang w:val="ru-RU" w:bidi="ar-SA"/>
    </w:rPr>
  </w:style>
  <w:style w:type="character" w:styleId="31" w:customStyle="1">
    <w:name w:val="Основной текст с отступом 3 Знак"/>
    <w:qFormat/>
    <w:rPr>
      <w:sz w:val="16"/>
      <w:szCs w:val="16"/>
    </w:rPr>
  </w:style>
  <w:style w:type="character" w:styleId="Hyperlink">
    <w:name w:val="Hyperlink"/>
    <w:rPr>
      <w:color w:val="0563C1"/>
      <w:u w:val="single"/>
    </w:rPr>
  </w:style>
  <w:style w:type="character" w:styleId="Style13" w:customStyle="1">
    <w:name w:val="Абзац списка Знак"/>
    <w:qFormat/>
    <w:rPr>
      <w:sz w:val="24"/>
      <w:szCs w:val="24"/>
    </w:rPr>
  </w:style>
  <w:style w:type="character" w:styleId="6" w:customStyle="1">
    <w:name w:val="Заголовок 6 Знак"/>
    <w:qFormat/>
    <w:rPr>
      <w:b/>
      <w:bCs/>
      <w:sz w:val="22"/>
      <w:szCs w:val="22"/>
    </w:rPr>
  </w:style>
  <w:style w:type="character" w:styleId="Style14" w:customStyle="1">
    <w:name w:val="Название Знак"/>
    <w:qFormat/>
    <w:rPr>
      <w:sz w:val="28"/>
      <w:lang w:val="ru-RU" w:bidi="ar-SA"/>
    </w:rPr>
  </w:style>
  <w:style w:type="character" w:styleId="Style15" w:customStyle="1">
    <w:name w:val="Заголовок Знак"/>
    <w:qFormat/>
    <w:rPr>
      <w:rFonts w:ascii="Calibri Light" w:hAnsi="Calibri Light" w:eastAsia="Times New Roman" w:cs="Times New Roman"/>
      <w:b/>
      <w:bCs/>
      <w:sz w:val="32"/>
      <w:szCs w:val="32"/>
    </w:rPr>
  </w:style>
  <w:style w:type="character" w:styleId="Style16" w:customStyle="1">
    <w:name w:val="Нижний колонтитул Знак"/>
    <w:qFormat/>
    <w:rPr/>
  </w:style>
  <w:style w:type="character" w:styleId="FollowedHyperlink">
    <w:name w:val="FollowedHyperlink"/>
    <w:rPr>
      <w:color w:val="954F72"/>
      <w:u w:val="single"/>
    </w:rPr>
  </w:style>
  <w:style w:type="character" w:styleId="Style17" w:customStyle="1">
    <w:name w:val="Гиперссылка"/>
    <w:qFormat/>
    <w:rPr>
      <w:color w:val="0000FF"/>
      <w:u w:val="single"/>
    </w:rPr>
  </w:style>
  <w:style w:type="character" w:styleId="Style18">
    <w:name w:val="Символ нумерации"/>
    <w:qFormat/>
    <w:rPr/>
  </w:style>
  <w:style w:type="paragraph" w:styleId="Style19">
    <w:name w:val="Заголовок"/>
    <w:basedOn w:val="Normal"/>
    <w:next w:val="BodyText"/>
    <w:qFormat/>
    <w:pPr>
      <w:keepNext w:val="true"/>
      <w:spacing w:before="240" w:after="120"/>
    </w:pPr>
    <w:rPr>
      <w:rFonts w:ascii="Open Sans" w:hAnsi="Open Sans" w:eastAsia="Droid Sans Fallback" w:cs="Lohit Devanagari"/>
      <w:sz w:val="28"/>
      <w:szCs w:val="28"/>
    </w:rPr>
  </w:style>
  <w:style w:type="paragraph" w:styleId="BodyText">
    <w:name w:val="Body Text"/>
    <w:basedOn w:val="Normal"/>
    <w:pPr>
      <w:jc w:val="right"/>
    </w:pPr>
    <w:rPr>
      <w:sz w:val="28"/>
    </w:rPr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</w:rPr>
  </w:style>
  <w:style w:type="paragraph" w:styleId="Style20">
    <w:name w:val="Указатель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qFormat/>
    <w:pPr>
      <w:ind w:left="708"/>
    </w:pPr>
    <w:rPr/>
  </w:style>
  <w:style w:type="paragraph" w:styleId="NoSpacing">
    <w:name w:val="No Spacing"/>
    <w:uiPriority w:val="1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ru-RU" w:bidi="ar-SA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Calibri Light" w:hAnsi="Calibri Light"/>
      <w:b/>
      <w:bCs/>
      <w:sz w:val="32"/>
      <w:szCs w:val="32"/>
    </w:rPr>
  </w:style>
  <w:style w:type="paragraph" w:styleId="Subtitle">
    <w:name w:val="Subtitle"/>
    <w:basedOn w:val="Normal"/>
    <w:uiPriority w:val="11"/>
    <w:qFormat/>
    <w:pPr>
      <w:spacing w:before="200" w:after="200"/>
    </w:pPr>
    <w:rPr/>
  </w:style>
  <w:style w:type="paragraph" w:styleId="Quote">
    <w:name w:val="Quote"/>
    <w:basedOn w:val="Normal"/>
    <w:uiPriority w:val="29"/>
    <w:qFormat/>
    <w:pPr>
      <w:ind w:left="720" w:right="72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FootnoteText">
    <w:name w:val="Footnote Text"/>
    <w:basedOn w:val="Normal"/>
    <w:uiPriority w:val="99"/>
    <w:semiHidden/>
    <w:unhideWhenUsed/>
    <w:pPr>
      <w:spacing w:before="0" w:after="40"/>
    </w:pPr>
    <w:rPr>
      <w:sz w:val="18"/>
    </w:rPr>
  </w:style>
  <w:style w:type="paragraph" w:styleId="EndnoteText">
    <w:name w:val="Endnote Text"/>
    <w:basedOn w:val="Normal"/>
    <w:uiPriority w:val="99"/>
    <w:semiHidden/>
    <w:unhideWhenUsed/>
    <w:pPr/>
    <w:rPr>
      <w:sz w:val="20"/>
    </w:rPr>
  </w:style>
  <w:style w:type="paragraph" w:styleId="TOC1">
    <w:name w:val="TOC 1"/>
    <w:basedOn w:val="Normal"/>
    <w:uiPriority w:val="39"/>
    <w:unhideWhenUsed/>
    <w:pPr>
      <w:spacing w:before="0" w:after="57"/>
    </w:pPr>
    <w:rPr/>
  </w:style>
  <w:style w:type="paragraph" w:styleId="TOC2">
    <w:name w:val="TOC 2"/>
    <w:basedOn w:val="Normal"/>
    <w:uiPriority w:val="39"/>
    <w:unhideWhenUsed/>
    <w:pPr>
      <w:spacing w:before="0" w:after="57"/>
      <w:ind w:left="283"/>
    </w:pPr>
    <w:rPr/>
  </w:style>
  <w:style w:type="paragraph" w:styleId="TOC3">
    <w:name w:val="TOC 3"/>
    <w:basedOn w:val="Normal"/>
    <w:uiPriority w:val="39"/>
    <w:unhideWhenUsed/>
    <w:pPr>
      <w:spacing w:before="0" w:after="57"/>
      <w:ind w:left="567"/>
    </w:pPr>
    <w:rPr/>
  </w:style>
  <w:style w:type="paragraph" w:styleId="TOC4">
    <w:name w:val="TOC 4"/>
    <w:basedOn w:val="Normal"/>
    <w:uiPriority w:val="39"/>
    <w:unhideWhenUsed/>
    <w:pPr>
      <w:spacing w:before="0" w:after="57"/>
      <w:ind w:left="850"/>
    </w:pPr>
    <w:rPr/>
  </w:style>
  <w:style w:type="paragraph" w:styleId="TOC5">
    <w:name w:val="TOC 5"/>
    <w:basedOn w:val="Normal"/>
    <w:uiPriority w:val="39"/>
    <w:unhideWhenUsed/>
    <w:pPr>
      <w:spacing w:before="0" w:after="57"/>
      <w:ind w:left="1134"/>
    </w:pPr>
    <w:rPr/>
  </w:style>
  <w:style w:type="paragraph" w:styleId="TOC6">
    <w:name w:val="TOC 6"/>
    <w:basedOn w:val="Normal"/>
    <w:uiPriority w:val="39"/>
    <w:unhideWhenUsed/>
    <w:pPr>
      <w:spacing w:before="0" w:after="57"/>
      <w:ind w:left="1417"/>
    </w:pPr>
    <w:rPr/>
  </w:style>
  <w:style w:type="paragraph" w:styleId="TOC7">
    <w:name w:val="TOC 7"/>
    <w:basedOn w:val="Normal"/>
    <w:uiPriority w:val="39"/>
    <w:unhideWhenUsed/>
    <w:pPr>
      <w:spacing w:before="0" w:after="57"/>
      <w:ind w:left="1701"/>
    </w:pPr>
    <w:rPr/>
  </w:style>
  <w:style w:type="paragraph" w:styleId="TOC8">
    <w:name w:val="TOC 8"/>
    <w:basedOn w:val="Normal"/>
    <w:uiPriority w:val="39"/>
    <w:unhideWhenUsed/>
    <w:pPr>
      <w:spacing w:before="0" w:after="57"/>
      <w:ind w:left="1984"/>
    </w:pPr>
    <w:rPr/>
  </w:style>
  <w:style w:type="paragraph" w:styleId="TOC9">
    <w:name w:val="TOC 9"/>
    <w:basedOn w:val="Normal"/>
    <w:uiPriority w:val="39"/>
    <w:unhideWhenUsed/>
    <w:pPr>
      <w:spacing w:before="0" w:after="57"/>
      <w:ind w:left="2268"/>
    </w:pPr>
    <w:rPr/>
  </w:style>
  <w:style w:type="paragraph" w:styleId="IndexHeading">
    <w:name w:val="Index Heading"/>
    <w:basedOn w:val="Style19"/>
    <w:pPr/>
    <w:rPr/>
  </w:style>
  <w:style w:type="paragraph" w:styleId="TOCHeading">
    <w:name w:val="TOC Heading"/>
    <w:uiPriority w:val="39"/>
    <w:unhideWhenUsed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auto"/>
      <w:kern w:val="0"/>
      <w:sz w:val="20"/>
      <w:szCs w:val="20"/>
      <w:lang w:val="ru-RU" w:eastAsia="ru-RU" w:bidi="ar-SA"/>
    </w:rPr>
  </w:style>
  <w:style w:type="paragraph" w:styleId="TableofFigures">
    <w:name w:val="Table of Figures"/>
    <w:basedOn w:val="Normal"/>
    <w:uiPriority w:val="99"/>
    <w:unhideWhenUsed/>
    <w:pPr/>
    <w:rPr/>
  </w:style>
  <w:style w:type="paragraph" w:styleId="Indexheading1">
    <w:name w:val="index heading1"/>
    <w:basedOn w:val="Normal"/>
    <w:qFormat/>
    <w:pPr>
      <w:suppressLineNumbers/>
    </w:pPr>
    <w:rPr>
      <w:rFonts w:cs="Lohit Devanagari"/>
    </w:rPr>
  </w:style>
  <w:style w:type="paragraph" w:styleId="Caption1" w:customStyle="1">
    <w:name w:val="Caption1"/>
    <w:basedOn w:val="Normal"/>
    <w:qFormat/>
    <w:pPr>
      <w:suppressLineNumbers/>
      <w:spacing w:before="120" w:after="120"/>
    </w:pPr>
    <w:rPr>
      <w:rFonts w:cs="Lohit Devanagari"/>
      <w:i/>
      <w:iCs/>
    </w:rPr>
  </w:style>
  <w:style w:type="paragraph" w:styleId="PlainText">
    <w:name w:val="Plain Text"/>
    <w:basedOn w:val="Normal"/>
    <w:qFormat/>
    <w:pPr/>
    <w:rPr>
      <w:rFonts w:ascii="Courier New" w:hAnsi="Courier New" w:cs="Courier New"/>
      <w:sz w:val="20"/>
      <w:szCs w:val="20"/>
      <w:lang w:val="en-US"/>
    </w:rPr>
  </w:style>
  <w:style w:type="paragraph" w:styleId="ConsNormal" w:customStyle="1">
    <w:name w:val="ConsNormal"/>
    <w:qFormat/>
    <w:pPr>
      <w:widowControl/>
      <w:suppressAutoHyphens w:val="true"/>
      <w:bidi w:val="0"/>
      <w:spacing w:before="0" w:after="0"/>
      <w:ind w:firstLine="720"/>
      <w:jc w:val="left"/>
    </w:pPr>
    <w:rPr>
      <w:rFonts w:ascii="Consultant" w:hAnsi="Consultant" w:eastAsia="Droid Sans Fallback" w:cs="Consultant"/>
      <w:color w:val="auto"/>
      <w:kern w:val="0"/>
      <w:sz w:val="20"/>
      <w:szCs w:val="20"/>
      <w:lang w:val="ru-RU" w:eastAsia="zh-CN" w:bidi="ar-SA"/>
    </w:rPr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tyle21" w:customStyle="1">
    <w:name w:val="Колонтитул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lear" w:pos="708"/>
        <w:tab w:val="center" w:pos="4153" w:leader="none"/>
        <w:tab w:val="right" w:pos="8306" w:leader="none"/>
      </w:tabs>
    </w:pPr>
    <w:rPr>
      <w:sz w:val="20"/>
      <w:szCs w:val="20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Style22" w:customStyle="1">
    <w:name w:val="Знак Знак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/>
    </w:rPr>
  </w:style>
  <w:style w:type="paragraph" w:styleId="ConsPlusNormal" w:customStyle="1">
    <w:name w:val="ConsPlus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Lohit Devanagari"/>
      <w:color w:val="auto"/>
      <w:kern w:val="0"/>
      <w:sz w:val="20"/>
      <w:szCs w:val="20"/>
      <w:lang w:val="ru-RU" w:eastAsia="zh-CN" w:bidi="ar-SA"/>
    </w:rPr>
  </w:style>
  <w:style w:type="paragraph" w:styleId="Header">
    <w:name w:val="Header"/>
    <w:pPr>
      <w:widowControl/>
      <w:tabs>
        <w:tab w:val="clear" w:pos="708"/>
        <w:tab w:val="center" w:pos="4153" w:leader="none"/>
        <w:tab w:val="right" w:pos="8306" w:leader="none"/>
      </w:tabs>
      <w:suppressAutoHyphens w:val="true"/>
      <w:bidi w:val="0"/>
      <w:spacing w:before="0" w:after="0"/>
      <w:jc w:val="center"/>
    </w:pPr>
    <w:rPr>
      <w:rFonts w:ascii="Times New Roman" w:hAnsi="Times New Roman" w:eastAsia="Droid Sans Fallback" w:cs="Lohit Devanagari"/>
      <w:color w:val="auto"/>
      <w:kern w:val="0"/>
      <w:sz w:val="16"/>
      <w:szCs w:val="20"/>
      <w:lang w:val="ru-RU" w:eastAsia="zh-CN" w:bidi="ar-SA"/>
    </w:rPr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  <w:lang w:val="en-US"/>
    </w:rPr>
  </w:style>
  <w:style w:type="paragraph" w:styleId="NormalWeb">
    <w:name w:val="Normal (Web)"/>
    <w:basedOn w:val="Normal"/>
    <w:qFormat/>
    <w:pPr>
      <w:spacing w:before="280" w:after="280"/>
    </w:pPr>
    <w:rPr/>
  </w:style>
  <w:style w:type="paragraph" w:styleId="Default" w:customStyle="1">
    <w:name w:val="Default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Droid Sans Fallback" w:cs="Lohit Devanagari"/>
      <w:color w:val="000000"/>
      <w:kern w:val="0"/>
      <w:sz w:val="24"/>
      <w:szCs w:val="24"/>
      <w:lang w:val="ru-RU" w:eastAsia="zh-CN" w:bidi="ar-SA"/>
    </w:rPr>
  </w:style>
  <w:style w:type="paragraph" w:styleId="Style23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4" w:customStyle="1">
    <w:name w:val="Заголовок таблицы"/>
    <w:basedOn w:val="Style23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styleId="779">
    <w:name w:val="Table Grid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80">
    <w:name w:val="Table Grid Light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81">
    <w:name w:val="Plain Table 1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shd w:val="clear" w:color="FFFFFF" w:fill="F2F2F2" w:themeFill="text1" w:themeFillTint="0"/>
      </w:tcPr>
    </w:tblStylePr>
    <w:tblStylePr w:type="band1Vert">
      <w:tblPr/>
      <w:tcPr>
        <w:shd w:val="clear" w:color="FFFFFF" w:fill="F2F2F2" w:themeFill="text1" w:themeFillTint="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</w:tblStylePr>
  </w:style>
  <w:style w:type="table" w:styleId="782">
    <w:name w:val="Plain Table 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</w:tblStylePr>
  </w:style>
  <w:style w:type="table" w:styleId="783">
    <w:name w:val="Plain Table 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blPr/>
      <w:tcPr>
        <w:shd w:val="clear" w:color="FFFFFF" w:fill="F2F2F2" w:themeFill="text1" w:themeFillTint="0"/>
      </w:tcPr>
    </w:tblStylePr>
    <w:tblStylePr w:type="band1Vert">
      <w:rPr>
        <w:sz w:val="22"/>
      </w:rPr>
      <w:tblPr/>
      <w:tcPr>
        <w:shd w:val="clear" w:color="FFFFFF" w:fill="F2F2F2" w:themeFill="text1" w:themeFillTint="0"/>
      </w:tcPr>
    </w:tblStylePr>
    <w:tblStylePr w:type="firstCol">
      <w:rPr>
        <w:b/>
        <w:caps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</w:rPr>
      <w:tblPr/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</w:rPr>
      <w:tblPr/>
    </w:tblStylePr>
    <w:tblStylePr w:type="lastRow">
      <w:rPr>
        <w:b/>
        <w:caps/>
      </w:rPr>
      <w:tblPr/>
    </w:tblStylePr>
  </w:style>
  <w:style w:type="table" w:styleId="784">
    <w:name w:val="Plain Table 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blPr/>
      <w:tcPr>
        <w:shd w:val="clear" w:color="FFFFFF" w:fill="F2F2F2" w:themeFill="text1" w:themeFillTint="0"/>
      </w:tcPr>
    </w:tblStylePr>
    <w:tblStylePr w:type="band1Vert">
      <w:rPr>
        <w:sz w:val="22"/>
      </w:rPr>
      <w:tblPr/>
      <w:tcPr>
        <w:shd w:val="clear" w:color="FFFFFF" w:fill="F2F2F2" w:themeFill="text1" w:themeFillTint="0"/>
      </w:tcPr>
    </w:tblStylePr>
    <w:tblStylePr w:type="firstCol">
      <w:rPr>
        <w:b/>
      </w:rPr>
      <w:tblPr/>
    </w:tblStylePr>
    <w:tblStylePr w:type="firstRow">
      <w:rPr>
        <w:b/>
      </w:rPr>
      <w:tblPr/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785">
    <w:name w:val="Plain Table 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blPr/>
      <w:tcPr>
        <w:shd w:val="clear" w:color="FFFFFF" w:fill="F2F2F2" w:themeFill="text1" w:themeFillTint="0"/>
      </w:tcPr>
    </w:tblStylePr>
    <w:tblStylePr w:type="band1Vert">
      <w:rPr>
        <w:sz w:val="22"/>
      </w:rPr>
      <w:tblPr/>
      <w:tcPr>
        <w:shd w:val="clear" w:color="FFFFFF" w:fill="F2F2F2" w:themeFill="text1" w:themeFillTint="0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</w:rPr>
      <w:tblPr/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</w:rPr>
      <w:tblPr/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86">
    <w:name w:val="Grid Table 1 Light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787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788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789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790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791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792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793">
    <w:name w:val="Grid Table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  <w:shd w:val="clear" w:color="FFFFFF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4">
    <w:name w:val="Grid Table 2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sz w:val="22"/>
      </w:rPr>
      <w:tblPr/>
      <w:tcPr>
        <w:shd w:val="clear" w:color="FFFFFF" w:fill="DAE5F1" w:themeFill="accent1" w:themeFillTint="34"/>
      </w:tcPr>
    </w:tblStylePr>
    <w:tblStylePr w:type="band1Vert">
      <w:rPr>
        <w:sz w:val="22"/>
      </w:rPr>
      <w:tblPr/>
      <w:tcPr>
        <w:shd w:val="clear" w:color="FFFFFF" w:fill="DAE5F1" w:themeFill="accent1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  <w:shd w:val="clear" w:color="FFFFFF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5">
    <w:name w:val="Grid Table 2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sz w:val="22"/>
      </w:rPr>
      <w:tblPr/>
      <w:tcPr>
        <w:shd w:val="clear" w:color="FFFFFF" w:fill="F2DCDB" w:themeFill="accent2" w:themeFillTint="32"/>
      </w:tcPr>
    </w:tblStylePr>
    <w:tblStylePr w:type="band1Vert">
      <w:rPr>
        <w:sz w:val="22"/>
      </w:rPr>
      <w:tblPr/>
      <w:tcPr>
        <w:shd w:val="clear" w:color="FFFFFF" w:fill="F2DCDB" w:themeFill="accent2" w:themeFillTint="32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  <w:shd w:val="clear" w:color="FFFFFF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6">
    <w:name w:val="Grid Table 2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sz w:val="22"/>
      </w:rPr>
      <w:tblPr/>
      <w:tcPr>
        <w:shd w:val="clear" w:color="FFFFFF" w:fill="EAF0DD" w:themeFill="accent3" w:themeFillTint="34"/>
      </w:tcPr>
    </w:tblStylePr>
    <w:tblStylePr w:type="band1Vert">
      <w:rPr>
        <w:sz w:val="22"/>
      </w:rPr>
      <w:tblPr/>
      <w:tcPr>
        <w:shd w:val="clear" w:color="FFFFFF" w:fill="EAF0DD" w:themeFill="accent3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  <w:shd w:val="clear" w:color="FFFFFF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7">
    <w:name w:val="Grid Table 2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sz w:val="22"/>
      </w:rPr>
      <w:tblPr/>
      <w:tcPr>
        <w:shd w:val="clear" w:color="FFFFFF" w:fill="E5DFEC" w:themeFill="accent4" w:themeFillTint="34"/>
      </w:tcPr>
    </w:tblStylePr>
    <w:tblStylePr w:type="band1Vert">
      <w:rPr>
        <w:sz w:val="22"/>
      </w:rPr>
      <w:tblPr/>
      <w:tcPr>
        <w:shd w:val="clear" w:color="FFFFFF" w:fill="E5DFEC" w:themeFill="accent4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  <w:shd w:val="clear" w:color="FFFFFF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8">
    <w:name w:val="Grid Table 2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sz w:val="22"/>
      </w:rPr>
      <w:tblPr/>
      <w:tcPr>
        <w:shd w:val="clear" w:color="FFFFFF" w:fill="DAEEF3" w:themeFill="accent5" w:themeFillTint="34"/>
      </w:tcPr>
    </w:tblStylePr>
    <w:tblStylePr w:type="band1Vert">
      <w:rPr>
        <w:sz w:val="22"/>
      </w:rPr>
      <w:tblPr/>
      <w:tcPr>
        <w:shd w:val="clear" w:color="FFFFFF" w:fill="DAEEF3" w:themeFill="accent5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99">
    <w:name w:val="Grid Table 2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sz w:val="22"/>
      </w:rPr>
      <w:tblPr/>
      <w:tcPr>
        <w:shd w:val="clear" w:color="FFFFFF" w:fill="FDE9D8" w:themeFill="accent6" w:themeFillTint="34"/>
      </w:tcPr>
    </w:tblStylePr>
    <w:tblStylePr w:type="band1Vert">
      <w:rPr>
        <w:sz w:val="22"/>
      </w:rPr>
      <w:tblPr/>
      <w:tcPr>
        <w:shd w:val="clear" w:color="FFFFFF" w:fill="FDE9D8" w:themeFill="accent6" w:themeFillTint="34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0">
    <w:name w:val="Grid Table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sz w:val="22"/>
      </w:rPr>
      <w:tblPr/>
      <w:tcPr>
        <w:shd w:val="clear" w:color="FFFFFF" w:fill="CBCBCB" w:themeFill="text1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1">
    <w:name w:val="Grid Table 3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sz w:val="22"/>
      </w:rPr>
      <w:tblPr/>
      <w:tcPr>
        <w:shd w:val="clear" w:color="FFFFFF" w:fill="DAE5F1" w:themeFill="accent1" w:themeFillTint="34"/>
      </w:tcPr>
    </w:tblStylePr>
    <w:tblStylePr w:type="band1Vert">
      <w:rPr>
        <w:sz w:val="22"/>
      </w:rPr>
      <w:tblPr/>
      <w:tcPr>
        <w:shd w:val="clear" w:color="FFFFFF" w:fill="DAE5F1" w:themeFill="accent1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2">
    <w:name w:val="Grid Table 3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sz w:val="22"/>
      </w:rPr>
      <w:tblPr/>
      <w:tcPr>
        <w:shd w:val="clear" w:color="FFFFFF" w:fill="F2DCDB" w:themeFill="accent2" w:themeFillTint="32"/>
      </w:tcPr>
    </w:tblStylePr>
    <w:tblStylePr w:type="band1Vert">
      <w:rPr>
        <w:sz w:val="22"/>
      </w:rPr>
      <w:tblPr/>
      <w:tcPr>
        <w:shd w:val="clear" w:color="FFFFFF" w:fill="F2DCDB" w:themeFill="accent2" w:themeFillTint="32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3">
    <w:name w:val="Grid Table 3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sz w:val="22"/>
      </w:rPr>
      <w:tblPr/>
      <w:tcPr>
        <w:shd w:val="clear" w:color="FFFFFF" w:fill="EAF0DD" w:themeFill="accent3" w:themeFillTint="34"/>
      </w:tcPr>
    </w:tblStylePr>
    <w:tblStylePr w:type="band1Vert">
      <w:rPr>
        <w:sz w:val="22"/>
      </w:rPr>
      <w:tblPr/>
      <w:tcPr>
        <w:shd w:val="clear" w:color="FFFFFF" w:fill="EAF0DD" w:themeFill="accent3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4">
    <w:name w:val="Grid Table 3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sz w:val="22"/>
      </w:rPr>
      <w:tblPr/>
      <w:tcPr>
        <w:shd w:val="clear" w:color="FFFFFF" w:fill="E5DFEC" w:themeFill="accent4" w:themeFillTint="34"/>
      </w:tcPr>
    </w:tblStylePr>
    <w:tblStylePr w:type="band1Vert">
      <w:rPr>
        <w:sz w:val="22"/>
      </w:rPr>
      <w:tblPr/>
      <w:tcPr>
        <w:shd w:val="clear" w:color="FFFFFF" w:fill="E5DFEC" w:themeFill="accent4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5">
    <w:name w:val="Grid Table 3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sz w:val="22"/>
      </w:rPr>
      <w:tblPr/>
      <w:tcPr>
        <w:shd w:val="clear" w:color="FFFFFF" w:fill="DAEEF3" w:themeFill="accent5" w:themeFillTint="34"/>
      </w:tcPr>
    </w:tblStylePr>
    <w:tblStylePr w:type="band1Vert">
      <w:rPr>
        <w:sz w:val="22"/>
      </w:rPr>
      <w:tblPr/>
      <w:tcPr>
        <w:shd w:val="clear" w:color="FFFFFF" w:fill="DAEEF3" w:themeFill="accent5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6">
    <w:name w:val="Grid Table 3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sz w:val="22"/>
      </w:rPr>
      <w:tblPr/>
      <w:tcPr>
        <w:shd w:val="clear" w:color="FFFFFF" w:fill="FDE9D8" w:themeFill="accent6" w:themeFillTint="34"/>
      </w:tcPr>
    </w:tblStylePr>
    <w:tblStylePr w:type="band1Vert">
      <w:rPr>
        <w:sz w:val="22"/>
      </w:rPr>
      <w:tblPr/>
      <w:tcPr>
        <w:shd w:val="clear" w:color="FFFFFF" w:fill="FDE9D8" w:themeFill="accent6" w:themeFillTint="34"/>
      </w:tcPr>
    </w:tblStylePr>
    <w:tblStylePr w:type="firstCol">
      <w:pPr>
        <w:jc w:val="right"/>
      </w:pPr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807">
    <w:name w:val="Grid Table 4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 w:themeFill="text1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</w:style>
  <w:style w:type="table" w:styleId="808">
    <w:name w:val="Grid Table 4 - Accent 1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sz w:val="22"/>
      </w:rPr>
      <w:tblPr/>
      <w:tcPr>
        <w:shd w:val="clear" w:color="FFFFFF" w:fill="DCE6F1" w:themeFill="accent1" w:themeFillTint="32"/>
      </w:tcPr>
    </w:tblStylePr>
    <w:tblStylePr w:type="band1Vert">
      <w:rPr>
        <w:sz w:val="22"/>
      </w:rPr>
      <w:tblPr/>
      <w:tcPr>
        <w:shd w:val="clear" w:color="FFFFFF" w:fill="DCE6F1" w:themeFill="accent1" w:themeFillTint="32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  <w:shd w:val="clear" w:color="FFFFFF" w:fill="5D8DC2" w:themeFill="accent1" w:themeFillTint="ea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1" w:sz="4" w:space="0"/>
        </w:tcBorders>
      </w:tcPr>
    </w:tblStylePr>
  </w:style>
  <w:style w:type="table" w:styleId="809">
    <w:name w:val="Grid Table 4 - Accent 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sz w:val="22"/>
      </w:rPr>
      <w:tblPr/>
      <w:tcPr>
        <w:shd w:val="clear" w:color="FFFFFF" w:fill="F2DCDB" w:themeFill="accent2" w:themeFillTint="32"/>
      </w:tcPr>
    </w:tblStylePr>
    <w:tblStylePr w:type="band1Vert">
      <w:rPr>
        <w:sz w:val="22"/>
      </w:rPr>
      <w:tblPr/>
      <w:tcPr>
        <w:shd w:val="clear" w:color="FFFFFF" w:fill="F2DCDB" w:themeFill="accent2" w:themeFillTint="32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  <w:shd w:val="clear" w:color="FFFFFF" w:fill="D99694" w:themeFill="accent2" w:themeFillTint="97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2" w:sz="4" w:space="0"/>
        </w:tcBorders>
      </w:tcPr>
    </w:tblStylePr>
  </w:style>
  <w:style w:type="table" w:styleId="810">
    <w:name w:val="Grid Table 4 - Accent 3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sz w:val="22"/>
      </w:rPr>
      <w:tblPr/>
      <w:tcPr>
        <w:shd w:val="clear" w:color="FFFFFF" w:fill="EAF0DD" w:themeFill="accent3" w:themeFillTint="34"/>
      </w:tcPr>
    </w:tblStylePr>
    <w:tblStylePr w:type="band1Vert">
      <w:rPr>
        <w:sz w:val="22"/>
      </w:rPr>
      <w:tblPr/>
      <w:tcPr>
        <w:shd w:val="clear" w:color="FFFFFF" w:fill="EAF0DD" w:themeFill="accent3" w:themeFillTint="34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  <w:shd w:val="clear" w:color="FFFFFF" w:fill="9BBA59" w:themeFill="accent3" w:themeFillTint="fe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3" w:sz="4" w:space="0"/>
        </w:tcBorders>
      </w:tcPr>
    </w:tblStylePr>
  </w:style>
  <w:style w:type="table" w:styleId="811">
    <w:name w:val="Grid Table 4 - Accent 4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sz w:val="22"/>
      </w:rPr>
      <w:tblPr/>
      <w:tcPr>
        <w:shd w:val="clear" w:color="FFFFFF" w:fill="E5DFEC" w:themeFill="accent4" w:themeFillTint="34"/>
      </w:tcPr>
    </w:tblStylePr>
    <w:tblStylePr w:type="band1Vert">
      <w:rPr>
        <w:sz w:val="22"/>
      </w:rPr>
      <w:tblPr/>
      <w:tcPr>
        <w:shd w:val="clear" w:color="FFFFFF" w:fill="E5DFEC" w:themeFill="accent4" w:themeFillTint="34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  <w:shd w:val="clear" w:color="FFFFFF" w:fill="B2A1C6" w:themeFill="accent4" w:themeFillTint="9a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4" w:sz="4" w:space="0"/>
        </w:tcBorders>
      </w:tcPr>
    </w:tblStylePr>
  </w:style>
  <w:style w:type="table" w:styleId="812">
    <w:name w:val="Grid Table 4 - Accent 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sz w:val="22"/>
      </w:rPr>
      <w:tblPr/>
      <w:tcPr>
        <w:shd w:val="clear" w:color="FFFFFF" w:fill="DAEEF3" w:themeFill="accent5" w:themeFillTint="34"/>
      </w:tcPr>
    </w:tblStylePr>
    <w:tblStylePr w:type="band1Vert">
      <w:rPr>
        <w:sz w:val="22"/>
      </w:rPr>
      <w:tblPr/>
      <w:tcPr>
        <w:shd w:val="clear" w:color="FFFFFF" w:fill="DAEEF3" w:themeFill="accent5" w:themeFillTint="34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fill="4BACC6" w:themeFill="accent5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5" w:sz="4" w:space="0"/>
        </w:tcBorders>
      </w:tcPr>
    </w:tblStylePr>
  </w:style>
  <w:style w:type="table" w:styleId="813">
    <w:name w:val="Grid Table 4 - Accent 6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sz w:val="22"/>
      </w:rPr>
      <w:tblPr/>
      <w:tcPr>
        <w:shd w:val="clear" w:color="FFFFFF" w:fill="FDE9D8" w:themeFill="accent6" w:themeFillTint="34"/>
      </w:tcPr>
    </w:tblStylePr>
    <w:tblStylePr w:type="band1Vert">
      <w:rPr>
        <w:sz w:val="22"/>
      </w:rPr>
      <w:tblPr/>
      <w:tcPr>
        <w:shd w:val="clear" w:color="FFFFFF" w:fill="FDE9D8" w:themeFill="accent6" w:themeFillTint="34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fill="F79646" w:themeFill="accent6"/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6" w:sz="4" w:space="0"/>
        </w:tcBorders>
      </w:tcPr>
    </w:tblStylePr>
  </w:style>
  <w:style w:type="table" w:styleId="814">
    <w:name w:val="Grid Table 5 Dark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8A8A8A" w:themeFill="text1" w:themeFillTint="75"/>
      </w:tcPr>
    </w:tblStylePr>
    <w:tblStylePr w:type="band1Vert">
      <w:tblPr/>
      <w:tcPr>
        <w:shd w:val="clear" w:color="FFFFFF" w:fill="8A8A8A" w:themeFill="text1" w:themeFillTint="75"/>
      </w:tcPr>
    </w:tblStylePr>
    <w:tblStylePr w:type="firstCol">
      <w:rPr>
        <w:b/>
        <w:sz w:val="22"/>
      </w:rPr>
      <w:tblPr/>
      <w:tcPr>
        <w:shd w:val="clear" w:color="FFFFFF" w:fill="000000" w:themeFill="text1"/>
      </w:tcPr>
    </w:tblStylePr>
    <w:tblStylePr w:type="firstRow">
      <w:rPr>
        <w:b/>
        <w:sz w:val="22"/>
      </w:rPr>
      <w:tblPr/>
      <w:tcPr>
        <w:shd w:val="clear" w:color="FFFFFF" w:fill="000000" w:themeFill="text1"/>
      </w:tcPr>
    </w:tblStylePr>
    <w:tblStylePr w:type="lastCol">
      <w:rPr>
        <w:b/>
        <w:sz w:val="22"/>
      </w:rPr>
      <w:tblPr/>
      <w:tcPr>
        <w:shd w:val="clear" w:color="FFFFFF" w:fill="000000" w:themeFill="text1"/>
      </w:tcPr>
    </w:tblStylePr>
    <w:tblStylePr w:type="lastRow"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000000" w:themeFill="text1"/>
      </w:tcPr>
    </w:tblStylePr>
  </w:style>
  <w:style w:type="table" w:styleId="815">
    <w:name w:val="Grid Table 5 Dark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ADC5E0" w:themeFill="accent1" w:themeFillTint="75"/>
      </w:tcPr>
    </w:tblStylePr>
    <w:tblStylePr w:type="band1Vert">
      <w:tblPr/>
      <w:tcPr>
        <w:shd w:val="clear" w:color="FFFFFF" w:fill="ADC5E0" w:themeFill="accent1" w:themeFillTint="75"/>
      </w:tcPr>
    </w:tblStylePr>
    <w:tblStylePr w:type="firstCol">
      <w:rPr>
        <w:b/>
        <w:sz w:val="22"/>
      </w:rPr>
      <w:tblPr/>
      <w:tcPr>
        <w:shd w:val="clear" w:color="FFFFFF" w:fill="4F81BD" w:themeFill="accent1"/>
      </w:tcPr>
    </w:tblStylePr>
    <w:tblStylePr w:type="firstRow">
      <w:rPr>
        <w:b/>
        <w:sz w:val="22"/>
      </w:rPr>
      <w:tblPr/>
      <w:tcPr>
        <w:shd w:val="clear" w:color="FFFFFF" w:fill="4F81BD" w:themeFill="accent1"/>
      </w:tcPr>
    </w:tblStylePr>
    <w:tblStylePr w:type="lastCol">
      <w:rPr>
        <w:b/>
        <w:sz w:val="22"/>
      </w:rPr>
      <w:tblPr/>
      <w:tcPr>
        <w:shd w:val="clear" w:color="FFFFFF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4F81BD" w:themeFill="accent1"/>
      </w:tcPr>
    </w:tblStylePr>
  </w:style>
  <w:style w:type="table" w:styleId="816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E1ADAC" w:themeFill="accent2" w:themeFillTint="75"/>
      </w:tcPr>
    </w:tblStylePr>
    <w:tblStylePr w:type="band1Vert">
      <w:tblPr/>
      <w:tcPr>
        <w:shd w:val="clear" w:color="FFFFFF" w:fill="E1ADAC" w:themeFill="accent2" w:themeFillTint="75"/>
      </w:tcPr>
    </w:tblStylePr>
    <w:tblStylePr w:type="firstCol">
      <w:rPr>
        <w:b/>
        <w:sz w:val="22"/>
      </w:rPr>
      <w:tblPr/>
      <w:tcPr>
        <w:shd w:val="clear" w:color="FFFFFF" w:fill="C0504D" w:themeFill="accent2"/>
      </w:tcPr>
    </w:tblStylePr>
    <w:tblStylePr w:type="firstRow">
      <w:rPr>
        <w:b/>
        <w:sz w:val="22"/>
      </w:rPr>
      <w:tblPr/>
      <w:tcPr>
        <w:shd w:val="clear" w:color="FFFFFF" w:fill="C0504D" w:themeFill="accent2"/>
      </w:tcPr>
    </w:tblStylePr>
    <w:tblStylePr w:type="lastCol">
      <w:rPr>
        <w:b/>
        <w:sz w:val="22"/>
      </w:rPr>
      <w:tblPr/>
      <w:tcPr>
        <w:shd w:val="clear" w:color="FFFFFF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C0504D" w:themeFill="accent2"/>
      </w:tcPr>
    </w:tblStylePr>
  </w:style>
  <w:style w:type="table" w:styleId="817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D1DFB2" w:themeFill="accent3" w:themeFillTint="75"/>
      </w:tcPr>
    </w:tblStylePr>
    <w:tblStylePr w:type="band1Vert">
      <w:tblPr/>
      <w:tcPr>
        <w:shd w:val="clear" w:color="FFFFFF" w:fill="D1DFB2" w:themeFill="accent3" w:themeFillTint="75"/>
      </w:tcPr>
    </w:tblStylePr>
    <w:tblStylePr w:type="firstCol">
      <w:rPr>
        <w:b/>
        <w:sz w:val="22"/>
      </w:rPr>
      <w:tblPr/>
      <w:tcPr>
        <w:shd w:val="clear" w:color="FFFFFF" w:fill="9BBB59" w:themeFill="accent3"/>
      </w:tcPr>
    </w:tblStylePr>
    <w:tblStylePr w:type="firstRow">
      <w:rPr>
        <w:b/>
        <w:sz w:val="22"/>
      </w:rPr>
      <w:tblPr/>
      <w:tcPr>
        <w:shd w:val="clear" w:color="FFFFFF" w:fill="9BBB59" w:themeFill="accent3"/>
      </w:tcPr>
    </w:tblStylePr>
    <w:tblStylePr w:type="lastCol">
      <w:rPr>
        <w:b/>
        <w:sz w:val="22"/>
      </w:rPr>
      <w:tblPr/>
      <w:tcPr>
        <w:shd w:val="clear" w:color="FFFFFF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9BBB59" w:themeFill="accent3"/>
      </w:tcPr>
    </w:tblStylePr>
  </w:style>
  <w:style w:type="table" w:styleId="818">
    <w:name w:val="Grid Table 5 Dark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C4B7D4" w:themeFill="accent4" w:themeFillTint="75"/>
      </w:tcPr>
    </w:tblStylePr>
    <w:tblStylePr w:type="band1Vert">
      <w:tblPr/>
      <w:tcPr>
        <w:shd w:val="clear" w:color="FFFFFF" w:fill="C4B7D4" w:themeFill="accent4" w:themeFillTint="75"/>
      </w:tcPr>
    </w:tblStylePr>
    <w:tblStylePr w:type="firstCol">
      <w:rPr>
        <w:b/>
        <w:sz w:val="22"/>
      </w:rPr>
      <w:tblPr/>
      <w:tcPr>
        <w:shd w:val="clear" w:color="FFFFFF" w:fill="8064A2" w:themeFill="accent4"/>
      </w:tcPr>
    </w:tblStylePr>
    <w:tblStylePr w:type="firstRow">
      <w:rPr>
        <w:b/>
        <w:sz w:val="22"/>
      </w:rPr>
      <w:tblPr/>
      <w:tcPr>
        <w:shd w:val="clear" w:color="FFFFFF" w:fill="8064A2" w:themeFill="accent4"/>
      </w:tcPr>
    </w:tblStylePr>
    <w:tblStylePr w:type="lastCol">
      <w:rPr>
        <w:b/>
        <w:sz w:val="22"/>
      </w:rPr>
      <w:tblPr/>
      <w:tcPr>
        <w:shd w:val="clear" w:color="FFFFFF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8064A2" w:themeFill="accent4"/>
      </w:tcPr>
    </w:tblStylePr>
  </w:style>
  <w:style w:type="table" w:styleId="819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ABD9E4" w:themeFill="accent5" w:themeFillTint="75"/>
      </w:tcPr>
    </w:tblStylePr>
    <w:tblStylePr w:type="band1Vert">
      <w:tblPr/>
      <w:tcPr>
        <w:shd w:val="clear" w:color="FFFFFF" w:fill="ABD9E4" w:themeFill="accent5" w:themeFillTint="75"/>
      </w:tcPr>
    </w:tblStylePr>
    <w:tblStylePr w:type="firstCol">
      <w:rPr>
        <w:b/>
        <w:sz w:val="22"/>
      </w:rPr>
      <w:tblPr/>
      <w:tcPr>
        <w:shd w:val="clear" w:color="FFFFFF" w:fill="4BACC6" w:themeFill="accent5"/>
      </w:tcPr>
    </w:tblStylePr>
    <w:tblStylePr w:type="firstRow">
      <w:rPr>
        <w:b/>
        <w:sz w:val="22"/>
      </w:rPr>
      <w:tblPr/>
      <w:tcPr>
        <w:shd w:val="clear" w:color="FFFFFF" w:fill="4BACC6" w:themeFill="accent5"/>
      </w:tcPr>
    </w:tblStylePr>
    <w:tblStylePr w:type="lastCol">
      <w:rPr>
        <w:b/>
        <w:sz w:val="22"/>
      </w:rPr>
      <w:tblPr/>
      <w:tcPr>
        <w:shd w:val="clear" w:color="FFFFFF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4BACC6" w:themeFill="accent5"/>
      </w:tcPr>
    </w:tblStylePr>
  </w:style>
  <w:style w:type="table" w:styleId="820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BCDA8" w:themeFill="accent6" w:themeFillTint="75"/>
      </w:tcPr>
    </w:tblStylePr>
    <w:tblStylePr w:type="band1Vert">
      <w:tblPr/>
      <w:tcPr>
        <w:shd w:val="clear" w:color="FFFFFF" w:fill="FBCDA8" w:themeFill="accent6" w:themeFillTint="75"/>
      </w:tcPr>
    </w:tblStylePr>
    <w:tblStylePr w:type="firstCol">
      <w:rPr>
        <w:b/>
        <w:sz w:val="22"/>
      </w:rPr>
      <w:tblPr/>
      <w:tcPr>
        <w:shd w:val="clear" w:color="FFFFFF" w:fill="F79646" w:themeFill="accent6"/>
      </w:tcPr>
    </w:tblStylePr>
    <w:tblStylePr w:type="firstRow">
      <w:rPr>
        <w:b/>
        <w:sz w:val="22"/>
      </w:rPr>
      <w:tblPr/>
      <w:tcPr>
        <w:shd w:val="clear" w:color="FFFFFF" w:fill="F79646" w:themeFill="accent6"/>
      </w:tcPr>
    </w:tblStylePr>
    <w:tblStylePr w:type="lastCol">
      <w:rPr>
        <w:b/>
        <w:sz w:val="22"/>
      </w:rPr>
      <w:tblPr/>
      <w:tcPr>
        <w:shd w:val="clear" w:color="FFFFFF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000000" w:themeColor="light1" w:sz="4" w:space="0"/>
        </w:tcBorders>
        <w:shd w:val="clear" w:color="FFFFFF" w:fill="F79646" w:themeFill="accent6"/>
      </w:tcPr>
    </w:tblStylePr>
  </w:style>
  <w:style w:type="table" w:styleId="821">
    <w:name w:val="Grid Table 6 Colorful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1Vert">
      <w:tblPr/>
      <w:tcPr>
        <w:shd w:val="clear" w:color="FFFFFF" w:fill="CBCBCB" w:themeFill="text1" w:themeFillTint="34"/>
      </w:tcPr>
    </w:tblStylePr>
    <w:tblStylePr w:type="band2Horz">
      <w:rPr>
        <w:color w:themeColor="text1" w:themeTint="80" w:themeShade="95"/>
        <w:sz w:val="22"/>
      </w:rPr>
      <w:tblPr/>
    </w:tblStylePr>
    <w:tblStylePr w:type="firstCol">
      <w:rPr>
        <w:b/>
        <w:color w:themeColor="text1" w:themeTint="80" w:themeShade="95"/>
      </w:rPr>
      <w:tblPr/>
    </w:tblStylePr>
    <w:tblStylePr w:type="firstRow">
      <w:rPr>
        <w:b/>
        <w:color w:themeColor="text1" w:themeTint="80" w:themeShade="95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themeColor="text1" w:themeTint="80" w:themeShade="95"/>
      </w:rPr>
      <w:tblPr/>
    </w:tblStylePr>
    <w:tblStylePr w:type="lastRow">
      <w:rPr>
        <w:b/>
        <w:color w:themeColor="text1" w:themeTint="80" w:themeShade="95"/>
      </w:rPr>
      <w:tblPr/>
    </w:tblStylePr>
    <w:tblStylePr w:type="wholeTable">
      <w:rPr>
        <w:color w:themeColor="text1" w:themeTint="80" w:themeShade="95"/>
        <w:sz w:val="22"/>
      </w:rPr>
      <w:tblPr/>
    </w:tblStylePr>
  </w:style>
  <w:style w:type="table" w:styleId="822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2Horz">
      <w:rPr>
        <w:color w:themeColor="accent1" w:themeTint="80" w:themeShade="95"/>
        <w:sz w:val="22"/>
      </w:rPr>
      <w:tblPr/>
    </w:tblStylePr>
    <w:tblStylePr w:type="firstCol">
      <w:rPr>
        <w:b/>
        <w:color w:themeColor="accent1" w:themeTint="80" w:themeShade="95"/>
      </w:rPr>
      <w:tblPr/>
    </w:tblStylePr>
    <w:tblStylePr w:type="firstRow">
      <w:rPr>
        <w:b/>
        <w:color w:themeColor="accent1" w:themeTint="80" w:themeShade="95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themeColor="accent1" w:themeTint="80" w:themeShade="95"/>
      </w:rPr>
      <w:tblPr/>
    </w:tblStylePr>
    <w:tblStylePr w:type="lastRow">
      <w:rPr>
        <w:b/>
        <w:color w:themeColor="accent1" w:themeTint="80" w:themeShade="95"/>
      </w:rPr>
      <w:tblPr/>
    </w:tblStylePr>
    <w:tblStylePr w:type="wholeTable">
      <w:rPr>
        <w:color w:themeColor="accent1" w:themeTint="80" w:themeShade="95"/>
        <w:sz w:val="22"/>
      </w:rPr>
      <w:tblPr/>
    </w:tblStylePr>
  </w:style>
  <w:style w:type="table" w:styleId="823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themeColor="accent2" w:themeTint="97" w:themeShade="95"/>
        <w:sz w:val="22"/>
      </w:rPr>
      <w:tblPr/>
      <w:tcPr>
        <w:shd w:val="clear" w:color="FFFFFF" w:fill="F2DCDB" w:themeFill="accent2" w:themeFillTint="32"/>
      </w:tcPr>
    </w:tblStylePr>
    <w:tblStylePr w:type="band1Vert">
      <w:tblPr/>
      <w:tcPr>
        <w:shd w:val="clear" w:color="FFFFFF" w:fill="F2DCDB" w:themeFill="accent2" w:themeFillTint="32"/>
      </w:tcPr>
    </w:tblStylePr>
    <w:tblStylePr w:type="band2Horz">
      <w:rPr>
        <w:color w:themeColor="accent2" w:themeTint="97" w:themeShade="95"/>
        <w:sz w:val="22"/>
      </w:rPr>
      <w:tblPr/>
    </w:tblStylePr>
    <w:tblStylePr w:type="firstCol">
      <w:rPr>
        <w:b/>
        <w:color w:themeColor="accent2" w:themeTint="97" w:themeShade="95"/>
      </w:rPr>
      <w:tblPr/>
    </w:tblStylePr>
    <w:tblStylePr w:type="firstRow">
      <w:rPr>
        <w:b/>
        <w:color w:themeColor="accent2" w:themeTint="97" w:themeShade="95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themeColor="accent2" w:themeTint="97" w:themeShade="95"/>
      </w:rPr>
      <w:tblPr/>
    </w:tblStylePr>
    <w:tblStylePr w:type="lastRow">
      <w:rPr>
        <w:b/>
        <w:color w:themeColor="accent2" w:themeTint="97" w:themeShade="95"/>
      </w:rPr>
      <w:tblPr/>
    </w:tblStylePr>
    <w:tblStylePr w:type="wholeTable">
      <w:rPr>
        <w:color w:themeColor="accent2" w:themeTint="97" w:themeShade="95"/>
        <w:sz w:val="22"/>
      </w:rPr>
      <w:tblPr/>
    </w:tblStylePr>
  </w:style>
  <w:style w:type="table" w:styleId="824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themeColor="accent3" w:themeTint="fe" w:themeShade="95"/>
        <w:sz w:val="22"/>
      </w:rPr>
      <w:tblPr/>
      <w:tcPr>
        <w:shd w:val="clear" w:color="FFFFFF" w:fill="EAF0DD" w:themeFill="accent3" w:themeFillTint="34"/>
      </w:tcPr>
    </w:tblStylePr>
    <w:tblStylePr w:type="band1Vert">
      <w:tblPr/>
      <w:tcPr>
        <w:shd w:val="clear" w:color="FFFFFF" w:fill="EAF0DD" w:themeFill="accent3" w:themeFillTint="34"/>
      </w:tcPr>
    </w:tblStylePr>
    <w:tblStylePr w:type="band2Horz">
      <w:rPr>
        <w:color w:themeColor="accent3" w:themeTint="fe" w:themeShade="95"/>
        <w:sz w:val="22"/>
      </w:rPr>
      <w:tblPr/>
    </w:tblStylePr>
    <w:tblStylePr w:type="firstCol">
      <w:rPr>
        <w:b/>
        <w:color w:themeColor="accent3" w:themeTint="fe" w:themeShade="95"/>
      </w:rPr>
      <w:tblPr/>
    </w:tblStylePr>
    <w:tblStylePr w:type="firstRow">
      <w:rPr>
        <w:b/>
        <w:color w:themeColor="accent3" w:themeTint="fe" w:themeShade="95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themeColor="accent3" w:themeTint="fe" w:themeShade="95"/>
      </w:rPr>
      <w:tblPr/>
    </w:tblStylePr>
    <w:tblStylePr w:type="lastRow">
      <w:rPr>
        <w:b/>
        <w:color w:themeColor="accent3" w:themeTint="fe" w:themeShade="95"/>
      </w:rPr>
      <w:tblPr/>
    </w:tblStylePr>
    <w:tblStylePr w:type="wholeTable">
      <w:rPr>
        <w:color w:themeColor="accent3" w:themeTint="fe" w:themeShade="95"/>
        <w:sz w:val="22"/>
      </w:rPr>
      <w:tblPr/>
    </w:tblStylePr>
  </w:style>
  <w:style w:type="table" w:styleId="825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2Horz">
      <w:rPr>
        <w:color w:themeColor="accent4" w:themeTint="9a" w:themeShade="95"/>
        <w:sz w:val="22"/>
      </w:rPr>
      <w:tblPr/>
    </w:tblStylePr>
    <w:tblStylePr w:type="firstCol">
      <w:rPr>
        <w:b/>
        <w:color w:themeColor="accent4" w:themeTint="9a" w:themeShade="95"/>
      </w:rPr>
      <w:tblPr/>
    </w:tblStylePr>
    <w:tblStylePr w:type="firstRow">
      <w:rPr>
        <w:b/>
        <w:color w:themeColor="accent4" w:themeTint="9a" w:themeShade="95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themeColor="accent4" w:themeTint="9a" w:themeShade="95"/>
      </w:rPr>
      <w:tblPr/>
    </w:tblStylePr>
    <w:tblStylePr w:type="lastRow">
      <w:rPr>
        <w:b/>
        <w:color w:themeColor="accent4" w:themeTint="9a" w:themeShade="95"/>
      </w:rPr>
      <w:tblPr/>
    </w:tblStylePr>
    <w:tblStylePr w:type="wholeTable">
      <w:rPr>
        <w:color w:themeColor="accent4" w:themeTint="9a" w:themeShade="95"/>
        <w:sz w:val="22"/>
      </w:rPr>
      <w:tblPr/>
    </w:tblStylePr>
  </w:style>
  <w:style w:type="table" w:styleId="826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2Horz">
      <w:rPr>
        <w:color w:themeColor="accent5" w:themeShade="95"/>
        <w:sz w:val="22"/>
      </w:rPr>
      <w:tblPr/>
    </w:tblStylePr>
    <w:tblStylePr w:type="firstCol">
      <w:rPr>
        <w:b/>
        <w:color w:themeColor="accent5" w:themeShade="95"/>
      </w:rPr>
      <w:tblPr/>
    </w:tblStylePr>
    <w:tblStylePr w:type="firstRow">
      <w:rPr>
        <w:b/>
        <w:color w:themeColor="accent5" w:themeShade="95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themeColor="accent5" w:themeShade="95"/>
      </w:rPr>
      <w:tblPr/>
    </w:tblStylePr>
    <w:tblStylePr w:type="lastRow">
      <w:rPr>
        <w:b/>
        <w:color w:themeColor="accent5" w:themeShade="95"/>
      </w:rPr>
      <w:tblPr/>
    </w:tblStylePr>
    <w:tblStylePr w:type="wholeTable">
      <w:rPr>
        <w:color w:themeColor="accent5" w:themeShade="95"/>
        <w:sz w:val="22"/>
      </w:rPr>
      <w:tblPr/>
    </w:tblStylePr>
  </w:style>
  <w:style w:type="table" w:styleId="827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2Horz">
      <w:rPr>
        <w:color w:themeColor="accent5" w:themeShade="95"/>
        <w:sz w:val="22"/>
      </w:rPr>
      <w:tblPr/>
    </w:tblStylePr>
    <w:tblStylePr w:type="firstCol">
      <w:rPr>
        <w:b/>
        <w:color w:themeColor="accent5" w:themeShade="95"/>
      </w:rPr>
      <w:tblPr/>
    </w:tblStylePr>
    <w:tblStylePr w:type="firstRow">
      <w:rPr>
        <w:b/>
        <w:color w:themeColor="accent5" w:themeShade="95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themeColor="accent5" w:themeShade="95"/>
      </w:rPr>
      <w:tblPr/>
    </w:tblStylePr>
    <w:tblStylePr w:type="lastRow">
      <w:rPr>
        <w:b/>
        <w:color w:themeColor="accent5" w:themeShade="95"/>
      </w:rPr>
      <w:tblPr/>
    </w:tblStylePr>
    <w:tblStylePr w:type="wholeTable">
      <w:rPr>
        <w:color w:themeColor="accent5" w:themeShade="95"/>
        <w:sz w:val="22"/>
      </w:rPr>
      <w:tblPr/>
    </w:tblStylePr>
  </w:style>
  <w:style w:type="table" w:styleId="828">
    <w:name w:val="Grid Table 7 Colorful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themeColor="text1" w:themeTint="80" w:themeShade="95"/>
        <w:sz w:val="22"/>
      </w:rPr>
      <w:tblPr/>
      <w:tcPr>
        <w:shd w:val="clear" w:color="FFFFFF" w:fill="F2F2F2" w:themeFill="text1" w:themeFillTint="0"/>
      </w:tcPr>
    </w:tblStylePr>
    <w:tblStylePr w:type="band1Vert">
      <w:tblPr/>
      <w:tcPr>
        <w:shd w:val="clear" w:color="FFFFFF" w:fill="F2F2F2" w:themeFill="text1" w:themeFillTint="0"/>
      </w:tcPr>
    </w:tblStylePr>
    <w:tblStylePr w:type="band2Horz">
      <w:rPr>
        <w:color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  <w:shd w:val="clear" w:color="FFFFFF"/>
      </w:tcPr>
    </w:tblStylePr>
    <w:tblStylePr w:type="firstRow">
      <w:rPr>
        <w:b/>
        <w:color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text1" w:themeTint="80" w:themeShade="95"/>
        <w:sz w:val="22"/>
      </w:rPr>
      <w:tblPr/>
      <w:tcPr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themeColor="text1" w:themeTint="80" w:themeShade="95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29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2Horz">
      <w:rPr>
        <w:color w:themeColor="accent1" w:themeTint="80" w:themeShade="95"/>
        <w:sz w:val="22"/>
      </w:rPr>
      <w:tblPr/>
    </w:tblStylePr>
    <w:tblStylePr w:type="firstCol">
      <w:pPr>
        <w:jc w:val="right"/>
      </w:pPr>
      <w:rPr>
        <w:i/>
        <w:color w:themeColor="accen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b/>
        <w:color w:themeColor="accen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1" w:themeTint="80" w:themeShade="95"/>
        <w:sz w:val="22"/>
      </w:rPr>
      <w:tblPr/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themeColor="accent1" w:themeTint="80" w:themeShade="95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30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themeColor="accent2" w:themeTint="97" w:themeShade="95"/>
        <w:sz w:val="22"/>
      </w:rPr>
      <w:tblPr/>
      <w:tcPr>
        <w:shd w:val="clear" w:color="FFFFFF" w:fill="F2DCDB" w:themeFill="accent2" w:themeFillTint="32"/>
      </w:tcPr>
    </w:tblStylePr>
    <w:tblStylePr w:type="band1Vert">
      <w:tblPr/>
      <w:tcPr>
        <w:shd w:val="clear" w:color="FFFFFF" w:fill="F2DCDB" w:themeFill="accent2" w:themeFillTint="32"/>
      </w:tcPr>
    </w:tblStylePr>
    <w:tblStylePr w:type="band2Horz">
      <w:rPr>
        <w:color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  <w:shd w:val="clear" w:color="FFFFFF"/>
      </w:tcPr>
    </w:tblStylePr>
    <w:tblStylePr w:type="firstRow">
      <w:rPr>
        <w:b/>
        <w:color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2" w:themeTint="97" w:themeShade="95"/>
        <w:sz w:val="22"/>
      </w:rPr>
      <w:tblPr/>
      <w:tcPr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31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themeColor="accent3" w:themeTint="fe" w:themeShade="95"/>
        <w:sz w:val="22"/>
      </w:rPr>
      <w:tblPr/>
      <w:tcPr>
        <w:shd w:val="clear" w:color="FFFFFF" w:fill="EAF0DD" w:themeFill="accent3" w:themeFillTint="34"/>
      </w:tcPr>
    </w:tblStylePr>
    <w:tblStylePr w:type="band1Vert">
      <w:tblPr/>
      <w:tcPr>
        <w:shd w:val="clear" w:color="FFFFFF" w:fill="EAF0DD" w:themeFill="accent3" w:themeFillTint="34"/>
      </w:tcPr>
    </w:tblStylePr>
    <w:tblStylePr w:type="band2Horz">
      <w:rPr>
        <w:color w:themeColor="accent3" w:themeTint="fe" w:themeShade="95"/>
        <w:sz w:val="22"/>
      </w:rPr>
      <w:tblPr/>
    </w:tblStylePr>
    <w:tblStylePr w:type="firstCol">
      <w:pPr>
        <w:jc w:val="right"/>
      </w:pPr>
      <w:rPr>
        <w:i/>
        <w:color w:themeColor="accent3" w:themeTint="fe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  <w:shd w:val="clear" w:color="FFFFFF"/>
      </w:tcPr>
    </w:tblStylePr>
    <w:tblStylePr w:type="firstRow">
      <w:rPr>
        <w:b/>
        <w:color w:themeColor="accent3" w:themeTint="fe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3" w:themeTint="fe" w:themeShade="95"/>
        <w:sz w:val="22"/>
      </w:rPr>
      <w:tblPr/>
      <w:tcPr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themeColor="accent3" w:themeTint="fe" w:themeShade="95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32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2Horz">
      <w:rPr>
        <w:color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  <w:shd w:val="clear" w:color="FFFFFF"/>
      </w:tcPr>
    </w:tblStylePr>
    <w:tblStylePr w:type="firstRow">
      <w:rPr>
        <w:b/>
        <w:color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4" w:themeTint="9a" w:themeShade="95"/>
        <w:sz w:val="22"/>
      </w:rPr>
      <w:tblPr/>
      <w:tcPr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33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2Horz">
      <w:rPr>
        <w:color w:themeColor="accent5" w:themeShade="95"/>
        <w:sz w:val="22"/>
      </w:rPr>
      <w:tblPr/>
    </w:tblStylePr>
    <w:tblStylePr w:type="firstCol">
      <w:pPr>
        <w:jc w:val="right"/>
      </w:pPr>
      <w:rPr>
        <w:i/>
        <w:color w:themeColor="accent5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  <w:shd w:val="clear" w:color="FFFFFF"/>
      </w:tcPr>
    </w:tblStylePr>
    <w:tblStylePr w:type="firstRow">
      <w:rPr>
        <w:b/>
        <w:color w:themeColor="accent5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5" w:themeShade="95"/>
        <w:sz w:val="22"/>
      </w:rPr>
      <w:tblPr/>
      <w:tcPr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themeColor="accent5" w:themeShade="95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34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2Horz">
      <w:rPr>
        <w:color w:themeColor="accent6" w:themeShade="95"/>
        <w:sz w:val="22"/>
      </w:rPr>
      <w:tblPr/>
    </w:tblStylePr>
    <w:tblStylePr w:type="firstCol">
      <w:pPr>
        <w:jc w:val="right"/>
      </w:pPr>
      <w:rPr>
        <w:i/>
        <w:color w:themeColor="accent6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  <w:shd w:val="clear" w:color="FFFFFF"/>
      </w:tcPr>
    </w:tblStylePr>
    <w:tblStylePr w:type="firstRow">
      <w:rPr>
        <w:b/>
        <w:color w:themeColor="accent6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6" w:themeShade="95"/>
        <w:sz w:val="22"/>
      </w:rPr>
      <w:tblPr/>
      <w:tcPr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b/>
        <w:color w:themeColor="accent6" w:themeShade="95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</w:style>
  <w:style w:type="table" w:styleId="835">
    <w:name w:val="List Table 1 Light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>
    <w:name w:val="List Table 1 Light - Accent 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3E0EE" w:themeFill="accent1" w:themeFillTint="40"/>
      </w:tcPr>
    </w:tblStylePr>
    <w:tblStylePr w:type="band1Vert">
      <w:tblPr/>
      <w:tcPr>
        <w:shd w:val="clear" w:color="FFFFFF" w:fill="D3E0EE" w:themeFill="accent1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>
    <w:name w:val="List Table 1 Light - Accent 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EFD3D2" w:themeFill="accent2" w:themeFillTint="40"/>
      </w:tcPr>
    </w:tblStylePr>
    <w:tblStylePr w:type="band1Vert">
      <w:tblPr/>
      <w:tcPr>
        <w:shd w:val="clear" w:color="FFFFFF" w:fill="EFD3D2" w:themeFill="accent2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>
    <w:name w:val="List Table 1 Light - Accent 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E6EED5" w:themeFill="accent3" w:themeFillTint="40"/>
      </w:tcPr>
    </w:tblStylePr>
    <w:tblStylePr w:type="band1Vert">
      <w:tblPr/>
      <w:tcPr>
        <w:shd w:val="clear" w:color="FFFFFF" w:fill="E6EED5" w:themeFill="accent3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>
    <w:name w:val="List Table 1 Light - Accent 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FD8E7" w:themeFill="accent4" w:themeFillTint="40"/>
      </w:tcPr>
    </w:tblStylePr>
    <w:tblStylePr w:type="band1Vert">
      <w:tblPr/>
      <w:tcPr>
        <w:shd w:val="clear" w:color="FFFFFF" w:fill="DFD8E7" w:themeFill="accent4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>
    <w:name w:val="List Table 1 Light - Accent 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1EAF0" w:themeFill="accent5" w:themeFillTint="40"/>
      </w:tcPr>
    </w:tblStylePr>
    <w:tblStylePr w:type="band1Vert">
      <w:tblPr/>
      <w:tcPr>
        <w:shd w:val="clear" w:color="FFFFFF" w:fill="D1EAF0" w:themeFill="accent5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>
    <w:name w:val="List Table 1 Light - Accent 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CE4D1" w:themeFill="accent6" w:themeFillTint="40"/>
      </w:tcPr>
    </w:tblStylePr>
    <w:tblStylePr w:type="band1Vert">
      <w:tblPr/>
      <w:tcPr>
        <w:shd w:val="clear" w:color="FFFFFF" w:fill="FCE4D1" w:themeFill="accent6" w:themeFillTint="40"/>
      </w:tcPr>
    </w:tblStylePr>
    <w:tblStylePr w:type="firstCol">
      <w:rPr>
        <w:b/>
      </w:rPr>
      <w:tblPr/>
    </w:tblStylePr>
    <w:tblStylePr w:type="firstRow">
      <w:rPr>
        <w:b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</w:rPr>
      <w:tblPr/>
    </w:tblStylePr>
    <w:tblStylePr w:type="lastRow">
      <w:rPr>
        <w:b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2">
    <w:name w:val="List Table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843">
    <w:name w:val="List Table 2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sz w:val="22"/>
      </w:rPr>
      <w:tblPr/>
      <w:tcPr>
        <w:shd w:val="clear" w:color="FFFFFF" w:fill="D3E0EE" w:themeFill="accent1" w:themeFillTint="40"/>
      </w:tcPr>
    </w:tblStylePr>
    <w:tblStylePr w:type="band1Vert">
      <w:rPr>
        <w:sz w:val="22"/>
      </w:rPr>
      <w:tblPr/>
      <w:tcPr>
        <w:shd w:val="clear" w:color="FFFFFF" w:fill="D3E0EE" w:themeFill="accent1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</w:style>
  <w:style w:type="table" w:styleId="844">
    <w:name w:val="List Table 2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sz w:val="22"/>
      </w:rPr>
      <w:tblPr/>
      <w:tcPr>
        <w:shd w:val="clear" w:color="FFFFFF" w:fill="EFD3D2" w:themeFill="accent2" w:themeFillTint="40"/>
      </w:tcPr>
    </w:tblStylePr>
    <w:tblStylePr w:type="band1Vert">
      <w:rPr>
        <w:sz w:val="22"/>
      </w:rPr>
      <w:tblPr/>
      <w:tcPr>
        <w:shd w:val="clear" w:color="FFFFFF" w:fill="EFD3D2" w:themeFill="accent2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</w:style>
  <w:style w:type="table" w:styleId="845">
    <w:name w:val="List Table 2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sz w:val="22"/>
      </w:rPr>
      <w:tblPr/>
      <w:tcPr>
        <w:shd w:val="clear" w:color="FFFFFF" w:fill="E6EED5" w:themeFill="accent3" w:themeFillTint="40"/>
      </w:tcPr>
    </w:tblStylePr>
    <w:tblStylePr w:type="band1Vert">
      <w:rPr>
        <w:sz w:val="22"/>
      </w:rPr>
      <w:tblPr/>
      <w:tcPr>
        <w:shd w:val="clear" w:color="FFFFFF" w:fill="E6EED5" w:themeFill="accent3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</w:style>
  <w:style w:type="table" w:styleId="846">
    <w:name w:val="List Table 2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sz w:val="22"/>
      </w:rPr>
      <w:tblPr/>
      <w:tcPr>
        <w:shd w:val="clear" w:color="FFFFFF" w:fill="DFD8E7" w:themeFill="accent4" w:themeFillTint="40"/>
      </w:tcPr>
    </w:tblStylePr>
    <w:tblStylePr w:type="band1Vert">
      <w:rPr>
        <w:sz w:val="22"/>
      </w:rPr>
      <w:tblPr/>
      <w:tcPr>
        <w:shd w:val="clear" w:color="FFFFFF" w:fill="DFD8E7" w:themeFill="accent4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</w:style>
  <w:style w:type="table" w:styleId="847">
    <w:name w:val="List Table 2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sz w:val="22"/>
      </w:rPr>
      <w:tblPr/>
      <w:tcPr>
        <w:shd w:val="clear" w:color="FFFFFF" w:fill="D1EAF0" w:themeFill="accent5" w:themeFillTint="40"/>
      </w:tcPr>
    </w:tblStylePr>
    <w:tblStylePr w:type="band1Vert">
      <w:rPr>
        <w:sz w:val="22"/>
      </w:rPr>
      <w:tblPr/>
      <w:tcPr>
        <w:shd w:val="clear" w:color="FFFFFF" w:fill="D1EAF0" w:themeFill="accent5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</w:style>
  <w:style w:type="table" w:styleId="848">
    <w:name w:val="List Table 2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sz w:val="22"/>
      </w:rPr>
      <w:tblPr/>
      <w:tcPr>
        <w:shd w:val="clear" w:color="FFFFFF" w:fill="FCE4D1" w:themeFill="accent6" w:themeFillTint="40"/>
      </w:tcPr>
    </w:tblStylePr>
    <w:tblStylePr w:type="band1Vert">
      <w:rPr>
        <w:sz w:val="22"/>
      </w:rPr>
      <w:tblPr/>
      <w:tcPr>
        <w:shd w:val="clear" w:color="FFFFFF" w:fill="FCE4D1" w:themeFill="accent6" w:themeFillTint="40"/>
      </w:tcPr>
    </w:tblStylePr>
    <w:tblStylePr w:type="firstCol">
      <w:rPr>
        <w:b/>
        <w:sz w:val="22"/>
      </w:rPr>
      <w:tblPr/>
    </w:tblStylePr>
    <w:tblStylePr w:type="firstRow">
      <w:rPr>
        <w:b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sz w:val="22"/>
      </w:rPr>
      <w:tblPr/>
    </w:tblStylePr>
    <w:tblStylePr w:type="lastRow">
      <w:rPr>
        <w:b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</w:style>
  <w:style w:type="table" w:styleId="849">
    <w:name w:val="List Table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000000" w:themeFill="text1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50">
    <w:name w:val="List Table 3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sz w:val="22"/>
      </w:rPr>
      <w:tblPr/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sz w:val="22"/>
      </w:rPr>
      <w:tblPr/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4F81BD" w:themeFill="accent1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51">
    <w:name w:val="List Table 3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rPr>
        <w:sz w:val="22"/>
      </w:rPr>
      <w:tblPr/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D99694" w:themeFill="accent2" w:themeFillTint="97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52">
    <w:name w:val="List Table 3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sz w:val="22"/>
      </w:rPr>
      <w:tblPr/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rPr>
        <w:sz w:val="22"/>
      </w:rPr>
      <w:tblPr/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C3D69B" w:themeFill="accent3" w:themeFillTint="98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53">
    <w:name w:val="List Table 3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sz w:val="22"/>
      </w:rPr>
      <w:tblPr/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rPr>
        <w:sz w:val="22"/>
      </w:rPr>
      <w:tblPr/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54">
    <w:name w:val="List Table 3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sz w:val="22"/>
      </w:rPr>
      <w:tblPr/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rPr>
        <w:sz w:val="22"/>
      </w:rPr>
      <w:tblPr/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91CDDC" w:themeFill="accent5" w:themeFillTint="9a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55">
    <w:name w:val="List Table 3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sz w:val="22"/>
      </w:rPr>
      <w:tblPr/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rPr>
        <w:sz w:val="22"/>
      </w:rPr>
      <w:tblPr/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F9BF90" w:themeFill="accent6" w:themeFillTint="98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56">
    <w:name w:val="List Table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000000" w:themeFill="text1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57">
    <w:name w:val="List Table 4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sz w:val="22"/>
      </w:rPr>
      <w:tblPr/>
      <w:tcPr>
        <w:shd w:val="clear" w:color="FFFFFF" w:fill="D3E0EE" w:themeFill="accent1" w:themeFillTint="40"/>
      </w:tcPr>
    </w:tblStylePr>
    <w:tblStylePr w:type="band1Vert">
      <w:rPr>
        <w:sz w:val="22"/>
      </w:rPr>
      <w:tblPr/>
      <w:tcPr>
        <w:shd w:val="clear" w:color="FFFFFF" w:fill="D3E0EE" w:themeFill="accent1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4F81BD" w:themeFill="accent1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58">
    <w:name w:val="List Table 4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sz w:val="22"/>
      </w:rPr>
      <w:tblPr/>
      <w:tcPr>
        <w:shd w:val="clear" w:color="FFFFFF" w:fill="EFD3D2" w:themeFill="accent2" w:themeFillTint="40"/>
      </w:tcPr>
    </w:tblStylePr>
    <w:tblStylePr w:type="band1Vert">
      <w:rPr>
        <w:sz w:val="22"/>
      </w:rPr>
      <w:tblPr/>
      <w:tcPr>
        <w:shd w:val="clear" w:color="FFFFFF" w:fill="EFD3D2" w:themeFill="accent2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C0504D" w:themeFill="accent2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59">
    <w:name w:val="List Table 4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sz w:val="22"/>
      </w:rPr>
      <w:tblPr/>
      <w:tcPr>
        <w:shd w:val="clear" w:color="FFFFFF" w:fill="E6EED5" w:themeFill="accent3" w:themeFillTint="40"/>
      </w:tcPr>
    </w:tblStylePr>
    <w:tblStylePr w:type="band1Vert">
      <w:rPr>
        <w:sz w:val="22"/>
      </w:rPr>
      <w:tblPr/>
      <w:tcPr>
        <w:shd w:val="clear" w:color="FFFFFF" w:fill="E6EED5" w:themeFill="accent3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9BBB59" w:themeFill="accent3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60">
    <w:name w:val="List Table 4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sz w:val="22"/>
      </w:rPr>
      <w:tblPr/>
      <w:tcPr>
        <w:shd w:val="clear" w:color="FFFFFF" w:fill="DFD8E7" w:themeFill="accent4" w:themeFillTint="40"/>
      </w:tcPr>
    </w:tblStylePr>
    <w:tblStylePr w:type="band1Vert">
      <w:rPr>
        <w:sz w:val="22"/>
      </w:rPr>
      <w:tblPr/>
      <w:tcPr>
        <w:shd w:val="clear" w:color="FFFFFF" w:fill="DFD8E7" w:themeFill="accent4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8064A2" w:themeFill="accent4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61">
    <w:name w:val="List Table 4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sz w:val="22"/>
      </w:rPr>
      <w:tblPr/>
      <w:tcPr>
        <w:shd w:val="clear" w:color="FFFFFF" w:fill="D1EAF0" w:themeFill="accent5" w:themeFillTint="40"/>
      </w:tcPr>
    </w:tblStylePr>
    <w:tblStylePr w:type="band1Vert">
      <w:rPr>
        <w:sz w:val="22"/>
      </w:rPr>
      <w:tblPr/>
      <w:tcPr>
        <w:shd w:val="clear" w:color="FFFFFF" w:fill="D1EAF0" w:themeFill="accent5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4BACC6" w:themeFill="accent5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62">
    <w:name w:val="List Table 4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sz w:val="22"/>
      </w:rPr>
      <w:tblPr/>
      <w:tcPr>
        <w:shd w:val="clear" w:color="FFFFFF" w:fill="FCE4D1" w:themeFill="accent6" w:themeFillTint="40"/>
      </w:tcPr>
    </w:tblStylePr>
    <w:tblStylePr w:type="band1Vert">
      <w:rPr>
        <w:sz w:val="22"/>
      </w:rPr>
      <w:tblPr/>
      <w:tcPr>
        <w:shd w:val="clear" w:color="FFFFFF" w:fill="FCE4D1" w:themeFill="accent6" w:themeFillTint="40"/>
      </w:tcPr>
    </w:tblStylePr>
    <w:tblStylePr w:type="firstCol">
      <w:rPr>
        <w:b/>
      </w:rPr>
      <w:tblPr/>
    </w:tblStylePr>
    <w:tblStylePr w:type="firstRow">
      <w:rPr>
        <w:b/>
        <w:sz w:val="22"/>
      </w:rPr>
      <w:tblPr/>
      <w:tcPr>
        <w:shd w:val="clear" w:color="FFFFFF" w:fill="F79646" w:themeFill="accent6"/>
      </w:tcPr>
    </w:tblStylePr>
    <w:tblStylePr w:type="lastCol">
      <w:rPr>
        <w:b/>
      </w:rPr>
      <w:tblPr/>
    </w:tblStylePr>
    <w:tblStylePr w:type="lastRow">
      <w:rPr>
        <w:b/>
      </w:rPr>
      <w:tblPr/>
    </w:tblStylePr>
  </w:style>
  <w:style w:type="table" w:styleId="863">
    <w:name w:val="List Table 5 Dark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000000" w:themeColor="light1" w:sz="12" w:space="0"/>
        </w:tcBorders>
        <w:shd w:val="clear" w:color="FFFFFF" w:fill="7F7F7F" w:themeFill="text1" w:themeFillTint="80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themeColor="light1"/>
        <w:sz w:val="22"/>
      </w:rPr>
      <w:tblPr/>
    </w:tblStylePr>
    <w:tblStylePr w:type="wholeTable">
      <w:rPr>
        <w:color w:themeColor="light1"/>
        <w:sz w:val="22"/>
      </w:rPr>
      <w:tblPr/>
    </w:tblStylePr>
  </w:style>
  <w:style w:type="table" w:styleId="864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4F81BD" w:themeFill="accent1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4F81BD" w:themeFill="accent1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4F81BD" w:themeFill="accent1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fill="4F81BD" w:themeFill="accent1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b/>
        <w:color w:themeColor="light1"/>
        <w:sz w:val="22"/>
      </w:rPr>
      <w:tblPr/>
    </w:tblStylePr>
    <w:tblStylePr w:type="wholeTable">
      <w:rPr>
        <w:color w:themeColor="light1"/>
        <w:sz w:val="22"/>
      </w:rPr>
      <w:tblPr/>
    </w:tblStylePr>
  </w:style>
  <w:style w:type="table" w:styleId="865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D99694" w:themeFill="accent2" w:themeFillTint="97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D99694" w:themeFill="accent2" w:themeFillTint="97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D99694" w:themeFill="accent2" w:themeFillTint="97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000000" w:themeColor="accent2" w:sz="32" w:space="0"/>
          <w:bottom w:val="single" w:color="000000" w:themeColor="light1" w:sz="12" w:space="0"/>
        </w:tcBorders>
        <w:shd w:val="clear" w:color="FFFFFF" w:fill="D99694" w:themeFill="accent2" w:themeFillTint="97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rPr>
        <w:b/>
        <w:color w:themeColor="light1"/>
        <w:sz w:val="22"/>
      </w:rPr>
      <w:tblPr/>
    </w:tblStylePr>
    <w:tblStylePr w:type="wholeTable">
      <w:rPr>
        <w:color w:themeColor="light1"/>
        <w:sz w:val="22"/>
      </w:rPr>
      <w:tblPr/>
    </w:tblStylePr>
  </w:style>
  <w:style w:type="table" w:styleId="866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3D69B" w:themeFill="accent3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000000" w:themeColor="accent3" w:sz="32" w:space="0"/>
          <w:bottom w:val="single" w:color="000000" w:themeColor="light1" w:sz="12" w:space="0"/>
        </w:tcBorders>
        <w:shd w:val="clear" w:color="FFFFFF" w:fill="C3D69B" w:themeFill="accent3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rPr>
        <w:b/>
        <w:color w:themeColor="light1"/>
        <w:sz w:val="22"/>
      </w:rPr>
      <w:tblPr/>
    </w:tblStylePr>
    <w:tblStylePr w:type="wholeTable">
      <w:rPr>
        <w:color w:themeColor="light1"/>
        <w:sz w:val="22"/>
      </w:rPr>
      <w:tblPr/>
    </w:tblStylePr>
  </w:style>
  <w:style w:type="table" w:styleId="867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B2A1C6" w:themeFill="accent4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000000" w:themeColor="accent4" w:sz="32" w:space="0"/>
          <w:bottom w:val="single" w:color="000000" w:themeColor="light1" w:sz="12" w:space="0"/>
        </w:tcBorders>
        <w:shd w:val="clear" w:color="FFFFFF" w:fill="B2A1C6" w:themeFill="accent4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rPr>
        <w:b/>
        <w:color w:themeColor="light1"/>
        <w:sz w:val="22"/>
      </w:rPr>
      <w:tblPr/>
    </w:tblStylePr>
    <w:tblStylePr w:type="wholeTable">
      <w:rPr>
        <w:color w:themeColor="light1"/>
        <w:sz w:val="22"/>
      </w:rPr>
      <w:tblPr/>
    </w:tblStylePr>
  </w:style>
  <w:style w:type="table" w:styleId="868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91CDDC" w:themeFill="accent5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91CDDC" w:themeFill="accent5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91CDDC" w:themeFill="accent5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000000" w:themeColor="accent5" w:sz="32" w:space="0"/>
          <w:bottom w:val="single" w:color="000000" w:themeColor="light1" w:sz="12" w:space="0"/>
        </w:tcBorders>
        <w:shd w:val="clear" w:color="FFFFFF" w:fill="91CDDC" w:themeFill="accent5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rPr>
        <w:b/>
        <w:color w:themeColor="light1"/>
        <w:sz w:val="22"/>
      </w:rPr>
      <w:tblPr/>
    </w:tblStylePr>
    <w:tblStylePr w:type="wholeTable">
      <w:rPr>
        <w:color w:themeColor="light1"/>
        <w:sz w:val="22"/>
      </w:rPr>
      <w:tblPr/>
    </w:tblStylePr>
  </w:style>
  <w:style w:type="table" w:styleId="869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9BF90" w:themeFill="accent6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9BF90" w:themeFill="accent6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9BF90" w:themeFill="accent6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rPr>
        <w:b/>
        <w:color w:themeColor="light1"/>
        <w:sz w:val="22"/>
      </w:rPr>
      <w:tblPr/>
      <w:tcPr>
        <w:tcBorders>
          <w:top w:val="single" w:color="000000" w:themeColor="accent6" w:sz="32" w:space="0"/>
          <w:bottom w:val="single" w:color="000000" w:themeColor="light1" w:sz="12" w:space="0"/>
        </w:tcBorders>
        <w:shd w:val="clear" w:color="FFFFFF" w:fill="F9BF90" w:themeFill="accent6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rPr>
        <w:b/>
        <w:color w:themeColor="light1"/>
        <w:sz w:val="22"/>
      </w:rPr>
      <w:tblPr/>
    </w:tblStylePr>
    <w:tblStylePr w:type="wholeTable">
      <w:rPr>
        <w:color w:themeColor="light1"/>
        <w:sz w:val="22"/>
      </w:rPr>
      <w:tblPr/>
    </w:tblStylePr>
  </w:style>
  <w:style w:type="table" w:styleId="870">
    <w:name w:val="List Table 6 Colorful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color w:themeColor="text1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themeColor="text1"/>
        <w:sz w:val="22"/>
      </w:rPr>
      <w:tblPr/>
    </w:tblStylePr>
    <w:tblStylePr w:type="firstCol">
      <w:rPr>
        <w:b/>
        <w:color w:themeColor="text1"/>
      </w:rPr>
      <w:tblPr/>
    </w:tblStyle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Col">
      <w:rPr>
        <w:b/>
        <w:color w:themeColor="text1"/>
      </w:rPr>
      <w:tblPr/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</w:style>
  <w:style w:type="table" w:styleId="871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color w:themeColor="accent1" w:themeShade="95"/>
        <w:sz w:val="22"/>
      </w:rPr>
      <w:tblPr/>
      <w:tcPr>
        <w:shd w:val="clear" w:color="FFFFFF" w:fill="D3E0EE" w:themeFill="accent1" w:themeFillTint="40"/>
      </w:tcPr>
    </w:tblStylePr>
    <w:tblStylePr w:type="band1Vert">
      <w:tblPr/>
      <w:tcPr>
        <w:shd w:val="clear" w:color="FFFFFF" w:fill="D3E0EE" w:themeFill="accent1" w:themeFillTint="40"/>
      </w:tcPr>
    </w:tblStylePr>
    <w:tblStylePr w:type="band2Horz">
      <w:rPr>
        <w:color w:themeColor="accent1" w:themeShade="95"/>
        <w:sz w:val="22"/>
      </w:rPr>
      <w:tblPr/>
    </w:tblStylePr>
    <w:tblStylePr w:type="firstCol">
      <w:rPr>
        <w:b/>
        <w:color w:themeColor="accent1" w:themeShade="95"/>
      </w:rPr>
      <w:tblPr/>
    </w:tblStylePr>
    <w:tblStylePr w:type="firstRow">
      <w:rPr>
        <w:b/>
        <w:color w:themeColor="accent1" w:themeShade="95"/>
      </w:rPr>
      <w:tblPr/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themeColor="accent1" w:themeShade="95"/>
      </w:rPr>
      <w:tblPr/>
    </w:tblStylePr>
    <w:tblStylePr w:type="lastRow">
      <w:rPr>
        <w:b/>
        <w:color w:themeColor="accent1" w:themeShade="95"/>
      </w:rPr>
      <w:tblPr/>
      <w:tcPr>
        <w:tcBorders>
          <w:top w:val="single" w:color="000000" w:themeColor="accent1" w:sz="4" w:space="0"/>
        </w:tcBorders>
      </w:tcPr>
    </w:tblStylePr>
  </w:style>
  <w:style w:type="table" w:styleId="872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color w:themeColor="accent2" w:themeTint="97" w:themeShade="95"/>
        <w:sz w:val="22"/>
      </w:rPr>
      <w:tblPr/>
      <w:tcPr>
        <w:shd w:val="clear" w:color="FFFFFF" w:fill="EFD3D2" w:themeFill="accent2" w:themeFillTint="40"/>
      </w:tcPr>
    </w:tblStylePr>
    <w:tblStylePr w:type="band1Vert">
      <w:tblPr/>
      <w:tcPr>
        <w:shd w:val="clear" w:color="FFFFFF" w:fill="EFD3D2" w:themeFill="accent2" w:themeFillTint="40"/>
      </w:tcPr>
    </w:tblStylePr>
    <w:tblStylePr w:type="band2Horz">
      <w:rPr>
        <w:color w:themeColor="accent2" w:themeTint="97" w:themeShade="95"/>
        <w:sz w:val="22"/>
      </w:rPr>
      <w:tblPr/>
    </w:tblStylePr>
    <w:tblStylePr w:type="firstCol">
      <w:rPr>
        <w:b/>
        <w:color w:themeColor="accent2" w:themeTint="97" w:themeShade="95"/>
      </w:rPr>
      <w:tblPr/>
    </w:tblStylePr>
    <w:tblStylePr w:type="firstRow">
      <w:rPr>
        <w:b/>
        <w:color w:themeColor="accent2" w:themeTint="97" w:themeShade="95"/>
      </w:rPr>
      <w:tblPr/>
      <w:tcPr>
        <w:tcBorders>
          <w:bottom w:val="single" w:color="000000" w:themeColor="accent2" w:sz="4" w:space="0"/>
        </w:tcBorders>
      </w:tcPr>
    </w:tblStylePr>
    <w:tblStylePr w:type="lastCol">
      <w:rPr>
        <w:b/>
        <w:color w:themeColor="accent2" w:themeTint="97" w:themeShade="95"/>
      </w:rPr>
      <w:tblPr/>
    </w:tblStylePr>
    <w:tblStylePr w:type="lastRow">
      <w:rPr>
        <w:b/>
        <w:color w:themeColor="accent2" w:themeTint="97" w:themeShade="95"/>
      </w:rPr>
      <w:tblPr/>
      <w:tcPr>
        <w:tcBorders>
          <w:top w:val="single" w:color="000000" w:themeColor="accent2" w:sz="4" w:space="0"/>
        </w:tcBorders>
      </w:tcPr>
    </w:tblStylePr>
  </w:style>
  <w:style w:type="table" w:styleId="873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color w:themeColor="accent3" w:themeTint="98" w:themeShade="95"/>
        <w:sz w:val="22"/>
      </w:rPr>
      <w:tblPr/>
      <w:tcPr>
        <w:shd w:val="clear" w:color="FFFFFF" w:fill="E6EED5" w:themeFill="accent3" w:themeFillTint="40"/>
      </w:tcPr>
    </w:tblStylePr>
    <w:tblStylePr w:type="band1Vert">
      <w:tblPr/>
      <w:tcPr>
        <w:shd w:val="clear" w:color="FFFFFF" w:fill="E6EED5" w:themeFill="accent3" w:themeFillTint="40"/>
      </w:tcPr>
    </w:tblStylePr>
    <w:tblStylePr w:type="band2Horz">
      <w:rPr>
        <w:color w:themeColor="accent3" w:themeTint="98" w:themeShade="95"/>
        <w:sz w:val="22"/>
      </w:rPr>
      <w:tblPr/>
    </w:tblStylePr>
    <w:tblStylePr w:type="firstCol">
      <w:rPr>
        <w:b/>
        <w:color w:themeColor="accent3" w:themeTint="98" w:themeShade="95"/>
      </w:rPr>
      <w:tblPr/>
    </w:tblStylePr>
    <w:tblStylePr w:type="firstRow">
      <w:rPr>
        <w:b/>
        <w:color w:themeColor="accent3" w:themeTint="98" w:themeShade="95"/>
      </w:rPr>
      <w:tblPr/>
      <w:tcPr>
        <w:tcBorders>
          <w:bottom w:val="single" w:color="000000" w:themeColor="accent3" w:sz="4" w:space="0"/>
        </w:tcBorders>
      </w:tcPr>
    </w:tblStylePr>
    <w:tblStylePr w:type="lastCol">
      <w:rPr>
        <w:b/>
        <w:color w:themeColor="accent3" w:themeTint="98" w:themeShade="95"/>
      </w:rPr>
      <w:tblPr/>
    </w:tblStylePr>
    <w:tblStylePr w:type="lastRow">
      <w:rPr>
        <w:b/>
        <w:color w:themeColor="accent3" w:themeTint="98" w:themeShade="95"/>
      </w:rPr>
      <w:tblPr/>
      <w:tcPr>
        <w:tcBorders>
          <w:top w:val="single" w:color="000000" w:themeColor="accent3" w:sz="4" w:space="0"/>
        </w:tcBorders>
      </w:tcPr>
    </w:tblStylePr>
  </w:style>
  <w:style w:type="table" w:styleId="874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color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2Horz">
      <w:rPr>
        <w:color w:themeColor="accent4" w:themeTint="9a" w:themeShade="95"/>
        <w:sz w:val="22"/>
      </w:rPr>
      <w:tblPr/>
    </w:tblStylePr>
    <w:tblStylePr w:type="firstCol">
      <w:rPr>
        <w:b/>
        <w:color w:themeColor="accent4" w:themeTint="9a" w:themeShade="95"/>
      </w:rPr>
      <w:tblPr/>
    </w:tblStylePr>
    <w:tblStylePr w:type="firstRow">
      <w:rPr>
        <w:b/>
        <w:color w:themeColor="accent4" w:themeTint="9a" w:themeShade="95"/>
      </w:rPr>
      <w:tblPr/>
      <w:tcPr>
        <w:tcBorders>
          <w:bottom w:val="single" w:color="000000" w:themeColor="accent4" w:sz="4" w:space="0"/>
        </w:tcBorders>
      </w:tcPr>
    </w:tblStylePr>
    <w:tblStylePr w:type="lastCol">
      <w:rPr>
        <w:b/>
        <w:color w:themeColor="accent4" w:themeTint="9a" w:themeShade="95"/>
      </w:rPr>
      <w:tblPr/>
    </w:tblStylePr>
    <w:tblStylePr w:type="lastRow">
      <w:rPr>
        <w:b/>
        <w:color w:themeColor="accent4" w:themeTint="9a" w:themeShade="95"/>
      </w:rPr>
      <w:tblPr/>
      <w:tcPr>
        <w:tcBorders>
          <w:top w:val="single" w:color="000000" w:themeColor="accent4" w:sz="4" w:space="0"/>
        </w:tcBorders>
      </w:tcPr>
    </w:tblStylePr>
  </w:style>
  <w:style w:type="table" w:styleId="875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color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2Horz">
      <w:rPr>
        <w:color w:themeColor="accent5" w:themeTint="9a" w:themeShade="95"/>
        <w:sz w:val="22"/>
      </w:rPr>
      <w:tblPr/>
    </w:tblStylePr>
    <w:tblStylePr w:type="firstCol">
      <w:rPr>
        <w:b/>
        <w:color w:themeColor="accent5" w:themeTint="9a" w:themeShade="95"/>
      </w:rPr>
      <w:tblPr/>
    </w:tblStylePr>
    <w:tblStylePr w:type="firstRow">
      <w:rPr>
        <w:b/>
        <w:color w:themeColor="accent5" w:themeTint="9a" w:themeShade="95"/>
      </w:rPr>
      <w:tblPr/>
      <w:tcPr>
        <w:tcBorders>
          <w:bottom w:val="single" w:color="000000" w:themeColor="accent5" w:sz="4" w:space="0"/>
        </w:tcBorders>
      </w:tcPr>
    </w:tblStylePr>
    <w:tblStylePr w:type="lastCol">
      <w:rPr>
        <w:b/>
        <w:color w:themeColor="accent5" w:themeTint="9a" w:themeShade="95"/>
      </w:rPr>
      <w:tblPr/>
    </w:tblStylePr>
    <w:tblStylePr w:type="lastRow">
      <w:rPr>
        <w:b/>
        <w:color w:themeColor="accent5" w:themeTint="9a" w:themeShade="95"/>
      </w:rPr>
      <w:tblPr/>
      <w:tcPr>
        <w:tcBorders>
          <w:top w:val="single" w:color="000000" w:themeColor="accent5" w:sz="4" w:space="0"/>
        </w:tcBorders>
      </w:tcPr>
    </w:tblStylePr>
  </w:style>
  <w:style w:type="table" w:styleId="876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color w:themeColor="accent6" w:themeTint="98" w:themeShade="95"/>
        <w:sz w:val="22"/>
      </w:rPr>
      <w:tblPr/>
      <w:tcPr>
        <w:shd w:val="clear" w:color="FFFFFF" w:fill="FCE4D1" w:themeFill="accent6" w:themeFillTint="40"/>
      </w:tcPr>
    </w:tblStylePr>
    <w:tblStylePr w:type="band1Vert">
      <w:tblPr/>
      <w:tcPr>
        <w:shd w:val="clear" w:color="FFFFFF" w:fill="FCE4D1" w:themeFill="accent6" w:themeFillTint="40"/>
      </w:tcPr>
    </w:tblStylePr>
    <w:tblStylePr w:type="band2Horz">
      <w:rPr>
        <w:color w:themeColor="accent6" w:themeTint="98" w:themeShade="95"/>
        <w:sz w:val="22"/>
      </w:rPr>
      <w:tblPr/>
    </w:tblStylePr>
    <w:tblStylePr w:type="firstCol">
      <w:rPr>
        <w:b/>
        <w:color w:themeColor="accent6" w:themeTint="98" w:themeShade="95"/>
      </w:rPr>
      <w:tblPr/>
    </w:tblStylePr>
    <w:tblStylePr w:type="firstRow">
      <w:rPr>
        <w:b/>
        <w:color w:themeColor="accent6" w:themeTint="98" w:themeShade="95"/>
      </w:rPr>
      <w:tblPr/>
      <w:tcPr>
        <w:tcBorders>
          <w:bottom w:val="single" w:color="000000" w:themeColor="accent6" w:sz="4" w:space="0"/>
        </w:tcBorders>
      </w:tcPr>
    </w:tblStylePr>
    <w:tblStylePr w:type="lastCol">
      <w:rPr>
        <w:b/>
        <w:color w:themeColor="accent6" w:themeTint="98" w:themeShade="95"/>
      </w:rPr>
      <w:tblPr/>
    </w:tblStylePr>
    <w:tblStylePr w:type="lastRow">
      <w:rPr>
        <w:b/>
        <w:color w:themeColor="accent6" w:themeTint="98" w:themeShade="95"/>
      </w:rPr>
      <w:tblPr/>
      <w:tcPr>
        <w:tcBorders>
          <w:top w:val="single" w:color="000000" w:themeColor="accent6" w:sz="4" w:space="0"/>
        </w:tcBorders>
      </w:tcPr>
    </w:tblStylePr>
  </w:style>
  <w:style w:type="table" w:styleId="877">
    <w:name w:val="List Table 7 Colorful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blStylePr w:type="band1Horz">
      <w:rPr>
        <w:color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  <w:shd w:val="clear" w:color="FFFFFF"/>
      </w:tcPr>
    </w:tblStylePr>
    <w:tblStylePr w:type="firstRow">
      <w:rPr>
        <w:i/>
        <w:color w:themeColor="text1" w:themeTint="80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text1" w:themeTint="80" w:themeShade="95"/>
        <w:sz w:val="22"/>
      </w:rPr>
      <w:tblPr/>
      <w:tcPr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themeColor="text1" w:themeTint="80" w:themeShade="95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themeColor="text1" w:themeTint="80" w:themeShade="95"/>
        <w:sz w:val="22"/>
      </w:rPr>
      <w:tblPr/>
    </w:tblStylePr>
  </w:style>
  <w:style w:type="table" w:styleId="878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1" w:sz="4" w:space="0"/>
      </w:tblBorders>
    </w:tblPr>
    <w:tblStylePr w:type="band1Horz">
      <w:rPr>
        <w:color w:themeColor="accent1" w:themeShade="95"/>
        <w:sz w:val="22"/>
      </w:rPr>
      <w:tblPr/>
      <w:tcPr>
        <w:shd w:val="clear" w:color="FFFFFF" w:fill="D3E0EE" w:themeFill="accent1" w:themeFillTint="40"/>
      </w:tcPr>
    </w:tblStylePr>
    <w:tblStylePr w:type="band1Vert">
      <w:tblPr/>
      <w:tcPr>
        <w:shd w:val="clear" w:color="FFFFFF" w:fill="D3E0EE" w:themeFill="accent1" w:themeFillTint="40"/>
      </w:tcPr>
    </w:tblStylePr>
    <w:tblStylePr w:type="band2Horz">
      <w:rPr>
        <w:color w:themeColor="accent1" w:themeShade="95"/>
        <w:sz w:val="22"/>
      </w:rPr>
      <w:tblPr/>
    </w:tblStylePr>
    <w:tblStylePr w:type="firstCol">
      <w:pPr>
        <w:jc w:val="right"/>
      </w:pPr>
      <w:rPr>
        <w:i/>
        <w:color w:themeColor="accent1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  <w:shd w:val="clear" w:color="FFFFFF"/>
      </w:tcPr>
    </w:tblStylePr>
    <w:tblStylePr w:type="firstRow">
      <w:rPr>
        <w:i/>
        <w:color w:themeColor="accent1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1" w:themeShade="95"/>
        <w:sz w:val="22"/>
      </w:rPr>
      <w:tblPr/>
      <w:tcPr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themeColor="accent1" w:themeShade="95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themeColor="accent1" w:themeShade="95"/>
        <w:sz w:val="22"/>
      </w:rPr>
      <w:tblPr/>
    </w:tblStylePr>
  </w:style>
  <w:style w:type="table" w:styleId="879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blStylePr w:type="band1Horz">
      <w:rPr>
        <w:color w:themeColor="accent2" w:themeTint="97" w:themeShade="95"/>
        <w:sz w:val="22"/>
      </w:rPr>
      <w:tblPr/>
      <w:tcPr>
        <w:shd w:val="clear" w:color="FFFFFF" w:fill="EFD3D2" w:themeFill="accent2" w:themeFillTint="40"/>
      </w:tcPr>
    </w:tblStylePr>
    <w:tblStylePr w:type="band1Vert">
      <w:tblPr/>
      <w:tcPr>
        <w:shd w:val="clear" w:color="FFFFFF" w:fill="EFD3D2" w:themeFill="accent2" w:themeFillTint="40"/>
      </w:tcPr>
    </w:tblStylePr>
    <w:tblStylePr w:type="band2Horz">
      <w:rPr>
        <w:color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  <w:shd w:val="clear" w:color="FFFFFF"/>
      </w:tcPr>
    </w:tblStylePr>
    <w:tblStylePr w:type="firstRow">
      <w:rPr>
        <w:i/>
        <w:color w:themeColor="accent2" w:themeTint="97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2" w:themeTint="97" w:themeShade="95"/>
        <w:sz w:val="22"/>
      </w:rPr>
      <w:tblPr/>
      <w:tcPr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themeColor="accent2" w:themeTint="97" w:themeShade="95"/>
        <w:sz w:val="22"/>
      </w:rPr>
      <w:tblPr/>
    </w:tblStylePr>
  </w:style>
  <w:style w:type="table" w:styleId="880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blStylePr w:type="band1Horz">
      <w:rPr>
        <w:color w:themeColor="accent3" w:themeTint="98" w:themeShade="95"/>
        <w:sz w:val="22"/>
      </w:rPr>
      <w:tblPr/>
      <w:tcPr>
        <w:shd w:val="clear" w:color="FFFFFF" w:fill="E6EED5" w:themeFill="accent3" w:themeFillTint="40"/>
      </w:tcPr>
    </w:tblStylePr>
    <w:tblStylePr w:type="band1Vert">
      <w:tblPr/>
      <w:tcPr>
        <w:shd w:val="clear" w:color="FFFFFF" w:fill="E6EED5" w:themeFill="accent3" w:themeFillTint="40"/>
      </w:tcPr>
    </w:tblStylePr>
    <w:tblStylePr w:type="band2Horz">
      <w:rPr>
        <w:color w:themeColor="accent3" w:themeTint="98" w:themeShade="95"/>
        <w:sz w:val="22"/>
      </w:rPr>
      <w:tblPr/>
    </w:tblStylePr>
    <w:tblStylePr w:type="firstCol">
      <w:pPr>
        <w:jc w:val="right"/>
      </w:pPr>
      <w:rPr>
        <w:i/>
        <w:color w:themeColor="accent3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  <w:shd w:val="clear" w:color="FFFFFF"/>
      </w:tcPr>
    </w:tblStylePr>
    <w:tblStylePr w:type="firstRow">
      <w:rPr>
        <w:i/>
        <w:color w:themeColor="accent3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3" w:themeTint="98" w:themeShade="95"/>
        <w:sz w:val="22"/>
      </w:rPr>
      <w:tblPr/>
      <w:tcPr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themeColor="accent3" w:themeTint="98" w:themeShade="95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themeColor="accent3" w:themeTint="98" w:themeShade="95"/>
        <w:sz w:val="22"/>
      </w:rPr>
      <w:tblPr/>
    </w:tblStylePr>
  </w:style>
  <w:style w:type="table" w:styleId="881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blStylePr w:type="band1Horz">
      <w:rPr>
        <w:color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2Horz">
      <w:rPr>
        <w:color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  <w:shd w:val="clear" w:color="FFFFFF"/>
      </w:tcPr>
    </w:tblStylePr>
    <w:tblStylePr w:type="firstRow">
      <w:rPr>
        <w:i/>
        <w:color w:themeColor="accent4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4" w:themeTint="9a" w:themeShade="95"/>
        <w:sz w:val="22"/>
      </w:rPr>
      <w:tblPr/>
      <w:tcPr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themeColor="accent4" w:themeTint="9a" w:themeShade="95"/>
        <w:sz w:val="22"/>
      </w:rPr>
      <w:tblPr/>
    </w:tblStylePr>
  </w:style>
  <w:style w:type="table" w:styleId="882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blStylePr w:type="band1Horz">
      <w:rPr>
        <w:color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2Horz">
      <w:rPr>
        <w:color w:themeColor="accent5" w:themeTint="9a" w:themeShade="95"/>
        <w:sz w:val="22"/>
      </w:rPr>
      <w:tblPr/>
    </w:tblStylePr>
    <w:tblStylePr w:type="firstCol">
      <w:pPr>
        <w:jc w:val="right"/>
      </w:pPr>
      <w:rPr>
        <w:i/>
        <w:color w:themeColor="accent5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  <w:shd w:val="clear" w:color="FFFFFF"/>
      </w:tcPr>
    </w:tblStylePr>
    <w:tblStylePr w:type="firstRow">
      <w:rPr>
        <w:i/>
        <w:color w:themeColor="accent5" w:themeTint="9a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5" w:themeTint="9a" w:themeShade="95"/>
        <w:sz w:val="22"/>
      </w:rPr>
      <w:tblPr/>
      <w:tcPr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themeColor="accent5" w:themeTint="9a" w:themeShade="95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themeColor="accent5" w:themeTint="9a" w:themeShade="95"/>
        <w:sz w:val="22"/>
      </w:rPr>
      <w:tblPr/>
    </w:tblStylePr>
  </w:style>
  <w:style w:type="table" w:styleId="883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blStylePr w:type="band1Horz">
      <w:rPr>
        <w:color w:themeColor="accent6" w:themeTint="98" w:themeShade="95"/>
        <w:sz w:val="22"/>
      </w:rPr>
      <w:tblPr/>
      <w:tcPr>
        <w:shd w:val="clear" w:color="FFFFFF" w:fill="FCE4D1" w:themeFill="accent6" w:themeFillTint="40"/>
      </w:tcPr>
    </w:tblStylePr>
    <w:tblStylePr w:type="band1Vert">
      <w:tblPr/>
      <w:tcPr>
        <w:shd w:val="clear" w:color="FFFFFF" w:fill="FCE4D1" w:themeFill="accent6" w:themeFillTint="40"/>
      </w:tcPr>
    </w:tblStylePr>
    <w:tblStylePr w:type="band2Horz">
      <w:rPr>
        <w:color w:themeColor="accent6" w:themeTint="98" w:themeShade="95"/>
        <w:sz w:val="22"/>
      </w:rPr>
      <w:tblPr/>
    </w:tblStylePr>
    <w:tblStylePr w:type="firstCol">
      <w:pPr>
        <w:jc w:val="right"/>
      </w:pPr>
      <w:rPr>
        <w:i/>
        <w:color w:themeColor="accent6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  <w:shd w:val="clear" w:color="FFFFFF"/>
      </w:tcPr>
    </w:tblStylePr>
    <w:tblStylePr w:type="firstRow">
      <w:rPr>
        <w:i/>
        <w:color w:themeColor="accent6" w:themeTint="98" w:themeShade="95"/>
        <w:sz w:val="22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  <w:shd w:val="clear" w:color="FFFFFF" w:fill="FFFFFF" w:themeFill="light1"/>
      </w:tcPr>
    </w:tblStylePr>
    <w:tblStylePr w:type="lastCol">
      <w:rPr>
        <w:i/>
        <w:color w:themeColor="accent6" w:themeTint="98" w:themeShade="95"/>
        <w:sz w:val="22"/>
      </w:rPr>
      <w:tblPr/>
      <w:tcPr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Row">
      <w:rPr>
        <w:i/>
        <w:color w:themeColor="accent6" w:themeTint="98" w:themeShade="95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 w:fill="FFFFFF" w:themeFill="light1"/>
      </w:tcPr>
    </w:tblStylePr>
    <w:tblStylePr w:type="wholeTable">
      <w:rPr>
        <w:color w:themeColor="accent6" w:themeTint="98" w:themeShade="95"/>
        <w:sz w:val="22"/>
      </w:rPr>
      <w:tblPr/>
    </w:tblStylePr>
  </w:style>
  <w:style w:type="table" w:styleId="884">
    <w:name w:val="Lined - Accent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F2F2F2" w:themeFill="text1" w:themeFillTint="0"/>
      </w:tcPr>
    </w:tblStylePr>
    <w:tblStylePr w:type="band2Vert">
      <w:rPr>
        <w:sz w:val="22"/>
      </w:rPr>
      <w:tblPr/>
      <w:tcPr>
        <w:shd w:val="clear" w:color="FFFFFF" w:fill="F2F2F2" w:themeFill="text1" w:themeFillTint="0"/>
      </w:tcPr>
    </w:tblStylePr>
    <w:tblStylePr w:type="firstCol">
      <w:rPr>
        <w:sz w:val="22"/>
      </w:rPr>
      <w:tblPr/>
      <w:tcPr>
        <w:shd w:val="clear" w:color="FFFFFF" w:fill="7F7F7F" w:themeFill="text1" w:themeFillTint="80"/>
      </w:tcPr>
    </w:tblStylePr>
    <w:tblStylePr w:type="firstRow">
      <w:rPr>
        <w:sz w:val="22"/>
      </w:rPr>
      <w:tblPr/>
      <w:tcPr>
        <w:shd w:val="clear" w:color="FFFFFF" w:fill="7F7F7F" w:themeFill="text1" w:themeFillTint="80"/>
      </w:tcPr>
    </w:tblStylePr>
    <w:tblStylePr w:type="lastCol">
      <w:rPr>
        <w:sz w:val="22"/>
      </w:rPr>
      <w:tblPr/>
      <w:tcPr>
        <w:shd w:val="clear" w:color="FFFFFF" w:fill="7F7F7F" w:themeFill="text1" w:themeFillTint="80"/>
      </w:tcPr>
    </w:tblStylePr>
    <w:tblStylePr w:type="lastRow">
      <w:rPr>
        <w:sz w:val="22"/>
      </w:rPr>
      <w:tblPr/>
      <w:tcPr>
        <w:shd w:val="clear" w:color="FFFFFF" w:fill="7F7F7F" w:themeFill="text1" w:themeFillTint="80"/>
      </w:tcPr>
    </w:tblStylePr>
  </w:style>
  <w:style w:type="table" w:styleId="885">
    <w:name w:val="Lined - Accent 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C7D7EA" w:themeFill="accent1" w:themeFillTint="50"/>
      </w:tcPr>
    </w:tblStylePr>
    <w:tblStylePr w:type="band2Vert">
      <w:rPr>
        <w:sz w:val="22"/>
      </w:rPr>
      <w:tblPr/>
      <w:tcPr>
        <w:shd w:val="clear" w:color="FFFFFF" w:fill="C7D7EA" w:themeFill="accent1" w:themeFillTint="50"/>
      </w:tcPr>
    </w:tblStylePr>
    <w:tblStylePr w:type="firstCol">
      <w:rPr>
        <w:sz w:val="22"/>
      </w:rPr>
      <w:tblPr/>
      <w:tcPr>
        <w:shd w:val="clear" w:color="FFFFFF" w:fill="5D8DC2" w:themeFill="accent1" w:themeFillTint="ea"/>
      </w:tcPr>
    </w:tblStylePr>
    <w:tblStylePr w:type="firstRow">
      <w:rPr>
        <w:sz w:val="22"/>
      </w:rPr>
      <w:tblPr/>
      <w:tcPr>
        <w:shd w:val="clear" w:color="FFFFFF" w:fill="5D8DC2" w:themeFill="accent1" w:themeFillTint="ea"/>
      </w:tcPr>
    </w:tblStylePr>
    <w:tblStylePr w:type="lastCol">
      <w:rPr>
        <w:sz w:val="22"/>
      </w:rPr>
      <w:tblPr/>
      <w:tcPr>
        <w:shd w:val="clear" w:color="FFFFFF" w:fill="5D8DC2" w:themeFill="accent1" w:themeFillTint="ea"/>
      </w:tcPr>
    </w:tblStylePr>
    <w:tblStylePr w:type="lastRow">
      <w:rPr>
        <w:sz w:val="22"/>
      </w:rPr>
      <w:tblPr/>
      <w:tcPr>
        <w:shd w:val="clear" w:color="FFFFFF" w:fill="5D8DC2" w:themeFill="accent1" w:themeFillTint="ea"/>
      </w:tcPr>
    </w:tblStylePr>
  </w:style>
  <w:style w:type="table" w:styleId="886">
    <w:name w:val="Lined - Accent 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F2DCDB" w:themeFill="accent2" w:themeFillTint="32"/>
      </w:tcPr>
    </w:tblStylePr>
    <w:tblStylePr w:type="band2Vert">
      <w:rPr>
        <w:sz w:val="22"/>
      </w:rPr>
      <w:tblPr/>
      <w:tcPr>
        <w:shd w:val="clear" w:color="FFFFFF" w:fill="F2DCDB" w:themeFill="accent2" w:themeFillTint="32"/>
      </w:tcPr>
    </w:tblStylePr>
    <w:tblStylePr w:type="firstCol">
      <w:rPr>
        <w:sz w:val="22"/>
      </w:rPr>
      <w:tblPr/>
      <w:tcPr>
        <w:shd w:val="clear" w:color="FFFFFF" w:fill="D99694" w:themeFill="accent2" w:themeFillTint="97"/>
      </w:tcPr>
    </w:tblStylePr>
    <w:tblStylePr w:type="firstRow">
      <w:rPr>
        <w:sz w:val="22"/>
      </w:rPr>
      <w:tblPr/>
      <w:tcPr>
        <w:shd w:val="clear" w:color="FFFFFF" w:fill="D99694" w:themeFill="accent2" w:themeFillTint="97"/>
      </w:tcPr>
    </w:tblStylePr>
    <w:tblStylePr w:type="lastCol">
      <w:rPr>
        <w:sz w:val="22"/>
      </w:rPr>
      <w:tblPr/>
      <w:tcPr>
        <w:shd w:val="clear" w:color="FFFFFF" w:fill="D99694" w:themeFill="accent2" w:themeFillTint="97"/>
      </w:tcPr>
    </w:tblStylePr>
    <w:tblStylePr w:type="lastRow">
      <w:rPr>
        <w:sz w:val="22"/>
      </w:rPr>
      <w:tblPr/>
      <w:tcPr>
        <w:shd w:val="clear" w:color="FFFFFF" w:fill="D99694" w:themeFill="accent2" w:themeFillTint="97"/>
      </w:tcPr>
    </w:tblStylePr>
  </w:style>
  <w:style w:type="table" w:styleId="887">
    <w:name w:val="Lined - Accent 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EAF0DD" w:themeFill="accent3" w:themeFillTint="34"/>
      </w:tcPr>
    </w:tblStylePr>
    <w:tblStylePr w:type="band2Vert">
      <w:rPr>
        <w:sz w:val="22"/>
      </w:rPr>
      <w:tblPr/>
      <w:tcPr>
        <w:shd w:val="clear" w:color="FFFFFF" w:fill="EAF0DD" w:themeFill="accent3" w:themeFillTint="34"/>
      </w:tcPr>
    </w:tblStylePr>
    <w:tblStylePr w:type="firstCol">
      <w:rPr>
        <w:sz w:val="22"/>
      </w:rPr>
      <w:tblPr/>
      <w:tcPr>
        <w:shd w:val="clear" w:color="FFFFFF" w:fill="9BBA59" w:themeFill="accent3" w:themeFillTint="fe"/>
      </w:tcPr>
    </w:tblStylePr>
    <w:tblStylePr w:type="firstRow">
      <w:rPr>
        <w:sz w:val="22"/>
      </w:rPr>
      <w:tblPr/>
      <w:tcPr>
        <w:shd w:val="clear" w:color="FFFFFF" w:fill="9BBA59" w:themeFill="accent3" w:themeFillTint="fe"/>
      </w:tcPr>
    </w:tblStylePr>
    <w:tblStylePr w:type="lastCol">
      <w:rPr>
        <w:sz w:val="22"/>
      </w:rPr>
      <w:tblPr/>
      <w:tcPr>
        <w:shd w:val="clear" w:color="FFFFFF" w:fill="9BBA59" w:themeFill="accent3" w:themeFillTint="fe"/>
      </w:tcPr>
    </w:tblStylePr>
    <w:tblStylePr w:type="lastRow">
      <w:rPr>
        <w:sz w:val="22"/>
      </w:rPr>
      <w:tblPr/>
      <w:tcPr>
        <w:shd w:val="clear" w:color="FFFFFF" w:fill="9BBA59" w:themeFill="accent3" w:themeFillTint="fe"/>
      </w:tcPr>
    </w:tblStylePr>
  </w:style>
  <w:style w:type="table" w:styleId="888">
    <w:name w:val="Lined - Accent 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E5DFEC" w:themeFill="accent4" w:themeFillTint="34"/>
      </w:tcPr>
    </w:tblStylePr>
    <w:tblStylePr w:type="band2Vert">
      <w:rPr>
        <w:sz w:val="22"/>
      </w:rPr>
      <w:tblPr/>
      <w:tcPr>
        <w:shd w:val="clear" w:color="FFFFFF" w:fill="E5DFEC" w:themeFill="accent4" w:themeFillTint="34"/>
      </w:tcPr>
    </w:tblStylePr>
    <w:tblStylePr w:type="firstCol">
      <w:rPr>
        <w:sz w:val="22"/>
      </w:rPr>
      <w:tblPr/>
      <w:tcPr>
        <w:shd w:val="clear" w:color="FFFFFF" w:fill="B2A1C6" w:themeFill="accent4" w:themeFillTint="9a"/>
      </w:tcPr>
    </w:tblStylePr>
    <w:tblStylePr w:type="firstRow">
      <w:rPr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sz w:val="22"/>
      </w:rPr>
      <w:tblPr/>
      <w:tcPr>
        <w:shd w:val="clear" w:color="FFFFFF" w:fill="B2A1C6" w:themeFill="accent4" w:themeFillTint="9a"/>
      </w:tcPr>
    </w:tblStylePr>
  </w:style>
  <w:style w:type="table" w:styleId="889">
    <w:name w:val="Lined - Accent 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DAEEF3" w:themeFill="accent5" w:themeFillTint="34"/>
      </w:tcPr>
    </w:tblStylePr>
    <w:tblStylePr w:type="band2Vert">
      <w:rPr>
        <w:sz w:val="22"/>
      </w:rPr>
      <w:tblPr/>
      <w:tcPr>
        <w:shd w:val="clear" w:color="FFFFFF" w:fill="DAEEF3" w:themeFill="accent5" w:themeFillTint="34"/>
      </w:tcPr>
    </w:tblStylePr>
    <w:tblStylePr w:type="firstCol">
      <w:rPr>
        <w:sz w:val="22"/>
      </w:rPr>
      <w:tblPr/>
      <w:tcPr>
        <w:shd w:val="clear" w:color="FFFFFF" w:fill="4BACC6" w:themeFill="accent5"/>
      </w:tcPr>
    </w:tblStylePr>
    <w:tblStylePr w:type="firstRow">
      <w:rPr>
        <w:sz w:val="22"/>
      </w:rPr>
      <w:tblPr/>
      <w:tcPr>
        <w:shd w:val="clear" w:color="FFFFFF" w:fill="4BACC6" w:themeFill="accent5"/>
      </w:tcPr>
    </w:tblStylePr>
    <w:tblStylePr w:type="lastCol">
      <w:rPr>
        <w:sz w:val="22"/>
      </w:rPr>
      <w:tblPr/>
      <w:tcPr>
        <w:shd w:val="clear" w:color="FFFFFF" w:fill="4BACC6" w:themeFill="accent5"/>
      </w:tcPr>
    </w:tblStylePr>
    <w:tblStylePr w:type="lastRow">
      <w:rPr>
        <w:sz w:val="22"/>
      </w:rPr>
      <w:tblPr/>
      <w:tcPr>
        <w:shd w:val="clear" w:color="FFFFFF" w:fill="4BACC6" w:themeFill="accent5"/>
      </w:tcPr>
    </w:tblStylePr>
  </w:style>
  <w:style w:type="table" w:styleId="890">
    <w:name w:val="Lined - Accent 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FDE9D8" w:themeFill="accent6" w:themeFillTint="34"/>
      </w:tcPr>
    </w:tblStylePr>
    <w:tblStylePr w:type="band2Vert">
      <w:rPr>
        <w:sz w:val="22"/>
      </w:rPr>
      <w:tblPr/>
      <w:tcPr>
        <w:shd w:val="clear" w:color="FFFFFF" w:fill="FDE9D8" w:themeFill="accent6" w:themeFillTint="34"/>
      </w:tcPr>
    </w:tblStylePr>
    <w:tblStylePr w:type="firstCol">
      <w:rPr>
        <w:sz w:val="22"/>
      </w:rPr>
      <w:tblPr/>
      <w:tcPr>
        <w:shd w:val="clear" w:color="FFFFFF" w:fill="F79646" w:themeFill="accent6"/>
      </w:tcPr>
    </w:tblStylePr>
    <w:tblStylePr w:type="firstRow">
      <w:rPr>
        <w:sz w:val="22"/>
      </w:rPr>
      <w:tblPr/>
      <w:tcPr>
        <w:shd w:val="clear" w:color="FFFFFF" w:fill="F79646" w:themeFill="accent6"/>
      </w:tcPr>
    </w:tblStylePr>
    <w:tblStylePr w:type="lastCol">
      <w:rPr>
        <w:sz w:val="22"/>
      </w:rPr>
      <w:tblPr/>
      <w:tcPr>
        <w:shd w:val="clear" w:color="FFFFFF" w:fill="F79646" w:themeFill="accent6"/>
      </w:tcPr>
    </w:tblStylePr>
    <w:tblStylePr w:type="lastRow">
      <w:rPr>
        <w:sz w:val="22"/>
      </w:rPr>
      <w:tblPr/>
      <w:tcPr>
        <w:shd w:val="clear" w:color="FFFFFF" w:fill="F79646" w:themeFill="accent6"/>
      </w:tcPr>
    </w:tblStylePr>
  </w:style>
  <w:style w:type="table" w:styleId="891">
    <w:name w:val="Bordered &amp; Lined - Accent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F2F2F2" w:themeFill="text1" w:themeFillTint="0"/>
      </w:tcPr>
    </w:tblStylePr>
    <w:tblStylePr w:type="band2Vert">
      <w:rPr>
        <w:sz w:val="22"/>
      </w:rPr>
      <w:tblPr/>
      <w:tcPr>
        <w:shd w:val="clear" w:color="FFFFFF" w:fill="F2F2F2" w:themeFill="text1" w:themeFillTint="0"/>
      </w:tcPr>
    </w:tblStylePr>
    <w:tblStylePr w:type="firstCol">
      <w:rPr>
        <w:sz w:val="22"/>
      </w:rPr>
      <w:tblPr/>
      <w:tcPr>
        <w:shd w:val="clear" w:color="FFFFFF" w:fill="7F7F7F" w:themeFill="text1" w:themeFillTint="80"/>
      </w:tcPr>
    </w:tblStylePr>
    <w:tblStylePr w:type="firstRow">
      <w:rPr>
        <w:sz w:val="22"/>
      </w:rPr>
      <w:tblPr/>
      <w:tcPr>
        <w:shd w:val="clear" w:color="FFFFFF" w:fill="7F7F7F" w:themeFill="text1" w:themeFillTint="80"/>
      </w:tcPr>
    </w:tblStylePr>
    <w:tblStylePr w:type="lastCol">
      <w:rPr>
        <w:sz w:val="22"/>
      </w:rPr>
      <w:tblPr/>
      <w:tcPr>
        <w:shd w:val="clear" w:color="FFFFFF" w:fill="7F7F7F" w:themeFill="text1" w:themeFillTint="80"/>
      </w:tcPr>
    </w:tblStylePr>
    <w:tblStylePr w:type="lastRow">
      <w:rPr>
        <w:sz w:val="22"/>
      </w:rPr>
      <w:tblPr/>
      <w:tcPr>
        <w:shd w:val="clear" w:color="FFFFFF" w:fill="7F7F7F" w:themeFill="text1" w:themeFillTint="80"/>
      </w:tcPr>
    </w:tblStylePr>
  </w:style>
  <w:style w:type="table" w:styleId="892">
    <w:name w:val="Bordered &amp; Lined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C7D7EA" w:themeFill="accent1" w:themeFillTint="50"/>
      </w:tcPr>
    </w:tblStylePr>
    <w:tblStylePr w:type="band2Vert">
      <w:rPr>
        <w:sz w:val="22"/>
      </w:rPr>
      <w:tblPr/>
      <w:tcPr>
        <w:shd w:val="clear" w:color="FFFFFF" w:fill="C7D7EA" w:themeFill="accent1" w:themeFillTint="50"/>
      </w:tcPr>
    </w:tblStylePr>
    <w:tblStylePr w:type="firstCol">
      <w:rPr>
        <w:sz w:val="22"/>
      </w:rPr>
      <w:tblPr/>
      <w:tcPr>
        <w:shd w:val="clear" w:color="FFFFFF" w:fill="5D8DC2" w:themeFill="accent1" w:themeFillTint="ea"/>
      </w:tcPr>
    </w:tblStylePr>
    <w:tblStylePr w:type="firstRow">
      <w:rPr>
        <w:sz w:val="22"/>
      </w:rPr>
      <w:tblPr/>
      <w:tcPr>
        <w:shd w:val="clear" w:color="FFFFFF" w:fill="5D8DC2" w:themeFill="accent1" w:themeFillTint="ea"/>
      </w:tcPr>
    </w:tblStylePr>
    <w:tblStylePr w:type="lastCol">
      <w:rPr>
        <w:sz w:val="22"/>
      </w:rPr>
      <w:tblPr/>
      <w:tcPr>
        <w:shd w:val="clear" w:color="FFFFFF" w:fill="5D8DC2" w:themeFill="accent1" w:themeFillTint="ea"/>
      </w:tcPr>
    </w:tblStylePr>
    <w:tblStylePr w:type="lastRow">
      <w:rPr>
        <w:sz w:val="22"/>
      </w:rPr>
      <w:tblPr/>
      <w:tcPr>
        <w:shd w:val="clear" w:color="FFFFFF" w:fill="5D8DC2" w:themeFill="accent1" w:themeFillTint="ea"/>
      </w:tcPr>
    </w:tblStylePr>
  </w:style>
  <w:style w:type="table" w:styleId="893">
    <w:name w:val="Bordered &amp; Lined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F2DCDB" w:themeFill="accent2" w:themeFillTint="32"/>
      </w:tcPr>
    </w:tblStylePr>
    <w:tblStylePr w:type="band2Vert">
      <w:rPr>
        <w:sz w:val="22"/>
      </w:rPr>
      <w:tblPr/>
      <w:tcPr>
        <w:shd w:val="clear" w:color="FFFFFF" w:fill="F2DCDB" w:themeFill="accent2" w:themeFillTint="32"/>
      </w:tcPr>
    </w:tblStylePr>
    <w:tblStylePr w:type="firstCol">
      <w:rPr>
        <w:sz w:val="22"/>
      </w:rPr>
      <w:tblPr/>
      <w:tcPr>
        <w:shd w:val="clear" w:color="FFFFFF" w:fill="D99694" w:themeFill="accent2" w:themeFillTint="97"/>
      </w:tcPr>
    </w:tblStylePr>
    <w:tblStylePr w:type="firstRow">
      <w:rPr>
        <w:sz w:val="22"/>
      </w:rPr>
      <w:tblPr/>
      <w:tcPr>
        <w:shd w:val="clear" w:color="FFFFFF" w:fill="D99694" w:themeFill="accent2" w:themeFillTint="97"/>
      </w:tcPr>
    </w:tblStylePr>
    <w:tblStylePr w:type="lastCol">
      <w:rPr>
        <w:sz w:val="22"/>
      </w:rPr>
      <w:tblPr/>
      <w:tcPr>
        <w:shd w:val="clear" w:color="FFFFFF" w:fill="D99694" w:themeFill="accent2" w:themeFillTint="97"/>
      </w:tcPr>
    </w:tblStylePr>
    <w:tblStylePr w:type="lastRow">
      <w:rPr>
        <w:sz w:val="22"/>
      </w:rPr>
      <w:tblPr/>
      <w:tcPr>
        <w:shd w:val="clear" w:color="FFFFFF" w:fill="D99694" w:themeFill="accent2" w:themeFillTint="97"/>
      </w:tcPr>
    </w:tblStylePr>
  </w:style>
  <w:style w:type="table" w:styleId="894">
    <w:name w:val="Bordered &amp; Lined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EAF0DD" w:themeFill="accent3" w:themeFillTint="34"/>
      </w:tcPr>
    </w:tblStylePr>
    <w:tblStylePr w:type="band2Vert">
      <w:rPr>
        <w:sz w:val="22"/>
      </w:rPr>
      <w:tblPr/>
      <w:tcPr>
        <w:shd w:val="clear" w:color="FFFFFF" w:fill="EAF0DD" w:themeFill="accent3" w:themeFillTint="34"/>
      </w:tcPr>
    </w:tblStylePr>
    <w:tblStylePr w:type="firstCol">
      <w:rPr>
        <w:sz w:val="22"/>
      </w:rPr>
      <w:tblPr/>
      <w:tcPr>
        <w:shd w:val="clear" w:color="FFFFFF" w:fill="9BBA59" w:themeFill="accent3" w:themeFillTint="fe"/>
      </w:tcPr>
    </w:tblStylePr>
    <w:tblStylePr w:type="firstRow">
      <w:rPr>
        <w:sz w:val="22"/>
      </w:rPr>
      <w:tblPr/>
      <w:tcPr>
        <w:shd w:val="clear" w:color="FFFFFF" w:fill="9BBA59" w:themeFill="accent3" w:themeFillTint="fe"/>
      </w:tcPr>
    </w:tblStylePr>
    <w:tblStylePr w:type="lastCol">
      <w:rPr>
        <w:sz w:val="22"/>
      </w:rPr>
      <w:tblPr/>
      <w:tcPr>
        <w:shd w:val="clear" w:color="FFFFFF" w:fill="9BBA59" w:themeFill="accent3" w:themeFillTint="fe"/>
      </w:tcPr>
    </w:tblStylePr>
    <w:tblStylePr w:type="lastRow">
      <w:rPr>
        <w:sz w:val="22"/>
      </w:rPr>
      <w:tblPr/>
      <w:tcPr>
        <w:shd w:val="clear" w:color="FFFFFF" w:fill="9BBA59" w:themeFill="accent3" w:themeFillTint="fe"/>
      </w:tcPr>
    </w:tblStylePr>
  </w:style>
  <w:style w:type="table" w:styleId="895">
    <w:name w:val="Bordered &amp; Lined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E5DFEC" w:themeFill="accent4" w:themeFillTint="34"/>
      </w:tcPr>
    </w:tblStylePr>
    <w:tblStylePr w:type="band2Vert">
      <w:rPr>
        <w:sz w:val="22"/>
      </w:rPr>
      <w:tblPr/>
      <w:tcPr>
        <w:shd w:val="clear" w:color="FFFFFF" w:fill="E5DFEC" w:themeFill="accent4" w:themeFillTint="34"/>
      </w:tcPr>
    </w:tblStylePr>
    <w:tblStylePr w:type="firstCol">
      <w:rPr>
        <w:sz w:val="22"/>
      </w:rPr>
      <w:tblPr/>
      <w:tcPr>
        <w:shd w:val="clear" w:color="FFFFFF" w:fill="B2A1C6" w:themeFill="accent4" w:themeFillTint="9a"/>
      </w:tcPr>
    </w:tblStylePr>
    <w:tblStylePr w:type="firstRow">
      <w:rPr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sz w:val="22"/>
      </w:rPr>
      <w:tblPr/>
      <w:tcPr>
        <w:shd w:val="clear" w:color="FFFFFF" w:fill="B2A1C6" w:themeFill="accent4" w:themeFillTint="9a"/>
      </w:tcPr>
    </w:tblStylePr>
  </w:style>
  <w:style w:type="table" w:styleId="896">
    <w:name w:val="Bordered &amp; Lined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DAEEF3" w:themeFill="accent5" w:themeFillTint="34"/>
      </w:tcPr>
    </w:tblStylePr>
    <w:tblStylePr w:type="band2Vert">
      <w:rPr>
        <w:sz w:val="22"/>
      </w:rPr>
      <w:tblPr/>
      <w:tcPr>
        <w:shd w:val="clear" w:color="FFFFFF" w:fill="DAEEF3" w:themeFill="accent5" w:themeFillTint="34"/>
      </w:tcPr>
    </w:tblStylePr>
    <w:tblStylePr w:type="firstCol">
      <w:rPr>
        <w:sz w:val="22"/>
      </w:rPr>
      <w:tblPr/>
      <w:tcPr>
        <w:shd w:val="clear" w:color="FFFFFF" w:fill="4BACC6" w:themeFill="accent5"/>
      </w:tcPr>
    </w:tblStylePr>
    <w:tblStylePr w:type="firstRow">
      <w:rPr>
        <w:sz w:val="22"/>
      </w:rPr>
      <w:tblPr/>
      <w:tcPr>
        <w:shd w:val="clear" w:color="FFFFFF" w:fill="4BACC6" w:themeFill="accent5"/>
      </w:tcPr>
    </w:tblStylePr>
    <w:tblStylePr w:type="lastCol">
      <w:rPr>
        <w:sz w:val="22"/>
      </w:rPr>
      <w:tblPr/>
      <w:tcPr>
        <w:shd w:val="clear" w:color="FFFFFF" w:fill="4BACC6" w:themeFill="accent5"/>
      </w:tcPr>
    </w:tblStylePr>
    <w:tblStylePr w:type="lastRow">
      <w:rPr>
        <w:sz w:val="22"/>
      </w:rPr>
      <w:tblPr/>
      <w:tcPr>
        <w:shd w:val="clear" w:color="FFFFFF" w:fill="4BACC6" w:themeFill="accent5"/>
      </w:tcPr>
    </w:tblStylePr>
  </w:style>
  <w:style w:type="table" w:styleId="897">
    <w:name w:val="Bordered &amp; Lined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sz w:val="22"/>
      </w:rPr>
      <w:tblPr/>
    </w:tblStylePr>
    <w:tblStylePr w:type="band1Vert">
      <w:rPr>
        <w:sz w:val="22"/>
      </w:rPr>
      <w:tblPr/>
    </w:tblStylePr>
    <w:tblStylePr w:type="band2Horz">
      <w:rPr>
        <w:sz w:val="22"/>
      </w:rPr>
      <w:tblPr/>
      <w:tcPr>
        <w:shd w:val="clear" w:color="FFFFFF" w:fill="FDE9D8" w:themeFill="accent6" w:themeFillTint="34"/>
      </w:tcPr>
    </w:tblStylePr>
    <w:tblStylePr w:type="band2Vert">
      <w:rPr>
        <w:sz w:val="22"/>
      </w:rPr>
      <w:tblPr/>
      <w:tcPr>
        <w:shd w:val="clear" w:color="FFFFFF" w:fill="FDE9D8" w:themeFill="accent6" w:themeFillTint="34"/>
      </w:tcPr>
    </w:tblStylePr>
    <w:tblStylePr w:type="firstCol">
      <w:rPr>
        <w:sz w:val="22"/>
      </w:rPr>
      <w:tblPr/>
      <w:tcPr>
        <w:shd w:val="clear" w:color="FFFFFF" w:fill="F79646" w:themeFill="accent6"/>
      </w:tcPr>
    </w:tblStylePr>
    <w:tblStylePr w:type="firstRow">
      <w:rPr>
        <w:sz w:val="22"/>
      </w:rPr>
      <w:tblPr/>
      <w:tcPr>
        <w:shd w:val="clear" w:color="FFFFFF" w:fill="F79646" w:themeFill="accent6"/>
      </w:tcPr>
    </w:tblStylePr>
    <w:tblStylePr w:type="lastCol">
      <w:rPr>
        <w:sz w:val="22"/>
      </w:rPr>
      <w:tblPr/>
      <w:tcPr>
        <w:shd w:val="clear" w:color="FFFFFF" w:fill="F79646" w:themeFill="accent6"/>
      </w:tcPr>
    </w:tblStylePr>
    <w:tblStylePr w:type="lastRow">
      <w:rPr>
        <w:sz w:val="22"/>
      </w:rPr>
      <w:tblPr/>
      <w:tcPr>
        <w:shd w:val="clear" w:color="FFFFFF" w:fill="F79646" w:themeFill="accent6"/>
      </w:tcPr>
    </w:tblStylePr>
  </w:style>
  <w:style w:type="table" w:styleId="898">
    <w:name w:val="Bordered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</w:style>
  <w:style w:type="table" w:styleId="899">
    <w:name w:val="Bordered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sz w:val="22"/>
      </w:rPr>
      <w:tblPr/>
      <w:tcPr>
        <w:tcBorders>
          <w:left w:val="single" w:color="000000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accent1" w:sz="12" w:space="0"/>
        </w:tcBorders>
      </w:tcPr>
    </w:tblStylePr>
  </w:style>
  <w:style w:type="table" w:styleId="900">
    <w:name w:val="Bordered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sz w:val="22"/>
      </w:rPr>
      <w:tblPr/>
      <w:tcPr>
        <w:tcBorders>
          <w:left w:val="single" w:color="000000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accent2" w:sz="12" w:space="0"/>
        </w:tcBorders>
      </w:tcPr>
    </w:tblStylePr>
  </w:style>
  <w:style w:type="table" w:styleId="901">
    <w:name w:val="Bordered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sz w:val="22"/>
      </w:rPr>
      <w:tblPr/>
      <w:tcPr>
        <w:tcBorders>
          <w:left w:val="single" w:color="000000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accent3" w:sz="12" w:space="0"/>
        </w:tcBorders>
      </w:tcPr>
    </w:tblStylePr>
  </w:style>
  <w:style w:type="table" w:styleId="902">
    <w:name w:val="Bordered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sz w:val="22"/>
      </w:rPr>
      <w:tblPr/>
      <w:tcPr>
        <w:tcBorders>
          <w:left w:val="single" w:color="000000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accent4" w:sz="12" w:space="0"/>
        </w:tcBorders>
      </w:tcPr>
    </w:tblStylePr>
  </w:style>
  <w:style w:type="table" w:styleId="903">
    <w:name w:val="Bordered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sz w:val="22"/>
      </w:rPr>
      <w:tblPr/>
      <w:tcPr>
        <w:tcBorders>
          <w:left w:val="single" w:color="000000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accent5" w:sz="12" w:space="0"/>
        </w:tcBorders>
      </w:tcPr>
    </w:tblStylePr>
  </w:style>
  <w:style w:type="table" w:styleId="904">
    <w:name w:val="Bordered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sz w:val="22"/>
      </w:rPr>
      <w:tblPr/>
    </w:tblStylePr>
    <w:tblStylePr w:type="firstRow">
      <w:rPr>
        <w:sz w:val="22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sz w:val="22"/>
      </w:rPr>
      <w:tblPr/>
      <w:tcPr>
        <w:tcBorders>
          <w:left w:val="single" w:color="000000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accent6" w:sz="12" w:space="0"/>
        </w:tcBorders>
      </w:tcPr>
    </w:tblStylePr>
  </w:style>
  <w:style w:type="table" w:default="1" w:styleId="905">
    <w:name w:val="Normal Table"/>
    <w:uiPriority w:val="99"/>
    <w:semiHidden/>
    <w:unhideWhenUsed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torgi.gov.ru/" TargetMode="External"/><Relationship Id="rId3" Type="http://schemas.openxmlformats.org/officeDocument/2006/relationships/hyperlink" Target="http://www.gorodperm.ru/" TargetMode="External"/><Relationship Id="rId4" Type="http://schemas.openxmlformats.org/officeDocument/2006/relationships/hyperlink" Target="http://utp.sberbank-ast.ru/" TargetMode="External"/><Relationship Id="rId5" Type="http://schemas.openxmlformats.org/officeDocument/2006/relationships/hyperlink" Target="http://utp.sberbank-ast.ru/" TargetMode="External"/><Relationship Id="rId6" Type="http://schemas.openxmlformats.org/officeDocument/2006/relationships/hyperlink" Target="https://utp.sberbank-ast.ru/Main/Notice/988/Reglament" TargetMode="External"/><Relationship Id="rId7" Type="http://schemas.openxmlformats.org/officeDocument/2006/relationships/hyperlink" Target="https://utp.sberbank-ast.ru/AP/Notice/1027/Instructions" TargetMode="External"/><Relationship Id="rId8" Type="http://schemas.openxmlformats.org/officeDocument/2006/relationships/hyperlink" Target="https://utp.sberbank-ast.ru/AP/Notice/652/Instructions" TargetMode="External"/><Relationship Id="rId9" Type="http://schemas.openxmlformats.org/officeDocument/2006/relationships/hyperlink" Target="mailto:perm-mail@ural.rt.ru" TargetMode="External"/><Relationship Id="rId10" Type="http://schemas.openxmlformats.org/officeDocument/2006/relationships/hyperlink" Target="http://www.gorodperm.ru/" TargetMode="External"/><Relationship Id="rId11" Type="http://schemas.openxmlformats.org/officeDocument/2006/relationships/hyperlink" Target="http://www.gorodperm.ru/" TargetMode="External"/><Relationship Id="rId12" Type="http://schemas.openxmlformats.org/officeDocument/2006/relationships/hyperlink" Target="http://www.gorodperm.ru/" TargetMode="External"/><Relationship Id="rId13" Type="http://schemas.openxmlformats.org/officeDocument/2006/relationships/hyperlink" Target="mailto:perm-mail@ural.rt.ru" TargetMode="External"/><Relationship Id="rId14" Type="http://schemas.openxmlformats.org/officeDocument/2006/relationships/hyperlink" Target="http://utp.sberbank-ast.ru/AP/Notice/653/Requisites" TargetMode="External"/><Relationship Id="rId15" Type="http://schemas.openxmlformats.org/officeDocument/2006/relationships/header" Target="header1.xml"/><Relationship Id="rId16" Type="http://schemas.openxmlformats.org/officeDocument/2006/relationships/header" Target="header2.xml"/><Relationship Id="rId17" Type="http://schemas.openxmlformats.org/officeDocument/2006/relationships/numbering" Target="numbering.xml"/><Relationship Id="rId18" Type="http://schemas.openxmlformats.org/officeDocument/2006/relationships/fontTable" Target="fontTable.xml"/><Relationship Id="rId19" Type="http://schemas.openxmlformats.org/officeDocument/2006/relationships/settings" Target="settings.xml"/><Relationship Id="rId20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2087</TotalTime>
  <Application>LibreOffice/7.6.7.2$Linux_X86_64 LibreOffice_project/60$Build-2</Application>
  <AppVersion>15.0000</AppVersion>
  <Pages>39</Pages>
  <Words>11334</Words>
  <Characters>81485</Characters>
  <CharactersWithSpaces>92895</CharactersWithSpaces>
  <Paragraphs>549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2023-10-30T09:15:00Z</dcterms:created>
  <dc:creator>Tatyannikova</dc:creator>
  <dc:description/>
  <dc:language>ru-RU</dc:language>
  <cp:lastModifiedBy/>
  <dcterms:modified xsi:type="dcterms:W3CDTF">2025-02-07T15:05:55Z</dcterms:modified>
  <cp:revision>219</cp:revision>
  <dc:subject/>
  <dc:title>Департамент имущественных отношений администрации города Перми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