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07.02.2025 № 059-19-01-11-8</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13.03.2025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(далее – аукцион) проводится в соответствии со статьями 39.11, 39.12, 39.13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4"/>
        </w:rPr>
        <w:t>07.02.2025 № 059-19-01-11-8.</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9915" w:type="dxa"/>
        <w:jc w:val="left"/>
        <w:tblInd w:w="-606" w:type="dxa"/>
        <w:tblLayout w:type="fixed"/>
        <w:tblCellMar>
          <w:top w:w="0" w:type="dxa"/>
          <w:left w:w="108" w:type="dxa"/>
          <w:bottom w:w="0" w:type="dxa"/>
          <w:right w:w="108" w:type="dxa"/>
        </w:tblCellMar>
        <w:tblLook w:val="04a0" w:noHBand="0" w:noVBand="1" w:firstColumn="1" w:lastRow="0" w:lastColumn="0" w:firstRow="1"/>
      </w:tblPr>
      <w:tblGrid>
        <w:gridCol w:w="330"/>
        <w:gridCol w:w="2746"/>
        <w:gridCol w:w="6839"/>
      </w:tblGrid>
      <w:tr>
        <w:trPr>
          <w:trHeight w:val="426"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21 октября 2024 г. № 21-01-03-9227 «О проведении аукциона на право заключения договора аренды земельного участка  в Кировском районе города Перми»</w:t>
            </w:r>
          </w:p>
        </w:tc>
      </w:tr>
      <w:tr>
        <w:trPr>
          <w:trHeight w:val="225"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3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Светлогорская, з/у 8и</w:t>
            </w:r>
          </w:p>
        </w:tc>
      </w:tr>
      <w:tr>
        <w:trPr>
          <w:trHeight w:val="321"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1503 кв. м</w:t>
            </w:r>
          </w:p>
        </w:tc>
      </w:tr>
      <w:tr>
        <w:trPr>
          <w:trHeight w:val="345"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59:01:1717069:260</w:t>
            </w:r>
          </w:p>
        </w:tc>
      </w:tr>
      <w:tr>
        <w:trPr>
          <w:trHeight w:val="285"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9"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строительная промышленность</w:t>
            </w:r>
          </w:p>
        </w:tc>
      </w:tr>
      <w:tr>
        <w:trPr>
          <w:trHeight w:val="670"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9"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980"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9"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22.01.2025г.               № КУВИ-001/2025-18136044;</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23.09.2024 № РФ-59-2-03-0-00-2024-1997-0 (далее – ГПЗУ).</w:t>
            </w:r>
          </w:p>
          <w:p>
            <w:pPr>
              <w:pStyle w:val="BodyText"/>
              <w:ind w:firstLine="709"/>
              <w:jc w:val="both"/>
              <w:rPr>
                <w:sz w:val="24"/>
                <w:szCs w:val="24"/>
              </w:rPr>
            </w:pPr>
            <w:r>
              <w:rPr>
                <w:sz w:val="24"/>
                <w:szCs w:val="24"/>
              </w:rPr>
            </w:r>
          </w:p>
          <w:p>
            <w:pPr>
              <w:pStyle w:val="BodyText"/>
              <w:ind w:firstLine="709"/>
              <w:jc w:val="both"/>
              <w:rPr>
                <w:sz w:val="24"/>
                <w:szCs w:val="24"/>
              </w:rPr>
            </w:pPr>
            <w:r>
              <w:rPr>
                <w:color w:val="000000"/>
                <w:sz w:val="24"/>
                <w:szCs w:val="24"/>
              </w:rPr>
              <w:t>В границах Участка расположено ограждение (забор), навес из профнастила.</w:t>
            </w:r>
          </w:p>
          <w:p>
            <w:pPr>
              <w:pStyle w:val="BodyText"/>
              <w:spacing w:before="0" w:after="0"/>
              <w:ind w:firstLine="311" w:left="0" w:right="0"/>
              <w:jc w:val="both"/>
              <w:rPr/>
            </w:pPr>
            <w:r>
              <w:rPr>
                <w:color w:val="000000"/>
                <w:sz w:val="24"/>
                <w:szCs w:val="24"/>
              </w:rPr>
              <w:t>(Аналогичная информация отражена в акте обследования администрации Кировского района города Перми от 21.10.2024 № б/н).</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pPr>
            <w:r>
              <w:rPr>
                <w:color w:val="000000"/>
                <w:sz w:val="24"/>
              </w:rPr>
              <w:t>Близлежащие источники противопожарного водоснабжения относительно земельного участка по ул. Светлогорская расположены: ул. Светлогорская, 18 (пожарный гидрант), ул. Светлогорская, 20а (пожарный гидрант), ул. Калинина, 89 (пожарный гидрант), Бородулинская, 6 (пожарный гидрант), ул. Бородулинская, 14 (пожарный гидрант),  ул. Бородулинская, 24 (пожарный гидрант),  ул. Вольская, 17 (пожарный гидрант).</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В соответствии копией планшета М 1:500, требующего корректуры, в границах Участка расположена сеть электроснабжения 6 кВ. Ввиду конфигурации Участка, столб линии электроснабжения расположен вне границ Участка.</w:t>
            </w:r>
          </w:p>
          <w:p>
            <w:pPr>
              <w:pStyle w:val="BodyText"/>
              <w:spacing w:before="0" w:after="0"/>
              <w:ind w:firstLine="311" w:left="0" w:right="0"/>
              <w:jc w:val="both"/>
              <w:rPr/>
            </w:pPr>
            <w:r>
              <w:rPr>
                <w:color w:val="000000"/>
                <w:sz w:val="24"/>
              </w:rPr>
              <w:t>Размещение объекта необходимо предусматривать строго за пределами охранных зон сетей электроснабжения в соответствии норм Постановления Правительства Российской Федерации от 24.02.2009 № 160 «О порядке установления охранных зон объектов электросетевого хозяйства и особых условии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 xml:space="preserve">Согласно сведениям ЕГРН Участок имеет связь с объектом капитального строительства с кадастровым номером 59:01:1717115:870 – телефонная канализация АТС-55, находящийся в собственности публичного акционерного общества междугородной и международной электрической связи «Ростелеком». Размещение объекта необходимо предусматривать за пределами охранных зон сетей электросвязи в соответствии норм Постановления Правительства Российской Федерации от 09.06 1995 № 578 </w:t>
              <w:br/>
              <w:t> «Об утверждении Правил охраны линий и сооружении связи Российской Федерации».</w:t>
            </w:r>
          </w:p>
          <w:p>
            <w:pPr>
              <w:pStyle w:val="BodyText"/>
              <w:spacing w:before="0" w:after="0"/>
              <w:ind w:firstLine="311" w:left="0" w:right="0"/>
              <w:jc w:val="both"/>
              <w:rPr/>
            </w:pPr>
            <w:r>
              <w:rPr>
                <w:color w:val="000000"/>
                <w:sz w:val="24"/>
              </w:rPr>
              <w:t>Согласно пункту 8 статьи 39.11 Кодекса земельный участок, находящийся в государственной или муниципальной собственности,</w:t>
            </w:r>
            <w:r>
              <w:rPr>
                <w:color w:val="000000"/>
              </w:rPr>
              <w:t> </w:t>
            </w:r>
            <w:r>
              <w:rPr>
                <w:color w:val="000000"/>
                <w:sz w:val="24"/>
              </w:rPr>
              <w:t>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w:t>
            </w:r>
            <w:r>
              <w:rPr>
                <w:color w:val="000000"/>
              </w:rPr>
              <w:t> </w:t>
            </w:r>
            <w:r>
              <w:rPr>
                <w:color w:val="000000"/>
                <w:sz w:val="24"/>
              </w:rPr>
              <w:t>на основании сервитута, публичного сервитута, в соответствии</w:t>
            </w:r>
            <w:r>
              <w:rPr>
                <w:color w:val="000000"/>
              </w:rPr>
              <w:t> </w:t>
            </w:r>
            <w:r>
              <w:rPr>
                <w:color w:val="000000"/>
                <w:sz w:val="24"/>
              </w:rPr>
              <w:t>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BodyText"/>
              <w:spacing w:before="0" w:after="0"/>
              <w:ind w:firstLine="311" w:left="0" w:right="0"/>
              <w:jc w:val="both"/>
              <w:rPr/>
            </w:pPr>
            <w:r>
              <w:rPr>
                <w:color w:val="000000"/>
                <w:sz w:val="24"/>
              </w:rPr>
              <w:t>Согласно сведениям, содержащимся в ЕГРН, ГПЗУ и справке</w:t>
            </w:r>
            <w:r>
              <w:rPr>
                <w:color w:val="000000"/>
              </w:rPr>
              <w:t> </w:t>
            </w:r>
            <w:r>
              <w:rPr>
                <w:color w:val="000000"/>
                <w:sz w:val="24"/>
              </w:rPr>
              <w:t>по градостроительным условиям участка от 24.01.2025 № 619950 Участок расположен в ЗОУИТ:</w:t>
            </w:r>
          </w:p>
          <w:p>
            <w:pPr>
              <w:pStyle w:val="BodyText"/>
              <w:spacing w:before="0" w:after="0"/>
              <w:ind w:firstLine="311" w:left="0" w:right="0"/>
              <w:jc w:val="both"/>
              <w:rPr/>
            </w:pPr>
            <w:r>
              <w:rPr>
                <w:color w:val="000000"/>
                <w:sz w:val="24"/>
              </w:rPr>
              <w:t>в границах зоны с особыми условиями использования территории Санитарно-защитная зона предприятий, сооружений и иных объектов «КАЛАНДР ПКФ КООП» (Постановление администрации города Перми  от 22.11.2005 № 2735 «Об утверждении перечней и проектов границ общих и индивидуальных санитарно-защитных зон промышленных предприятий и объектов, расположенных на территории города Перми»;</w:t>
            </w:r>
          </w:p>
          <w:p>
            <w:pPr>
              <w:pStyle w:val="BodyText"/>
              <w:spacing w:before="0" w:after="0"/>
              <w:ind w:firstLine="311" w:left="0" w:right="0"/>
              <w:jc w:val="both"/>
              <w:rPr/>
            </w:pPr>
            <w:r>
              <w:rPr>
                <w:color w:val="000000"/>
                <w:sz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pPr>
            <w:r>
              <w:rPr>
                <w:color w:val="000000"/>
                <w:sz w:val="24"/>
              </w:rPr>
              <w:t>в границах зоны с особыми условиями использования территории нормативной санитарно-защитная зона разрыва от железной дороги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709"/>
              <w:jc w:val="both"/>
              <w:rPr>
                <w:sz w:val="24"/>
                <w:szCs w:val="24"/>
              </w:rPr>
            </w:pPr>
            <w:r>
              <w:rPr>
                <w:color w:val="000000"/>
                <w:sz w:val="24"/>
                <w:szCs w:val="24"/>
              </w:rPr>
              <w:t>Победителю аукциона необходимо соблюдать условия строительства, указанные в настоящем письме (прилагается).</w:t>
            </w:r>
          </w:p>
          <w:p>
            <w:pPr>
              <w:pStyle w:val="BodyText"/>
              <w:spacing w:before="0" w:after="0"/>
              <w:ind w:firstLine="311" w:left="0" w:right="0"/>
              <w:jc w:val="both"/>
              <w:rPr/>
            </w:pPr>
            <w:r>
              <w:rPr>
                <w:color w:val="000000"/>
                <w:sz w:val="24"/>
              </w:rPr>
              <w:t xml:space="preserve">На Участке произрастает 26 деревьев пород </w:t>
            </w:r>
            <w:r>
              <w:rPr>
                <w:color w:val="000000"/>
              </w:rPr>
              <w:t xml:space="preserve">– </w:t>
            </w:r>
            <w:r>
              <w:rPr>
                <w:color w:val="000000"/>
                <w:sz w:val="24"/>
              </w:rPr>
              <w:t>береза 25 шт., сосна 1 шт. Восстановительную стоимость посчитать не представляется возможным, так как неизвестно пятно застройки и количество сносимых зеленых насаждений. Средняя стоимость в ценах 2024 г. одного дерева лиственной породы от 17 тыс. руб.,  а хвойной –</w:t>
            </w:r>
            <w:r>
              <w:rPr>
                <w:color w:val="000000"/>
              </w:rPr>
              <w:t> </w:t>
            </w:r>
            <w:r>
              <w:rPr>
                <w:color w:val="000000"/>
                <w:sz w:val="24"/>
              </w:rPr>
              <w:t>от 20 тыс. руб.</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управления по экологии  и природопользованию администрации города Перми </w:t>
            </w:r>
            <w:r>
              <w:rPr>
                <w:color w:val="000000"/>
                <w:sz w:val="24"/>
                <w:szCs w:val="24"/>
              </w:rPr>
              <w:t>от 20.09.2024 № 059-33-01-10/3-616</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В соответствии с бюджетом города Перми на 2024 год и плановый период 2025-2026 годов мероприятия по строительству, реконструкции, капитальному ремонту улично-дорожной сети на рассматриваемой территории  не запланированы.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земельного участка к улично-дорожной сети города Перми необходимо выполнить мероприятия, указанные в письме (прилагается).</w:t>
            </w:r>
          </w:p>
          <w:p>
            <w:pPr>
              <w:pStyle w:val="BodyText"/>
              <w:spacing w:before="0" w:after="0"/>
              <w:ind w:firstLine="311" w:left="0" w:right="0"/>
              <w:jc w:val="both"/>
              <w:rPr/>
            </w:pPr>
            <w:r>
              <w:rPr>
                <w:color w:val="000000"/>
                <w:sz w:val="24"/>
              </w:rPr>
              <w:t>Также указывается необходимость соблюдать Правила благоустройства территории города Перми, утвержденные решением Пермской городской Думы от 15.12.2020 № 277, при строительстве объектов недвижимости на земельных участках, предоставленных на торгах, указанные в данном письме.</w:t>
            </w:r>
          </w:p>
          <w:p>
            <w:pPr>
              <w:pStyle w:val="BodyText"/>
              <w:spacing w:before="0" w:after="0"/>
              <w:ind w:firstLine="311" w:left="0" w:right="0"/>
              <w:jc w:val="both"/>
              <w:rPr/>
            </w:pPr>
            <w:r>
              <w:rPr>
                <w:color w:val="000000"/>
                <w:sz w:val="24"/>
              </w:rPr>
              <w:t>Для сведения сообщается, что в соответствии с Федеральным законом от 08.11.2007 № 257-ФЗ «Об автомобильных дорогах</w:t>
            </w:r>
            <w:r>
              <w:rPr>
                <w:color w:val="000000"/>
              </w:rPr>
              <w:t> </w:t>
            </w:r>
            <w:r>
              <w:rPr>
                <w:color w:val="000000"/>
                <w:sz w:val="24"/>
              </w:rPr>
              <w:t>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w:t>
            </w:r>
            <w:r>
              <w:rPr>
                <w:color w:val="000000"/>
              </w:rPr>
              <w:t> </w:t>
            </w:r>
            <w:r>
              <w:rPr>
                <w:color w:val="000000"/>
                <w:sz w:val="24"/>
              </w:rPr>
              <w:t>на выполнение дополнительных работ, связанных</w:t>
            </w:r>
            <w:r>
              <w:rPr>
                <w:color w:val="000000"/>
              </w:rPr>
              <w:t> </w:t>
            </w:r>
            <w:r>
              <w:rPr>
                <w:color w:val="000000"/>
                <w:sz w:val="24"/>
              </w:rPr>
              <w:t>с обеспечением безопасности дорожного движения, водоотведения и исполнением других установленных техническими регламентами требований, несут лица,</w:t>
            </w:r>
            <w:r>
              <w:rPr>
                <w:color w:val="000000"/>
              </w:rPr>
              <w:t> </w:t>
            </w:r>
            <w:r>
              <w:rPr>
                <w:color w:val="000000"/>
                <w:sz w:val="24"/>
              </w:rPr>
              <w:t>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дорог и благоустройства администрации города Перми от </w:t>
            </w:r>
            <w:r>
              <w:rPr>
                <w:color w:val="000000"/>
                <w:sz w:val="24"/>
              </w:rPr>
              <w:t>12.09.2024 № 059-24-01-36/3-3325).</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Сысольская, 16  (ПСЧ-6 10-ПСО). На указанной территории источники противопожарного водоснабжения отсутствуют.</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w:t>
            </w:r>
            <w:r>
              <w:rPr>
                <w:color w:val="000000"/>
              </w:rPr>
              <w:t xml:space="preserve"> № </w:t>
            </w:r>
            <w:r>
              <w:rPr>
                <w:color w:val="000000"/>
                <w:sz w:val="24"/>
              </w:rPr>
              <w:t>69-ФЗ «О пожарной безопасности» и от 22 июля 2008 г. № 123-ФЗ «Технический</w:t>
            </w:r>
            <w:r>
              <w:rPr>
                <w:color w:val="000000"/>
              </w:rPr>
              <w:t xml:space="preserve"> </w:t>
            </w:r>
            <w:r>
              <w:rPr>
                <w:color w:val="000000"/>
                <w:sz w:val="24"/>
              </w:rPr>
              <w:t>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Объект общественной безопасности, отнесенный  к объектам полиции (участковые пункты полиции), в данном микрорайоне расположен по адресу: г. Пермь, ул. Судозаводская, 8 (микрорайон Нижняя Курья, Кировский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rFonts w:ascii="Times New Roman" w:hAnsi="Times New Roman"/>
                <w:color w:val="000000"/>
                <w:sz w:val="24"/>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ул. Светлогорская, 19 – 1500 метров.</w:t>
            </w:r>
          </w:p>
          <w:p>
            <w:pPr>
              <w:pStyle w:val="BodyText"/>
              <w:spacing w:before="0" w:after="0"/>
              <w:ind w:firstLine="311" w:left="0" w:right="0"/>
              <w:jc w:val="both"/>
              <w:rPr>
                <w:rFonts w:ascii="Times New Roman" w:hAnsi="Times New Roman"/>
                <w:color w:val="000000"/>
                <w:sz w:val="24"/>
              </w:rPr>
            </w:pPr>
            <w:r>
              <w:rPr>
                <w:color w:val="000000"/>
                <w:sz w:val="24"/>
              </w:rPr>
              <w:t>По информации, предоставленной Министерством территориальной безопасности Пермского края, рассматриваемый земельный участок попадает в зону возможного химического заражения в особый период.</w:t>
            </w:r>
          </w:p>
          <w:p>
            <w:pPr>
              <w:pStyle w:val="BodyText"/>
              <w:spacing w:before="0" w:after="0"/>
              <w:ind w:firstLine="311" w:left="0" w:right="0"/>
              <w:jc w:val="both"/>
              <w:rPr/>
            </w:pPr>
            <w:r>
              <w:rPr>
                <w:sz w:val="24"/>
                <w:szCs w:val="24"/>
              </w:rPr>
              <w:t>(Аналогичная информация отражена в письме</w:t>
            </w:r>
            <w:r>
              <w:rPr/>
              <w:t xml:space="preserve">  д</w:t>
            </w:r>
            <w:r>
              <w:rPr>
                <w:b/>
                <w:color w:val="000000"/>
                <w:sz w:val="24"/>
              </w:rPr>
              <w:t xml:space="preserve">епартамента общественной безопасности администрации города Перми </w:t>
            </w:r>
            <w:r>
              <w:rPr>
                <w:color w:val="000000"/>
                <w:sz w:val="24"/>
              </w:rPr>
              <w:t>от 16.09.2024 № 059-10-01-27/3-1450</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Согласно </w:t>
            </w:r>
            <w:r>
              <w:rPr>
                <w:b/>
                <w:color w:val="000000"/>
                <w:sz w:val="24"/>
              </w:rPr>
              <w:t xml:space="preserve">протоколу заседания координационного совещания по обеспечению правопорядка в Пермском крае от 16.03.2022 №74-гс </w:t>
            </w:r>
            <w:r>
              <w:rPr>
                <w:color w:val="000000"/>
                <w:sz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p>
            <w:pPr>
              <w:pStyle w:val="BodyText"/>
              <w:ind w:firstLine="709"/>
              <w:jc w:val="both"/>
              <w:rPr>
                <w:sz w:val="24"/>
                <w:szCs w:val="24"/>
              </w:rPr>
            </w:pPr>
            <w:r>
              <w:rPr>
                <w:sz w:val="24"/>
                <w:szCs w:val="24"/>
              </w:rPr>
            </w:r>
          </w:p>
          <w:p>
            <w:pPr>
              <w:pStyle w:val="BodyText"/>
              <w:ind w:firstLine="709"/>
              <w:jc w:val="both"/>
              <w:rPr>
                <w:b w:val="false"/>
                <w:bCs w:val="false"/>
                <w:sz w:val="24"/>
                <w:szCs w:val="24"/>
              </w:rPr>
            </w:pPr>
            <w:r>
              <w:rPr>
                <w:b w:val="false"/>
                <w:bCs w:val="false"/>
                <w:sz w:val="24"/>
                <w:szCs w:val="24"/>
              </w:rPr>
            </w:r>
          </w:p>
        </w:tc>
      </w:tr>
      <w:tr>
        <w:trPr>
          <w:trHeight w:val="1041"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9"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указаны в ГПЗУ (пункт 3 статьи 57.3 Градостроительного кодекса Российской Федерации).</w:t>
            </w:r>
          </w:p>
          <w:p>
            <w:pPr>
              <w:pStyle w:val="BodyText"/>
              <w:spacing w:before="0" w:after="0"/>
              <w:ind w:firstLine="311" w:left="0" w:right="0"/>
              <w:jc w:val="both"/>
              <w:rPr/>
            </w:pPr>
            <w:r>
              <w:rPr>
                <w:color w:val="000000"/>
                <w:sz w:val="24"/>
              </w:rPr>
              <w:t>Согласно информации, содержащейся в ГПЗУ,</w:t>
            </w:r>
            <w:r>
              <w:rPr>
                <w:color w:val="000000"/>
              </w:rPr>
              <w:t xml:space="preserve"> </w:t>
            </w: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IV.</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 0 м. Предельное количество этажей и (или) предельная высота зданий, строений –</w:t>
            </w:r>
            <w:r>
              <w:rPr>
                <w:color w:val="000000"/>
              </w:rPr>
              <w:t> </w:t>
            </w:r>
            <w:r>
              <w:rPr>
                <w:color w:val="000000"/>
                <w:sz w:val="24"/>
              </w:rPr>
              <w:t>без ограничений.</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земельного участка, определяемый как отношений суммарной площади земельного участка, которая может быть застроена, ко всей площади земельного участка – без ограничений.</w:t>
            </w:r>
          </w:p>
          <w:p>
            <w:pPr>
              <w:pStyle w:val="BodyText"/>
              <w:spacing w:before="0" w:after="0"/>
              <w:ind w:firstLine="311" w:left="0" w:right="0"/>
              <w:jc w:val="both"/>
              <w:rPr/>
            </w:pPr>
            <w:r>
              <w:rPr>
                <w:color w:val="000000"/>
                <w:sz w:val="24"/>
              </w:rPr>
              <w:t>В соответствии с таблицей Б.1 «Показатели плотности застройки участков территориальных зон»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земельного участка в производственной промышленной зоне составляет 2,4.</w:t>
            </w:r>
          </w:p>
          <w:p>
            <w:pPr>
              <w:pStyle w:val="BodyText"/>
              <w:spacing w:before="0" w:after="0"/>
              <w:ind w:firstLine="311" w:left="0" w:right="0"/>
              <w:jc w:val="both"/>
              <w:rPr/>
            </w:pPr>
            <w:r>
              <w:rPr>
                <w:color w:val="000000"/>
                <w:sz w:val="24"/>
              </w:rPr>
              <w:t>Таким образом, предельные параметры разрешенного строительства</w:t>
            </w:r>
            <w:r>
              <w:rPr>
                <w:color w:val="000000"/>
              </w:rPr>
              <w:t> </w:t>
            </w:r>
            <w:r>
              <w:rPr>
                <w:color w:val="000000"/>
                <w:sz w:val="24"/>
              </w:rPr>
              <w:t>на земельном участке составляют 3607,2 кв. м (1503*2,4).</w:t>
            </w:r>
          </w:p>
          <w:p>
            <w:pPr>
              <w:pStyle w:val="BodyText"/>
              <w:ind w:firstLine="312"/>
              <w:jc w:val="both"/>
              <w:rPr>
                <w:sz w:val="24"/>
                <w:szCs w:val="24"/>
              </w:rPr>
            </w:pPr>
            <w:r>
              <w:rPr>
                <w:color w:val="000000"/>
                <w:sz w:val="24"/>
                <w:szCs w:val="24"/>
              </w:rPr>
              <w:t xml:space="preserve">Участок расположен на территории, в границах которой предусматриваются </w:t>
            </w:r>
            <w:r>
              <w:rPr>
                <w:b/>
                <w:color w:val="000000"/>
                <w:sz w:val="24"/>
                <w:szCs w:val="24"/>
              </w:rPr>
              <w:t>требования к архитектурно-градостроительному облику объектов капитального строительства</w:t>
            </w:r>
            <w:r>
              <w:rPr>
                <w:color w:val="000000"/>
                <w:sz w:val="24"/>
                <w:szCs w:val="24"/>
              </w:rPr>
              <w:t xml:space="preserve"> в соответствии со статьей 52.9 Правил землепользования и застройки.</w:t>
            </w:r>
          </w:p>
          <w:p>
            <w:pPr>
              <w:pStyle w:val="BodyText"/>
              <w:spacing w:before="0" w:after="0"/>
              <w:ind w:firstLine="311" w:left="0" w:right="0"/>
              <w:jc w:val="both"/>
              <w:rPr>
                <w:rFonts w:ascii="Times New Roman" w:hAnsi="Times New Roman"/>
                <w:b/>
                <w:color w:val="000000"/>
                <w:sz w:val="24"/>
              </w:rPr>
            </w:pPr>
            <w:r>
              <w:rPr>
                <w:b/>
                <w:color w:val="000000"/>
                <w:sz w:val="24"/>
              </w:rPr>
              <w:t>При проектировании и строительстве необходимо учитывать требования к архитектурно-градостроительному облику объектов капитального строительства, утвержденные постановлением Правительства Пермского края от 21.08.2023 № 633-п «О внесении изменений в ПЗЗ».</w:t>
            </w:r>
          </w:p>
          <w:p>
            <w:pPr>
              <w:pStyle w:val="BodyText"/>
              <w:spacing w:before="0" w:after="0"/>
              <w:ind w:firstLine="311" w:left="0" w:right="0"/>
              <w:jc w:val="both"/>
              <w:rPr/>
            </w:pPr>
            <w:r>
              <w:rPr>
                <w:b/>
                <w:color w:val="000000"/>
                <w:sz w:val="24"/>
              </w:rPr>
              <w:t>Информация о требованиях архитектурно-градостроительного облика объекта указана в</w:t>
            </w:r>
            <w:r>
              <w:rPr>
                <w:color w:val="000000"/>
              </w:rPr>
              <w:t> </w:t>
            </w:r>
            <w:r>
              <w:rPr>
                <w:b/>
                <w:color w:val="000000"/>
                <w:sz w:val="24"/>
              </w:rPr>
              <w:t>п. 12 градостроительного плана земельного участка</w:t>
              <w:br/>
              <w:t> от 23.09.2024 № РФ-59-2-03-0-00-2024-1997-0 (далее – ГПЗУ).</w:t>
            </w:r>
          </w:p>
          <w:p>
            <w:pPr>
              <w:pStyle w:val="BodyText"/>
              <w:spacing w:before="0" w:after="0"/>
              <w:ind w:firstLine="311" w:left="0" w:right="0"/>
              <w:jc w:val="both"/>
              <w:rPr/>
            </w:pPr>
            <w:r>
              <w:rPr>
                <w:color w:val="000000"/>
                <w:sz w:val="24"/>
              </w:rPr>
              <w:t xml:space="preserve">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соблюдать требования </w:t>
              <w:br/>
              <w:t xml:space="preserve"> по разработке паспорта внешнего облика объекта капитального строительства (далее </w:t>
            </w:r>
            <w:r>
              <w:rPr>
                <w:color w:val="000000"/>
              </w:rPr>
              <w:t xml:space="preserve">– </w:t>
            </w:r>
            <w:r>
              <w:rPr>
                <w:color w:val="000000"/>
                <w:sz w:val="24"/>
              </w:rPr>
              <w:t>колерный паспорт, Правила).</w:t>
            </w:r>
          </w:p>
          <w:p>
            <w:pPr>
              <w:pStyle w:val="BodyText"/>
              <w:spacing w:before="0" w:after="0"/>
              <w:ind w:firstLine="311" w:left="0" w:right="0"/>
              <w:jc w:val="both"/>
              <w:rPr/>
            </w:pPr>
            <w:r>
              <w:rPr>
                <w:color w:val="000000"/>
                <w:sz w:val="24"/>
              </w:rPr>
              <w:t xml:space="preserve">Колерный паспорт </w:t>
            </w:r>
            <w:r>
              <w:rPr>
                <w:color w:val="000000"/>
              </w:rPr>
              <w:t xml:space="preserve">– </w:t>
            </w:r>
            <w:r>
              <w:rPr>
                <w:color w:val="000000"/>
                <w:sz w:val="24"/>
              </w:rPr>
              <w:t>документ, разрабатываемый 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w:t>
            </w:r>
            <w:r>
              <w:rPr>
                <w:color w:val="000000"/>
              </w:rPr>
              <w:t> </w:t>
            </w:r>
            <w:r>
              <w:rPr>
                <w:color w:val="000000"/>
                <w:sz w:val="24"/>
              </w:rPr>
              <w:t>в отношении материалов, способов отделки и цветов фасадов, ограждающих конструкций (крыш (кровельного покрытия), ограждений балконов, лоджий), мест</w:t>
            </w:r>
            <w:r>
              <w:rPr>
                <w:color w:val="000000"/>
              </w:rPr>
              <w:t> </w:t>
            </w:r>
            <w:r>
              <w:rPr>
                <w:color w:val="000000"/>
                <w:sz w:val="24"/>
              </w:rPr>
              <w:t>для размещения средств размещения информации (вывесок, указателей с наименованиями улиц и номерами домов (зданий)), рекламных конструкций, а также мест для размещения, вида, цветового решения архитектурно-художественной подсветки.</w:t>
            </w:r>
          </w:p>
          <w:p>
            <w:pPr>
              <w:pStyle w:val="BodyText"/>
              <w:spacing w:before="0" w:after="0"/>
              <w:ind w:firstLine="311" w:left="0" w:right="0"/>
              <w:jc w:val="both"/>
              <w:rPr/>
            </w:pPr>
            <w:r>
              <w:rPr>
                <w:color w:val="000000"/>
                <w:sz w:val="24"/>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pPr>
              <w:pStyle w:val="BodyText"/>
              <w:ind w:firstLine="312"/>
              <w:jc w:val="both"/>
              <w:rPr>
                <w:sz w:val="24"/>
                <w:szCs w:val="24"/>
              </w:rPr>
            </w:pPr>
            <w:r>
              <w:rPr>
                <w:sz w:val="24"/>
                <w:szCs w:val="24"/>
              </w:rPr>
            </w:r>
          </w:p>
          <w:p>
            <w:pPr>
              <w:pStyle w:val="BodyText"/>
              <w:ind w:hanging="0"/>
              <w:jc w:val="both"/>
              <w:rPr>
                <w:sz w:val="24"/>
                <w:szCs w:val="24"/>
              </w:rPr>
            </w:pPr>
            <w:r>
              <w:rPr>
                <w:sz w:val="24"/>
                <w:szCs w:val="24"/>
              </w:rPr>
            </w:r>
          </w:p>
        </w:tc>
      </w:tr>
      <w:tr>
        <w:trPr>
          <w:trHeight w:val="417" w:hRule="atLeast"/>
        </w:trPr>
        <w:tc>
          <w:tcPr>
            <w:tcW w:w="3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4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9" w:type="dxa"/>
            <w:tcBorders>
              <w:top w:val="single" w:sz="4" w:space="0" w:color="000000"/>
              <w:left w:val="single" w:sz="4" w:space="0" w:color="000000"/>
              <w:bottom w:val="single" w:sz="4" w:space="0" w:color="000000"/>
              <w:right w:val="single" w:sz="4" w:space="0" w:color="000000"/>
            </w:tcBorders>
          </w:tcPr>
          <w:p>
            <w:pPr>
              <w:pStyle w:val="Normal"/>
              <w:ind w:hanging="0"/>
              <w:jc w:val="both"/>
              <w:rPr/>
            </w:pPr>
            <w:r>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BodyText"/>
              <w:ind w:firstLine="252"/>
              <w:jc w:val="both"/>
              <w:rPr>
                <w:sz w:val="24"/>
                <w:szCs w:val="24"/>
                <w:highlight w:val="none"/>
              </w:rPr>
            </w:pPr>
            <w:r>
              <w:rPr>
                <w:color w:val="000000"/>
                <w:sz w:val="24"/>
              </w:rPr>
              <w:t>Техническая возможность подключения объекта капитального строительства с планируемым объемом потребления газа 5,33 куб.м/час к существующим сетям газораспределения имеется.</w:t>
            </w:r>
          </w:p>
          <w:p>
            <w:pPr>
              <w:pStyle w:val="BodyText"/>
              <w:spacing w:before="0" w:after="0"/>
              <w:ind w:firstLine="311" w:left="0" w:right="0"/>
              <w:jc w:val="both"/>
              <w:rPr/>
            </w:pPr>
            <w:r>
              <w:rPr>
                <w:sz w:val="24"/>
                <w:szCs w:val="24"/>
              </w:rPr>
              <w:t xml:space="preserve">(Аналогичная информация отражена в письме </w:t>
            </w:r>
            <w:r>
              <w:rPr/>
              <w:t xml:space="preserve"> </w:t>
            </w:r>
            <w:r>
              <w:rPr>
                <w:b/>
                <w:color w:val="000000"/>
                <w:sz w:val="24"/>
              </w:rPr>
              <w:t>АО «Газпром газораспределение Пермь»</w:t>
            </w:r>
            <w:r>
              <w:rPr>
                <w:color w:val="000000"/>
                <w:sz w:val="24"/>
              </w:rPr>
              <w:t> от 13.09.2024 № ПФ-5957</w:t>
            </w:r>
            <w:r>
              <w:rPr/>
              <w:t>).</w:t>
            </w:r>
          </w:p>
          <w:p>
            <w:pPr>
              <w:pStyle w:val="BodyText"/>
              <w:spacing w:before="0" w:after="0"/>
              <w:ind w:firstLine="311" w:left="0" w:right="0"/>
              <w:jc w:val="both"/>
              <w:rPr>
                <w:rFonts w:ascii="Times New Roman" w:hAnsi="Times New Roman"/>
              </w:rPr>
            </w:pPr>
            <w:r>
              <w:rPr/>
            </w:r>
          </w:p>
          <w:p>
            <w:pPr>
              <w:pStyle w:val="BodyText"/>
              <w:spacing w:before="0" w:after="0"/>
              <w:ind w:firstLine="311" w:left="0" w:right="0"/>
              <w:jc w:val="both"/>
              <w:rPr/>
            </w:pPr>
            <w:r>
              <w:rPr>
                <w:color w:val="000000"/>
                <w:sz w:val="24"/>
              </w:rPr>
              <w:t>При проведении оценочного расчета подключения объекта к сетям водопровода и канализации, установлено, что в настоящее время отсутствует техническая возможность подключения объекта к централизованным системам водоснабжения.</w:t>
            </w:r>
          </w:p>
          <w:p>
            <w:pPr>
              <w:pStyle w:val="BodyText"/>
              <w:spacing w:before="0" w:after="0"/>
              <w:ind w:firstLine="311" w:left="0" w:right="0"/>
              <w:jc w:val="both"/>
              <w:rPr>
                <w:rFonts w:ascii="Times New Roman" w:hAnsi="Times New Roman"/>
                <w:color w:val="000000"/>
                <w:sz w:val="24"/>
              </w:rPr>
            </w:pPr>
            <w:r>
              <w:rPr>
                <w:color w:val="000000"/>
                <w:sz w:val="24"/>
              </w:rPr>
              <w:t>Для наличия технической возможности подключения объекта к централизованной системе водоснабжения необходимо запроектировать и выполнить мероприятия, указанные в письме (прилагается).</w:t>
            </w:r>
          </w:p>
          <w:p>
            <w:pPr>
              <w:pStyle w:val="BodyText"/>
              <w:spacing w:before="0" w:after="0"/>
              <w:ind w:firstLine="311" w:left="0" w:right="0"/>
              <w:jc w:val="both"/>
              <w:rPr/>
            </w:pPr>
            <w:r>
              <w:rPr>
                <w:color w:val="000000"/>
                <w:sz w:val="24"/>
              </w:rPr>
              <w:t xml:space="preserve">Указанные мероприятия, обеспечивающие техническую возможность подключения объекта, не предусмотрены </w:t>
            </w:r>
            <w:r>
              <w:rPr>
                <w:color w:val="000000"/>
              </w:rPr>
              <w:t> </w:t>
            </w:r>
            <w:r>
              <w:rPr>
                <w:color w:val="000000"/>
                <w:sz w:val="24"/>
              </w:rPr>
              <w:t>в Инвестиционной программе в сфере холодного водоснабжения, водоотведения и очистки сточных вод на территории г. Перми</w:t>
              <w:br/>
              <w:t> ООО «Новая городская инфраструктура Прикамья»  на период 2023-2027 гг., утвержденной Приказом Министерства тарифного регулирования и энергетики Пермского края №46-02-41-9 от 02.09.2022 г.</w:t>
            </w:r>
          </w:p>
          <w:p>
            <w:pPr>
              <w:pStyle w:val="BodyText"/>
              <w:spacing w:before="0" w:after="0"/>
              <w:ind w:firstLine="311" w:left="0" w:right="0"/>
              <w:jc w:val="both"/>
              <w:rPr>
                <w:rFonts w:ascii="Times New Roman" w:hAnsi="Times New Roman"/>
                <w:color w:val="000000"/>
                <w:sz w:val="24"/>
              </w:rPr>
            </w:pPr>
            <w:r>
              <w:rPr>
                <w:color w:val="000000"/>
                <w:sz w:val="24"/>
              </w:rPr>
              <w:t>Подключение конкурсной площадки к сетям водоснабжения и водоотведения будет возможно только после выполнения вышеуказанных мероприятий.</w:t>
            </w:r>
          </w:p>
          <w:p>
            <w:pPr>
              <w:pStyle w:val="BodyText"/>
              <w:spacing w:before="0" w:after="0"/>
              <w:ind w:firstLine="311" w:left="0" w:right="0"/>
              <w:jc w:val="both"/>
              <w:rPr/>
            </w:pPr>
            <w:r>
              <w:rPr/>
              <w:t>(</w:t>
            </w:r>
            <w:r>
              <w:rPr>
                <w:sz w:val="24"/>
                <w:szCs w:val="24"/>
              </w:rPr>
              <w:t xml:space="preserve">Аналогичная информация отражена в письме </w:t>
            </w:r>
            <w:r>
              <w:rPr/>
              <w:t xml:space="preserve"> </w:t>
            </w:r>
            <w:r>
              <w:rPr>
                <w:b/>
                <w:color w:val="000000"/>
                <w:sz w:val="24"/>
              </w:rPr>
              <w:t xml:space="preserve">ООО «Новогор-Прикамье» </w:t>
            </w:r>
            <w:r>
              <w:rPr>
                <w:color w:val="000000"/>
                <w:sz w:val="24"/>
              </w:rPr>
              <w:t>от 20.09.2024 № 110-15569</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 </w:t>
            </w:r>
            <w:r>
              <w:rPr>
                <w:color w:val="000000"/>
                <w:sz w:val="24"/>
              </w:rPr>
              <w:t>Участок расположен вне зоны теплоснабжения ПАО «Т Плюс».</w:t>
            </w:r>
          </w:p>
          <w:p>
            <w:pPr>
              <w:pStyle w:val="BodyText"/>
              <w:spacing w:before="0" w:after="0"/>
              <w:ind w:firstLine="311" w:left="0" w:right="0"/>
              <w:jc w:val="both"/>
              <w:rPr>
                <w:rFonts w:ascii="Times New Roman" w:hAnsi="Times New Roman"/>
                <w:color w:val="000000"/>
                <w:sz w:val="24"/>
              </w:rPr>
            </w:pPr>
            <w:r>
              <w:rPr>
                <w:color w:val="000000"/>
                <w:sz w:val="24"/>
              </w:rPr>
              <w:t>Для запроса информации о возможности подключения вышеуказанного объекта рекомендуется обратиться к собственнику близлежащих тепловых сетей/источника теплоснабжения или рассмотреть возможность альтернативного источника теплоснабжения.</w:t>
            </w:r>
          </w:p>
          <w:p>
            <w:pPr>
              <w:pStyle w:val="BodyText"/>
              <w:spacing w:before="0" w:after="0"/>
              <w:ind w:firstLine="311" w:left="0" w:right="0"/>
              <w:jc w:val="both"/>
              <w:rPr>
                <w:rFonts w:ascii="Times New Roman" w:hAnsi="Times New Roman"/>
                <w:color w:val="000000"/>
                <w:sz w:val="24"/>
              </w:rPr>
            </w:pPr>
            <w:r>
              <w:rPr>
                <w:color w:val="000000"/>
                <w:sz w:val="24"/>
              </w:rPr>
              <w:t>Департамент жилищно-коммунального хозяйства администрации города Перми письмом от 23.09.2024 № 059-04-25/3-107-ри (прилагается) сообщается, что техническая возможность подключения объекта капитального строительства к сетям теплоснабжения отсутствует.</w:t>
            </w:r>
          </w:p>
          <w:p>
            <w:pPr>
              <w:pStyle w:val="BodyText"/>
              <w:spacing w:before="0" w:after="0"/>
              <w:ind w:firstLine="311"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 дрова, пеллеты.</w:t>
            </w:r>
          </w:p>
          <w:p>
            <w:pPr>
              <w:pStyle w:val="BodyText"/>
              <w:spacing w:before="0" w:after="0"/>
              <w:ind w:firstLine="311" w:left="0" w:right="0"/>
              <w:jc w:val="both"/>
              <w:rPr/>
            </w:pPr>
            <w:r>
              <w:rPr>
                <w:sz w:val="24"/>
                <w:szCs w:val="24"/>
              </w:rPr>
              <w:t>(Аналогичная информация отражена в письме</w:t>
            </w:r>
            <w:r>
              <w:rPr/>
              <w:t xml:space="preserve">  </w:t>
            </w:r>
            <w:r>
              <w:rPr>
                <w:b/>
                <w:color w:val="000000"/>
                <w:sz w:val="24"/>
              </w:rPr>
              <w:t>Пермские тепловые сети Филиал ПАО «Т Плюс»</w:t>
            </w:r>
            <w:r>
              <w:rPr>
                <w:color w:val="000000"/>
                <w:sz w:val="24"/>
              </w:rPr>
              <w:t xml:space="preserve"> от 19.09.2024              № 51000-32-03175</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 узел ВОЛС (г. Пермь, ул. Адмирала Ушакова, д. 20а),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20.09.2024 № 01/05/141233/24).</w:t>
            </w:r>
          </w:p>
          <w:p>
            <w:pPr>
              <w:pStyle w:val="Normal"/>
              <w:ind w:firstLine="252"/>
              <w:jc w:val="both"/>
              <w:rPr>
                <w:sz w:val="24"/>
                <w:szCs w:val="24"/>
                <w:highlight w:val="none"/>
              </w:rPr>
            </w:pPr>
            <w:r>
              <w:rPr>
                <w:sz w:val="24"/>
                <w:szCs w:val="24"/>
              </w:rPr>
            </w:r>
          </w:p>
        </w:tc>
      </w:tr>
      <w:tr>
        <w:trPr>
          <w:trHeight w:val="225"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val="false"/>
                <w:color w:val="000000"/>
                <w:sz w:val="24"/>
                <w:szCs w:val="24"/>
              </w:rPr>
              <w:t>однократно за первые 3 года</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352 300 руб.</w:t>
            </w:r>
          </w:p>
        </w:tc>
      </w:tr>
      <w:tr>
        <w:trPr>
          <w:trHeight w:val="225"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10 569 руб.</w:t>
            </w:r>
          </w:p>
        </w:tc>
      </w:tr>
      <w:tr>
        <w:trPr>
          <w:trHeight w:val="498"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4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Решение о проведении аукциона принято в соответствии со статьей 39.11 Земельного кодекса Российской Федерации, аукцион является открытым по составу участников.</w:t>
            </w:r>
          </w:p>
        </w:tc>
      </w:tr>
      <w:tr>
        <w:trPr>
          <w:trHeight w:val="557"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176 150 руб.</w:t>
            </w:r>
          </w:p>
          <w:p>
            <w:pPr>
              <w:pStyle w:val="Normal"/>
              <w:jc w:val="both"/>
              <w:rPr>
                <w:sz w:val="24"/>
                <w:szCs w:val="24"/>
              </w:rPr>
            </w:pPr>
            <w:r>
              <w:rPr>
                <w:sz w:val="24"/>
                <w:szCs w:val="24"/>
              </w:rPr>
            </w:r>
          </w:p>
        </w:tc>
      </w:tr>
      <w:tr>
        <w:trPr>
          <w:trHeight w:val="318"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года 10 месяцев</w:t>
            </w:r>
          </w:p>
        </w:tc>
      </w:tr>
      <w:tr>
        <w:trPr>
          <w:trHeight w:val="144"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30"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4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9"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08.02.2025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11.03.2025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12.03.2025.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13.03</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08.02.2025 по 11.03.2025.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08.02.2025 по 11.03.2025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 договора является частью извещения и представлен в Приложении 2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2"/>
      <w:headerReference w:type="first" r:id="rId13"/>
      <w:footerReference w:type="default" r:id="rId1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15</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1156</TotalTime>
  <Application>LibreOffice/7.6.7.2$Linux_X86_64 LibreOffice_project/60$Build-2</Application>
  <AppVersion>15.0000</AppVersion>
  <Pages>15</Pages>
  <Words>5090</Words>
  <Characters>36724</Characters>
  <CharactersWithSpaces>41709</CharactersWithSpaces>
  <Paragraphs>233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2025-02-07T15:07:29Z</dcterms:modified>
  <cp:revision>74</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