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28.02.2025 № 059-19-01-11-17</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17.04.2025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(далее – аукцион) проводится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28.02.2025 № 059-19-01-11-17.</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2</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28 ноября 2024 г. № 21-01-03-10572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Новогодняя, з/у 1а</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649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59:01:3812825:162</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04.02.2025г. № КУВИ-001/2025-30795334;</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РФ-59-2-03-0-00-2024-0073-0 (далее – ГПЗУ).</w:t>
            </w:r>
          </w:p>
          <w:p>
            <w:pPr>
              <w:pStyle w:val="BodyText"/>
              <w:ind w:firstLine="312"/>
              <w:jc w:val="both"/>
              <w:rPr>
                <w:color w:val="000000"/>
                <w:sz w:val="24"/>
              </w:rPr>
            </w:pPr>
            <w:r>
              <w:rPr>
                <w:color w:val="000000"/>
                <w:sz w:val="24"/>
              </w:rPr>
            </w:r>
          </w:p>
          <w:p>
            <w:pPr>
              <w:pStyle w:val="BodyText"/>
              <w:ind w:firstLine="312"/>
              <w:jc w:val="both"/>
              <w:rPr>
                <w:color w:val="000000"/>
                <w:sz w:val="24"/>
              </w:rPr>
            </w:pPr>
            <w:r>
              <w:rPr>
                <w:color w:val="000000"/>
                <w:sz w:val="24"/>
              </w:rPr>
              <w:t>Согласно сведениям, содержащимся в ЕГРН в границах Участка расположен объект капитального строительства с кадастровым номером 59:01:0000000:77564 – сооружение: электросетевой комплекс «Подстанция  110/6 кВ «Северная» с линиями электропередачи, трансформаторными подстанциями   и распределительными пунктами», находящееся в собственности Филиала ПАО «Россети Урал»</w:t>
            </w:r>
          </w:p>
          <w:p>
            <w:pPr>
              <w:pStyle w:val="BodyText"/>
              <w:spacing w:before="0" w:after="0"/>
              <w:ind w:firstLine="311" w:left="0" w:right="0"/>
              <w:jc w:val="both"/>
              <w:rPr/>
            </w:pPr>
            <w:r>
              <w:rPr>
                <w:color w:val="000000"/>
                <w:sz w:val="24"/>
              </w:rPr>
              <w:t>Согласно пункту 8 статьи 39.11 Кодекса</w:t>
            </w:r>
            <w:r>
              <w:rPr>
                <w:color w:val="000000"/>
              </w:rPr>
              <w:t xml:space="preserve"> </w:t>
            </w:r>
            <w:r>
              <w:rPr>
                <w:color w:val="000000"/>
                <w:sz w:val="24"/>
              </w:rPr>
              <w:t>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По данным геодезической съемки в границах Участка расположен забор</w:t>
            </w:r>
            <w:r>
              <w:rPr>
                <w:color w:val="000000"/>
              </w:rPr>
              <w:t xml:space="preserve"> </w:t>
            </w:r>
            <w:r>
              <w:rPr>
                <w:color w:val="000000"/>
                <w:sz w:val="24"/>
              </w:rPr>
              <w:t>и частично жилое строение.</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Доступ не ограничен, на Участке возведено одноэтажное деревянное каркасно-засыпное строение с пристроем.  При проведении анализа путем дистанционного зондирования территории информационной системы «Единая цифровая платформа «Национальная система пространственных данных»  выявлено, что строение расположено в границах участка с кадастровым номером 59:01:3812825:162. Обследование Участка на предмет захламления затруднено в связи с наличием снежного покрова.</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администрации Орджоникидзевского района города Перми</w:t>
            </w:r>
            <w:r>
              <w:rPr>
                <w:color w:val="000000"/>
                <w:sz w:val="24"/>
              </w:rPr>
              <w:t> от 24.02.2025 № 059-37-01-32/3-848, в акте обследования  от 21.02.2025 № 19).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Таким образом, при обследовании Участка были выявлены признаки нарушения земельного законодательства, ответственность за которые предусмотрена ст. 7.1 КоАП РФ, т.е. использование земельного участка лицом, не имеющим предусмотренных законодательством РФ прав на указанный земельный участок.</w:t>
            </w:r>
          </w:p>
          <w:p>
            <w:pPr>
              <w:pStyle w:val="BodyText"/>
              <w:spacing w:before="0" w:after="0"/>
              <w:ind w:firstLine="311" w:left="0" w:right="0"/>
              <w:jc w:val="both"/>
              <w:rPr>
                <w:b/>
                <w:color w:val="000000"/>
                <w:sz w:val="24"/>
              </w:rPr>
            </w:pPr>
            <w:r>
              <w:rPr>
                <w:b/>
                <w:color w:val="000000"/>
                <w:sz w:val="24"/>
              </w:rPr>
            </w:r>
          </w:p>
          <w:p>
            <w:pPr>
              <w:pStyle w:val="BodyText"/>
              <w:spacing w:before="0" w:after="0"/>
              <w:ind w:firstLine="311" w:left="0" w:right="0"/>
              <w:jc w:val="both"/>
              <w:rPr>
                <w:b/>
                <w:color w:val="000000"/>
                <w:sz w:val="24"/>
              </w:rPr>
            </w:pPr>
            <w:r>
              <w:rPr>
                <w:b/>
                <w:color w:val="000000"/>
                <w:sz w:val="24"/>
              </w:rPr>
              <w:t>Орджоникидзевским районным судом г. Перми вынесено заочное решение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 (гражданское дело  </w:t>
            </w:r>
            <w:r>
              <w:rPr>
                <w:b/>
                <w:color w:val="000000"/>
                <w:sz w:val="24"/>
              </w:rPr>
              <w:t>№</w:t>
            </w:r>
            <w:r>
              <w:rPr>
                <w:b/>
                <w:color w:val="000000"/>
                <w:sz w:val="24"/>
              </w:rPr>
              <w:t>2-4685/2023 от 26.12.2023).</w:t>
            </w:r>
          </w:p>
          <w:p>
            <w:pPr>
              <w:pStyle w:val="BodyText"/>
              <w:spacing w:before="0" w:after="0"/>
              <w:ind w:firstLine="311" w:left="0" w:right="0"/>
              <w:jc w:val="both"/>
              <w:rPr>
                <w:b/>
                <w:color w:val="000000"/>
                <w:sz w:val="24"/>
              </w:rPr>
            </w:pPr>
            <w:r>
              <w:rPr>
                <w:b/>
                <w:color w:val="000000"/>
                <w:sz w:val="24"/>
              </w:rPr>
            </w:r>
          </w:p>
          <w:p>
            <w:pPr>
              <w:pStyle w:val="BodyText"/>
              <w:spacing w:before="0" w:after="0"/>
              <w:ind w:firstLine="311" w:left="0" w:right="0"/>
              <w:jc w:val="both"/>
              <w:rPr/>
            </w:pPr>
            <w:r>
              <w:rPr>
                <w:b/>
                <w:color w:val="000000"/>
                <w:sz w:val="24"/>
              </w:rPr>
              <w:t>В соответствии с пп. 8 п. 8 ст. 39.11 ЗК РФ</w:t>
            </w:r>
            <w:r>
              <w:rPr>
                <w:color w:val="000000"/>
              </w:rPr>
              <w:t xml:space="preserve"> </w:t>
            </w:r>
            <w:r>
              <w:rPr>
                <w:color w:val="000000"/>
                <w:sz w:val="24"/>
              </w:rPr>
              <w:t>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АИСОГД проходит охранная зона ВЛ 0,4 кВ от ТП4383, от ТП4384, от ТП4385, от ТП4386, КЛ 0,4 кВ от ТП4383, от ТП4385, от ТП4386 (электросетевой комплекс «Подстанция 110/6кВ «Северная» с линиями электропередачи, трансформаторными подстанциями и распределительными пунктами).</w:t>
            </w:r>
          </w:p>
          <w:p>
            <w:pPr>
              <w:pStyle w:val="BodyText"/>
              <w:spacing w:before="0" w:after="0"/>
              <w:ind w:firstLine="311" w:left="0" w:right="0"/>
              <w:jc w:val="both"/>
              <w:rPr>
                <w:color w:val="FF0000"/>
              </w:rPr>
            </w:pPr>
            <w:r>
              <w:rPr>
                <w:color w:val="000000"/>
                <w:sz w:val="24"/>
              </w:rPr>
              <w:t xml:space="preserve">Согласно сведениям, содержащимся в ГПЗУ, ЕГРН </w:t>
              <w:br/>
              <w:t> и справке</w:t>
            </w:r>
            <w:r>
              <w:rPr>
                <w:color w:val="FF0000"/>
              </w:rPr>
              <w:t> </w:t>
            </w:r>
            <w:r>
              <w:rPr>
                <w:color w:val="000000"/>
                <w:sz w:val="24"/>
              </w:rPr>
              <w:t>по градостроительным условиям от 04.02.2025</w:t>
            </w:r>
            <w:r>
              <w:rPr>
                <w:color w:val="000000"/>
              </w:rPr>
              <w:t xml:space="preserve"> № </w:t>
            </w:r>
            <w:r>
              <w:rPr>
                <w:color w:val="000000"/>
                <w:sz w:val="24"/>
              </w:rPr>
              <w:t>621127, Участок</w:t>
            </w:r>
            <w:r>
              <w:rPr>
                <w:color w:val="000000"/>
              </w:rPr>
              <w:t xml:space="preserve"> </w:t>
            </w:r>
            <w:r>
              <w:rPr>
                <w:color w:val="000000"/>
                <w:sz w:val="24"/>
              </w:rPr>
              <w:t>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 xml:space="preserve">в приаэродромной территории аэродрома аэропорта Большое Савино, реестровый номер границы 59:32-6.553. Проектирование и строительство вести в соответствии </w:t>
              <w:br/>
              <w:t>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pPr>
            <w:r>
              <w:rPr>
                <w:color w:val="000000"/>
                <w:sz w:val="24"/>
              </w:rPr>
              <w:t xml:space="preserve">частично в охранной зоне ВЛ 0,4 кВ от ТП4383, </w:t>
              <w:br/>
              <w:t> от ТП4384, от ТП4385, от ТП4386, КЛ 0,4 кВ от ТП4383, от ТП4385, от ТП4386 (электросетевой комплекс «Подстанция 110/6кВ «Северная» с линиями электропередачи, трансформаторными подстанциями и распределительными пунктами) (площадь пересечения 32 кв. м, реестровый номер границы 59.01.2.179).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312"/>
              <w:jc w:val="both"/>
              <w:rPr>
                <w:color w:val="000000"/>
                <w:sz w:val="24"/>
              </w:rPr>
            </w:pPr>
            <w:r>
              <w:rPr>
                <w:color w:val="000000"/>
                <w:sz w:val="24"/>
              </w:rPr>
              <w:t>На Участке произрастает 9 деревьев породы – тополь 6 шт., клен 3 шт.</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15.01.2024 № 5</w:t>
            </w:r>
            <w:r>
              <w:rPr>
                <w:color w:val="000000"/>
              </w:rPr>
              <w:t xml:space="preserve"> </w:t>
            </w:r>
            <w:r>
              <w:rPr>
                <w:color w:val="000000"/>
                <w:sz w:val="24"/>
              </w:rPr>
              <w:t>(прилагается).</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управления по экологии и природопользованию администрации города Перми</w:t>
            </w:r>
            <w:r>
              <w:rPr>
                <w:color w:val="000000"/>
                <w:sz w:val="24"/>
              </w:rPr>
              <w:t xml:space="preserve"> от 17.01.2024 № 059-33-01-10/3-27).</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департамента жилищно-коммунального хозяйства администрации города Перми</w:t>
            </w:r>
            <w:r>
              <w:rPr>
                <w:color w:val="000000"/>
                <w:sz w:val="24"/>
              </w:rPr>
              <w:t xml:space="preserve"> от 22.12.2023 № 059-04-17/3-1271-ри).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Участок имеет возможность присоединения  к автомобильной дороге по ул. Кизеловской.</w:t>
            </w:r>
          </w:p>
          <w:p>
            <w:pPr>
              <w:pStyle w:val="BodyText"/>
              <w:spacing w:before="0" w:after="0"/>
              <w:ind w:firstLine="311" w:left="0" w:right="0"/>
              <w:jc w:val="both"/>
              <w:rPr/>
            </w:pPr>
            <w:r>
              <w:rPr>
                <w:color w:val="000000"/>
                <w:sz w:val="24"/>
              </w:rPr>
              <w:t>Бюджетом города Перми</w:t>
            </w:r>
            <w:r>
              <w:rPr>
                <w:color w:val="000000"/>
              </w:rPr>
              <w:t xml:space="preserve"> </w:t>
            </w:r>
            <w:r>
              <w:rPr>
                <w:color w:val="000000"/>
                <w:sz w:val="24"/>
              </w:rPr>
              <w:t>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BodyText"/>
              <w:spacing w:before="0" w:after="0"/>
              <w:ind w:firstLine="311" w:left="0" w:right="0"/>
              <w:jc w:val="both"/>
              <w:rPr/>
            </w:pPr>
            <w:r>
              <w:rPr>
                <w:color w:val="000000"/>
                <w:sz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д</w:t>
            </w:r>
            <w:r>
              <w:rPr>
                <w:b/>
                <w:color w:val="000000"/>
                <w:sz w:val="24"/>
              </w:rPr>
              <w:t xml:space="preserve">епартамента дорог и благоустройства администрации города Перми </w:t>
            </w:r>
            <w:r>
              <w:rPr>
                <w:color w:val="000000"/>
                <w:sz w:val="24"/>
              </w:rPr>
              <w:t>от 16.01.2024 № 059-24-01-36/3-82).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Волховская, 37 (ПСЧ-7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(Гарцы) отсутствуют. Ближайший участковый пункт расположен по адресу: г. Пермь, ул.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На указанной территории имеется следующий источник противопожарного водоснабжения: (пожарный водоём), расположенный по улице Новогодняя, 11 –  в радиусе 200 метров.</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62"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BodyText"/>
              <w:spacing w:before="0" w:after="0"/>
              <w:ind w:firstLine="311"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22.12.2023</w:t>
            </w:r>
            <w:r>
              <w:rPr>
                <w:color w:val="000000"/>
              </w:rPr>
              <w:t xml:space="preserve"> № </w:t>
            </w:r>
            <w:r>
              <w:rPr>
                <w:color w:val="000000"/>
                <w:sz w:val="24"/>
              </w:rPr>
              <w:t>059-10-01-27/3-2090</w:t>
            </w:r>
            <w:r>
              <w:rPr/>
              <w:t>).</w:t>
            </w:r>
          </w:p>
          <w:p>
            <w:pPr>
              <w:pStyle w:val="BodyText"/>
              <w:ind w:firstLine="312"/>
              <w:jc w:val="both"/>
              <w:rPr>
                <w:color w:val="000000"/>
                <w:sz w:val="24"/>
              </w:rPr>
            </w:pPr>
            <w:r>
              <w:rPr>
                <w:color w:val="000000"/>
                <w:sz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62"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62"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62" w:left="0" w:right="0"/>
              <w:jc w:val="both"/>
              <w:rPr>
                <w:rFonts w:ascii="Times New Roman" w:hAnsi="Times New Roman"/>
                <w:color w:val="000000"/>
                <w:sz w:val="24"/>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Согласно информации, содержащейся в градостроительном плане земельного участка  от 19.01.2024 № РФ-59-2-03-0-00-2024-0073-0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62"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62"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62"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color w:val="000000"/>
                <w:sz w:val="24"/>
                <w:szCs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Электроснабжение объекта возможно будет осуществить при условии строительства питающей линии</w:t>
            </w:r>
            <w:r>
              <w:rPr>
                <w:color w:val="000000"/>
              </w:rPr>
              <w:t xml:space="preserve"> </w:t>
            </w:r>
            <w:r>
              <w:rPr>
                <w:color w:val="000000"/>
                <w:sz w:val="24"/>
              </w:rPr>
              <w:t>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25.12.2023 № ПЭ/ПГЭС/22/639</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АО «Газпром газораспределение Пермь»</w:t>
            </w:r>
            <w:r>
              <w:rPr>
                <w:color w:val="000000"/>
                <w:sz w:val="24"/>
              </w:rPr>
              <w:t> от 10.01.2024 № ПФ-51).</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Ближайший точкой подключения к сетям водоснабжения эксплуатируемой ООО «НОВОГОР-Прикамье» является водовод Д-1000 мм по ул. Чапаева.</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 xml:space="preserve">ООО «НОВОГОР-Прикамье» </w:t>
            </w:r>
            <w:r>
              <w:rPr>
                <w:color w:val="000000"/>
                <w:sz w:val="24"/>
              </w:rPr>
              <w:t>от 10.01.2024 № 110-0083).</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возможность имеется. Возможные точки</w:t>
            </w:r>
            <w:r>
              <w:rPr>
                <w:color w:val="FF0000"/>
              </w:rPr>
              <w:t> </w:t>
            </w:r>
            <w:r>
              <w:rPr>
                <w:color w:val="000000"/>
                <w:sz w:val="24"/>
              </w:rPr>
              <w:t>присоединения на существующих тепловых сетях: К-18  на М-72 2Ду100мм. Источник теплоснабжения: ВК  по адресу: г. Пермь, ул. Чапаева, 6.</w:t>
            </w:r>
          </w:p>
          <w:p>
            <w:pPr>
              <w:pStyle w:val="BodyText"/>
              <w:spacing w:before="0" w:after="0"/>
              <w:ind w:firstLine="311" w:left="0" w:right="0"/>
              <w:jc w:val="both"/>
              <w:rPr/>
            </w:pPr>
            <w:r>
              <w:rPr>
                <w:color w:val="000000"/>
                <w:sz w:val="24"/>
              </w:rPr>
              <w:t>Уточнение объема и перечня необходимых мероприятий для подключения объекта к системе теплоснабжения возможно после подачи заявки и предоставления полного пакета документов для заключения договора о подключении (технологическом присоединении).</w:t>
            </w:r>
          </w:p>
          <w:p>
            <w:pPr>
              <w:pStyle w:val="BodyText"/>
              <w:spacing w:before="0" w:after="0"/>
              <w:ind w:firstLine="311" w:left="0" w:right="0"/>
              <w:jc w:val="both"/>
              <w:rPr/>
            </w:pPr>
            <w:r>
              <w:rPr>
                <w:color w:val="000000"/>
                <w:sz w:val="24"/>
                <w:szCs w:val="24"/>
              </w:rPr>
              <w:t>(Аналогичная информация  отражена в письме</w:t>
            </w:r>
            <w:r>
              <w:rPr>
                <w:color w:val="000000"/>
                <w:sz w:val="24"/>
              </w:rPr>
              <w:t xml:space="preserve"> </w:t>
            </w:r>
            <w:r>
              <w:rPr>
                <w:b/>
                <w:color w:val="000000"/>
                <w:sz w:val="24"/>
              </w:rPr>
              <w:t>Филиала «Пермский  ПАО «Т Плюс»</w:t>
            </w:r>
            <w:r>
              <w:rPr>
                <w:color w:val="000000"/>
                <w:sz w:val="24"/>
              </w:rPr>
              <w:t xml:space="preserve"> от 10.01.2024 № 51030-01-00048).</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11" w:left="0" w:right="0"/>
              <w:jc w:val="both"/>
              <w:rPr/>
            </w:pPr>
            <w:r>
              <w:rPr>
                <w:color w:val="000000"/>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21.03.2024 № 01/05/38407/24).</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154 000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4 620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rPr>
            </w:pPr>
            <w:r>
              <w:rPr>
                <w:b/>
                <w:color w:val="000000"/>
                <w:sz w:val="24"/>
                <w:szCs w:val="24"/>
              </w:rPr>
              <w:t>Решение о проведении аукциона принимается в соответствии со статьей 39.18 Земельного кодекса Российской Федерации, участниками аукциона могут являться только граждане.</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77 000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rPr>
      </w:pPr>
      <w:r>
        <w:rPr>
          <w:sz w:val="20"/>
          <w:szCs w:val="20"/>
        </w:rPr>
      </w:r>
    </w:p>
    <w:p>
      <w:pPr>
        <w:pStyle w:val="Normal"/>
        <w:tabs>
          <w:tab w:val="clear" w:pos="708"/>
          <w:tab w:val="left" w:pos="5103" w:leader="none"/>
        </w:tabs>
        <w:ind w:right="-263"/>
        <w:rPr>
          <w:sz w:val="20"/>
          <w:szCs w:val="20"/>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01.03.2025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15.04.2025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16.04.2025.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17.04</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01.03.2025 по 15.04.2025.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01.03.2025 по 15.04.2025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 договора является частью извещения и представлен в Приложении 3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2"/>
      <w:headerReference w:type="first" r:id="rId13"/>
      <w:footerReference w:type="default" r:id="rId1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15</w:t>
    </w:r>
    <w:r>
      <w:rPr>
        <w:sz w:val="20"/>
        <w:szCs w:val="2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2172</TotalTime>
  <Application>LibreOffice/7.6.7.2$Linux_X86_64 LibreOffice_project/60$Build-2</Application>
  <AppVersion>15.0000</AppVersion>
  <Pages>15</Pages>
  <Words>5120</Words>
  <Characters>36189</Characters>
  <CharactersWithSpaces>41211</CharactersWithSpaces>
  <Paragraphs>234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2025-02-28T16:51:36Z</dcterms:modified>
  <cp:revision>121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