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sz w:val="28"/>
          <w:szCs w:val="28"/>
        </w:rPr>
      </w:pPr>
      <w:r>
        <w:rPr>
          <w:sz w:val="28"/>
          <w:szCs w:val="28"/>
        </w:rPr>
        <w:t>Департамент имущественных отношений администрации города Перми</w:t>
      </w:r>
    </w:p>
    <w:p>
      <w:pPr>
        <w:pStyle w:val="Normal"/>
        <w:rPr>
          <w:sz w:val="28"/>
          <w:szCs w:val="28"/>
        </w:rPr>
      </w:pPr>
      <w:r>
        <w:rPr>
          <w:sz w:val="28"/>
          <w:szCs w:val="28"/>
        </w:rPr>
      </w:r>
    </w:p>
    <w:p>
      <w:pPr>
        <w:pStyle w:val="Normal"/>
        <w:numPr>
          <w:ilvl w:val="0"/>
          <w:numId w:val="0"/>
        </w:numPr>
        <w:ind w:hanging="0" w:left="0"/>
        <w:jc w:val="center"/>
        <w:outlineLvl w:val="0"/>
        <w:rPr>
          <w:b/>
          <w:sz w:val="28"/>
          <w:szCs w:val="28"/>
        </w:rPr>
      </w:pPr>
      <w:r>
        <w:rPr>
          <w:b/>
          <w:sz w:val="28"/>
          <w:szCs w:val="28"/>
        </w:rPr>
        <w:t xml:space="preserve">Протокол рассмотрения заявок на участие в электронном аукционе </w:t>
      </w:r>
    </w:p>
    <w:p>
      <w:pPr>
        <w:pStyle w:val="Normal"/>
        <w:numPr>
          <w:ilvl w:val="0"/>
          <w:numId w:val="0"/>
        </w:numPr>
        <w:ind w:hanging="0" w:left="0"/>
        <w:jc w:val="center"/>
        <w:outlineLvl w:val="0"/>
        <w:rPr>
          <w:b/>
          <w:sz w:val="28"/>
          <w:szCs w:val="28"/>
        </w:rPr>
      </w:pPr>
      <w:r>
        <w:rPr>
          <w:b/>
          <w:sz w:val="28"/>
          <w:szCs w:val="28"/>
        </w:rPr>
        <w:t>на право заключения договора аренды земельного участка</w:t>
      </w:r>
    </w:p>
    <w:p>
      <w:pPr>
        <w:pStyle w:val="Normal"/>
        <w:numPr>
          <w:ilvl w:val="0"/>
          <w:numId w:val="0"/>
        </w:numPr>
        <w:ind w:hanging="0" w:left="0"/>
        <w:outlineLvl w:val="0"/>
        <w:rPr>
          <w:sz w:val="28"/>
          <w:szCs w:val="28"/>
        </w:rPr>
      </w:pPr>
      <w:r>
        <w:rPr>
          <w:sz w:val="28"/>
          <w:szCs w:val="28"/>
        </w:rPr>
      </w:r>
    </w:p>
    <w:p>
      <w:pPr>
        <w:pStyle w:val="Normal"/>
        <w:jc w:val="both"/>
        <w:rPr>
          <w:sz w:val="28"/>
          <w:szCs w:val="28"/>
        </w:rPr>
      </w:pPr>
      <w:r>
        <w:rPr>
          <w:sz w:val="28"/>
          <w:szCs w:val="28"/>
        </w:rPr>
        <w:t xml:space="preserve">г. Пермь, ул. Сибирская, д.14, кабинет 2                      </w:t>
        <w:tab/>
        <w:t xml:space="preserve">                                12.03.2025 </w:t>
      </w:r>
    </w:p>
    <w:p>
      <w:pPr>
        <w:pStyle w:val="Normal"/>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r>
      <w:r>
        <w:rPr>
          <w:sz w:val="28"/>
          <w:szCs w:val="28"/>
        </w:rPr>
        <w:br w:type="textWrapping" w:clear="all"/>
      </w:r>
      <w:r>
        <w:rPr>
          <w:sz w:val="28"/>
          <w:szCs w:val="28"/>
        </w:rP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назначенная постановлением администрации города Перми от 20.11.2008 № 1089                         (с последующими изменениями),  в  составе: </w:t>
      </w:r>
    </w:p>
    <w:p>
      <w:pPr>
        <w:pStyle w:val="Normal"/>
        <w:spacing w:lineRule="auto" w:line="276"/>
        <w:jc w:val="both"/>
        <w:rPr/>
      </w:pPr>
      <w:r>
        <w:rPr>
          <w:sz w:val="28"/>
          <w:szCs w:val="28"/>
          <w:highlight w:val="yellow"/>
        </w:rPr>
        <w:t xml:space="preserve">             </w:t>
      </w:r>
    </w:p>
    <w:p>
      <w:pPr>
        <w:pStyle w:val="Normal"/>
        <w:spacing w:lineRule="auto" w:line="276" w:before="0" w:after="120"/>
        <w:ind w:hanging="2520" w:left="2520"/>
        <w:jc w:val="both"/>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spacing w:lineRule="auto" w:line="276"/>
        <w:ind w:hanging="2517" w:left="2517"/>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spacing w:lineRule="auto" w:line="276" w:before="0" w:after="0"/>
        <w:ind w:hanging="2517" w:left="2517" w:right="0"/>
        <w:jc w:val="both"/>
        <w:rPr/>
      </w:pPr>
      <w:r>
        <w:rPr>
          <w:rFonts w:eastAsia="Times New Roman" w:cs="Times New Roman"/>
          <w:color w:val="000000"/>
          <w:sz w:val="28"/>
          <w:szCs w:val="28"/>
          <w:lang w:eastAsia="en-US"/>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ind w:hanging="1843" w:left="1843"/>
        <w:jc w:val="both"/>
        <w:rPr/>
      </w:pPr>
      <w:r>
        <w:rPr>
          <w:sz w:val="28"/>
          <w:szCs w:val="28"/>
        </w:rPr>
        <w:t xml:space="preserve">Члены комиссии: Брезгина О.Б., и.о. начальника отдела сопровождения договоров юридического управления департамента земельных отношений администрации города Перми; </w:t>
      </w:r>
    </w:p>
    <w:p>
      <w:pPr>
        <w:pStyle w:val="Normal"/>
        <w:spacing w:lineRule="auto" w:line="276" w:before="0" w:after="0"/>
        <w:ind w:left="1843"/>
        <w:contextualSpacing/>
        <w:jc w:val="both"/>
        <w:rPr/>
      </w:pPr>
      <w:r>
        <w:rPr>
          <w:rFonts w:eastAsia="Droid Sans Fallback" w:cs="Lohit Devanagari"/>
          <w:color w:val="auto"/>
          <w:kern w:val="0"/>
          <w:sz w:val="28"/>
          <w:szCs w:val="28"/>
          <w:lang w:val="ru-RU" w:eastAsia="ru-RU" w:bidi="ar-SA"/>
        </w:rPr>
        <w:t>Четина Ю.И., за</w:t>
      </w:r>
      <w:r>
        <w:rPr>
          <w:sz w:val="28"/>
          <w:szCs w:val="28"/>
        </w:rPr>
        <w:t>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rPr>
          <w:sz w:val="28"/>
          <w:szCs w:val="28"/>
        </w:rPr>
      </w:pPr>
      <w:r>
        <w:rPr>
          <w:sz w:val="28"/>
          <w:szCs w:val="28"/>
        </w:rPr>
      </w:r>
    </w:p>
    <w:p>
      <w:pPr>
        <w:pStyle w:val="Normal"/>
        <w:spacing w:lineRule="auto" w:line="276" w:before="0" w:after="0"/>
        <w:ind w:hanging="0" w:left="0" w:right="0"/>
        <w:jc w:val="both"/>
        <w:rPr/>
      </w:pPr>
      <w:r>
        <w:rPr>
          <w:sz w:val="28"/>
          <w:szCs w:val="28"/>
        </w:rPr>
        <w:t xml:space="preserve">рассмотрев заявки на участие в </w:t>
      </w:r>
      <w:r>
        <w:rPr>
          <w:sz w:val="28"/>
          <w:szCs w:val="28"/>
          <w:lang w:val="ru-RU"/>
        </w:rPr>
        <w:t xml:space="preserve">электронных </w:t>
      </w:r>
      <w:r>
        <w:rPr>
          <w:sz w:val="28"/>
          <w:szCs w:val="28"/>
        </w:rPr>
        <w:t>аукционах, назначенных                           на</w:t>
      </w:r>
      <w:r>
        <w:rPr>
          <w:sz w:val="28"/>
          <w:szCs w:val="28"/>
          <w:lang w:val="ru-RU"/>
        </w:rPr>
        <w:t xml:space="preserve"> 13.03.2025 (проце</w:t>
      </w:r>
      <w:r>
        <w:rPr>
          <w:rFonts w:eastAsia="Droid Sans Fallback" w:cs="Lohit Devanagari"/>
          <w:color w:val="auto"/>
          <w:kern w:val="0"/>
          <w:sz w:val="28"/>
          <w:szCs w:val="28"/>
          <w:lang w:val="ru-RU" w:eastAsia="ru-RU" w:bidi="ar-SA"/>
        </w:rPr>
        <w:t>дура № SBR012-2502070110), установила:</w:t>
      </w:r>
    </w:p>
    <w:p>
      <w:pPr>
        <w:pStyle w:val="Normal"/>
        <w:spacing w:lineRule="auto" w:line="276" w:before="0" w:after="0"/>
        <w:ind w:hanging="0" w:left="0" w:right="0"/>
        <w:jc w:val="both"/>
        <w:rPr>
          <w:b/>
          <w:sz w:val="28"/>
          <w:szCs w:val="28"/>
        </w:rPr>
      </w:pPr>
      <w:r>
        <w:rPr>
          <w:b/>
          <w:sz w:val="28"/>
          <w:szCs w:val="28"/>
        </w:rPr>
      </w:r>
    </w:p>
    <w:p>
      <w:pPr>
        <w:pStyle w:val="Normal"/>
        <w:spacing w:lineRule="auto" w:line="276"/>
        <w:jc w:val="both"/>
        <w:rPr/>
      </w:pPr>
      <w:r>
        <w:rPr>
          <w:b/>
          <w:sz w:val="28"/>
          <w:szCs w:val="28"/>
        </w:rPr>
        <w:t xml:space="preserve">по лоту № 1 – </w:t>
      </w:r>
      <w:r>
        <w:rPr>
          <w:rFonts w:eastAsia="Droid Sans Fallback" w:cs="Lohit Devanagari"/>
          <w:color w:val="auto"/>
          <w:sz w:val="28"/>
          <w:szCs w:val="28"/>
          <w:lang w:val="ru-RU" w:eastAsia="ru-RU" w:bidi="ar-SA"/>
        </w:rPr>
        <w:t>пр</w:t>
      </w:r>
      <w:r>
        <w:rPr>
          <w:rFonts w:eastAsia="Droid Sans Fallback" w:cs="Lohit Devanagari"/>
          <w:color w:val="auto"/>
          <w:kern w:val="0"/>
          <w:sz w:val="28"/>
          <w:szCs w:val="28"/>
          <w:lang w:val="ru-RU" w:eastAsia="ru-RU" w:bidi="ar-SA"/>
        </w:rPr>
        <w:t>аво заключения договора аренды земельного участка                           с кадастровым номером 59:01:1717069:260 площадью 1503 кв. м, расположенного по адресу: Российская Федерация, Пермский край, городской округ Пермский, город Пермь, улица Светлогорская, з/у 8и, для строительства объектов, относящихся к строительной промышленности. Разрешенное использование земельного участка – строительная промышленность. По указ</w:t>
      </w:r>
      <w:r>
        <w:rPr>
          <w:sz w:val="28"/>
          <w:szCs w:val="28"/>
          <w:lang w:val="ru-RU" w:eastAsia="ru-RU" w:bidi="ar-SA"/>
        </w:rPr>
        <w:t xml:space="preserve">анному лоту </w:t>
      </w:r>
      <w:r>
        <w:rPr>
          <w:sz w:val="28"/>
          <w:szCs w:val="28"/>
        </w:rPr>
        <w:t xml:space="preserve">поступили заявки </w:t>
      </w:r>
      <w:r>
        <w:rPr>
          <w:bCs/>
          <w:sz w:val="28"/>
          <w:szCs w:val="28"/>
        </w:rPr>
        <w:t>от следующих заявителей:</w:t>
      </w:r>
    </w:p>
    <w:p>
      <w:pPr>
        <w:pStyle w:val="Normal"/>
        <w:spacing w:lineRule="auto" w:line="276"/>
        <w:jc w:val="both"/>
        <w:rPr>
          <w:bCs/>
          <w:sz w:val="28"/>
          <w:szCs w:val="28"/>
        </w:rPr>
      </w:pPr>
      <w:r>
        <w:rPr>
          <w:bCs/>
          <w:sz w:val="28"/>
          <w:szCs w:val="28"/>
        </w:rPr>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Дата подачи заявки</w:t>
            </w:r>
          </w:p>
        </w:tc>
      </w:tr>
      <w:tr>
        <w:trPr>
          <w:trHeight w:val="388" w:hRule="atLeast"/>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«Винтовые Сваи Пермь»</w:t>
            </w:r>
          </w:p>
        </w:tc>
        <w:tc>
          <w:tcPr>
            <w:tcW w:w="33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highlight w:val="white"/>
                <w:lang w:val="ru-RU" w:eastAsia="ru-RU" w:bidi="ar-SA"/>
              </w:rPr>
              <w:t>18.02.2025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«УралПромМонтаж»</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04.03.2025</w:t>
            </w:r>
          </w:p>
        </w:tc>
      </w:tr>
      <w:tr>
        <w:trPr>
          <w:trHeight w:val="388" w:hRule="atLeast"/>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«Уралдинас»</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07.03.2025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Мартынов Олег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07.03.2025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Власов Евгений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07.03.2025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Закрытое акционерное общество «Меха Матюшино»</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07.03.2025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«Финструм 1»</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09.03.2025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Левчук Артур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Метлушко Ольга Александровна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Титов Сергей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Куликов Валентин Валентинович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Аширов Михаил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Кривцов Константин Егорович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Мудров Иван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Петрова Марина Борисовна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Кореневский Александр Олегович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Костыгов Лев Олегович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Жирохов Николай Иванович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Жирохова Марина Игоревна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Панов Олег Анатольевич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«ПЕРиПАД»</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Федоров Павел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Нестеренко Илья Андреевич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«КвадратИнвест»</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Славкин Денис Викторович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Дубров Станислав Леонидович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11.03.2025</w:t>
            </w:r>
          </w:p>
        </w:tc>
      </w:tr>
    </w:tbl>
    <w:p>
      <w:pPr>
        <w:pStyle w:val="31"/>
        <w:spacing w:lineRule="auto" w:line="276"/>
        <w:ind w:hanging="0" w:left="0"/>
        <w:jc w:val="both"/>
        <w:rPr>
          <w:sz w:val="28"/>
          <w:szCs w:val="28"/>
        </w:rPr>
      </w:pPr>
      <w:r>
        <w:rPr>
          <w:sz w:val="28"/>
          <w:szCs w:val="28"/>
        </w:rPr>
      </w:r>
    </w:p>
    <w:p>
      <w:pPr>
        <w:pStyle w:val="31"/>
        <w:spacing w:lineRule="auto" w:line="276"/>
        <w:ind w:firstLine="283" w:left="0"/>
        <w:jc w:val="both"/>
        <w:rPr/>
      </w:pPr>
      <w:r>
        <w:rPr>
          <w:sz w:val="28"/>
          <w:szCs w:val="28"/>
        </w:rPr>
        <w:t xml:space="preserve">Поступили установленные суммы задатков </w:t>
      </w:r>
      <w:r>
        <w:rPr>
          <w:bCs/>
          <w:sz w:val="28"/>
          <w:szCs w:val="28"/>
        </w:rPr>
        <w:t>от следующих заявителей:</w:t>
      </w:r>
    </w:p>
    <w:p>
      <w:pPr>
        <w:pStyle w:val="31"/>
        <w:spacing w:lineRule="auto" w:line="276"/>
        <w:ind w:left="0"/>
        <w:jc w:val="both"/>
        <w:rPr/>
      </w:pPr>
      <w:r>
        <w:rPr>
          <w:b/>
          <w:sz w:val="28"/>
          <w:szCs w:val="28"/>
        </w:rPr>
        <w:t xml:space="preserve">по лоту № </w:t>
      </w:r>
      <w:r>
        <w:rPr>
          <w:b/>
          <w:sz w:val="28"/>
          <w:szCs w:val="28"/>
          <w:lang w:val="ru-RU"/>
        </w:rPr>
        <w:t>1</w:t>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Сумма задатка, руб.</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«Винтовые Сваи Пермь»</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«УралПромМонтаж»</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«Уралдинас»</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Мартынов Олег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Власов Евгений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Закрытое акционерное общество «Меха Матюшино»</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«Финструм 1»</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Левчук Артур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Метлушко Ольга Александровна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Титов Сергей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Куликов Валентин Валентинович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Кривцов Константин Егорович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Мудров Иван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Петрова Марина Борисовна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Индивидуальный предприниматель Кореневский Александр Олегович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Костыгов Лев Олегович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Жирохов Николай Иванович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Жирохова Марина Игоревна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Панов Олег Анатольевич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«ПЕРиПАД»</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Федоров Павел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Нестеренко Илья Андреевич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Общество с ограниченной ответственностью «КвадратИнвест»</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Славкин Денис Викторович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Дубров Станислав Леонидович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176 150,00</w:t>
            </w:r>
          </w:p>
        </w:tc>
      </w:tr>
    </w:tbl>
    <w:p>
      <w:pPr>
        <w:pStyle w:val="Normal"/>
        <w:spacing w:lineRule="auto" w:line="276"/>
        <w:ind w:firstLine="708"/>
        <w:jc w:val="both"/>
        <w:rPr>
          <w:sz w:val="28"/>
          <w:szCs w:val="28"/>
        </w:rPr>
      </w:pPr>
      <w:r>
        <w:rPr>
          <w:sz w:val="28"/>
          <w:szCs w:val="28"/>
        </w:rPr>
      </w:r>
    </w:p>
    <w:p>
      <w:pPr>
        <w:pStyle w:val="Normal"/>
        <w:spacing w:lineRule="auto" w:line="276"/>
        <w:ind w:firstLine="708"/>
        <w:jc w:val="both"/>
        <w:rPr/>
      </w:pPr>
      <w:r>
        <w:rPr>
          <w:sz w:val="28"/>
          <w:szCs w:val="28"/>
        </w:rPr>
        <w:t xml:space="preserve">На основании пункта 8 статьи 39.12 Земельного кодекса Российской Федерации, постановления администрации города Перми от 20.11.2008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(с последующими изменениями) </w:t>
      </w:r>
      <w:r>
        <w:rPr>
          <w:b/>
          <w:sz w:val="28"/>
          <w:szCs w:val="28"/>
        </w:rPr>
        <w:t>комиссия решила</w:t>
      </w:r>
      <w:r>
        <w:rPr>
          <w:sz w:val="28"/>
          <w:szCs w:val="28"/>
        </w:rPr>
        <w:t>:</w:t>
      </w:r>
    </w:p>
    <w:p>
      <w:pPr>
        <w:pStyle w:val="Style19"/>
        <w:tabs>
          <w:tab w:val="clear" w:pos="708"/>
          <w:tab w:val="left" w:pos="0" w:leader="none"/>
        </w:tabs>
        <w:spacing w:lineRule="auto" w:line="276"/>
        <w:jc w:val="both"/>
        <w:rPr>
          <w:b/>
          <w:sz w:val="28"/>
          <w:szCs w:val="28"/>
          <w:lang w:val="ru-RU"/>
        </w:rPr>
      </w:pPr>
      <w:r>
        <w:rPr>
          <w:b/>
          <w:sz w:val="28"/>
          <w:szCs w:val="28"/>
          <w:lang w:val="ru-RU"/>
        </w:rPr>
      </w:r>
    </w:p>
    <w:p>
      <w:pPr>
        <w:pStyle w:val="Normal"/>
        <w:spacing w:lineRule="auto" w:line="276"/>
        <w:ind w:firstLine="708"/>
        <w:jc w:val="both"/>
        <w:rPr/>
      </w:pPr>
      <w:r>
        <w:rPr>
          <w:sz w:val="28"/>
          <w:szCs w:val="28"/>
        </w:rPr>
        <w:t>1. допущены к участию в электронном аукционе и признаны участниками электронного аукциона следующие заявители:</w:t>
      </w:r>
    </w:p>
    <w:p>
      <w:pPr>
        <w:pStyle w:val="Normal"/>
        <w:spacing w:lineRule="auto" w:line="276"/>
        <w:jc w:val="both"/>
        <w:rPr>
          <w:b/>
          <w:sz w:val="28"/>
          <w:szCs w:val="28"/>
        </w:rPr>
      </w:pPr>
      <w:r>
        <w:rPr>
          <w:b/>
          <w:sz w:val="28"/>
          <w:szCs w:val="28"/>
        </w:rPr>
      </w:r>
    </w:p>
    <w:p>
      <w:pPr>
        <w:pStyle w:val="Normal"/>
        <w:widowControl/>
        <w:spacing w:lineRule="auto" w:line="276" w:before="0" w:after="0"/>
        <w:jc w:val="both"/>
        <w:rPr/>
      </w:pPr>
      <w:r>
        <w:rPr>
          <w:b/>
          <w:sz w:val="28"/>
          <w:szCs w:val="28"/>
        </w:rPr>
        <w:t xml:space="preserve">по лоту № 1 — </w:t>
      </w:r>
      <w:r>
        <w:rPr>
          <w:sz w:val="28"/>
          <w:szCs w:val="28"/>
        </w:rPr>
        <w:t xml:space="preserve"> общество с ограниченной ответственностью «Винтовые Сваи Пермь», общество с ограниченной ответственностью </w:t>
      </w:r>
      <w:r>
        <w:rPr>
          <w:rFonts w:eastAsia="Droid Sans Fallback" w:cs="Lohit Devanagari"/>
          <w:color w:val="auto"/>
          <w:kern w:val="0"/>
          <w:sz w:val="28"/>
          <w:szCs w:val="28"/>
          <w:lang w:val="ru-RU" w:eastAsia="ru-RU" w:bidi="ar-SA"/>
        </w:rPr>
        <w:t>«УралПромМонтаж»</w:t>
      </w:r>
      <w:r>
        <w:rPr>
          <w:sz w:val="28"/>
          <w:szCs w:val="28"/>
        </w:rPr>
        <w:t xml:space="preserve">, общество с ограниченной ответственностью </w:t>
      </w:r>
      <w:r>
        <w:rPr>
          <w:rFonts w:eastAsia="Droid Sans Fallback" w:cs="Lohit Devanagari"/>
          <w:color w:val="auto"/>
          <w:kern w:val="0"/>
          <w:sz w:val="28"/>
          <w:szCs w:val="28"/>
          <w:lang w:val="ru-RU" w:eastAsia="ru-RU" w:bidi="ar-SA"/>
        </w:rPr>
        <w:t>«Уралдинас»</w:t>
      </w:r>
      <w:r>
        <w:rPr>
          <w:sz w:val="28"/>
          <w:szCs w:val="28"/>
        </w:rPr>
        <w:t xml:space="preserve">, Мартынов Олег Сергеевич, Власов Евгений Александрович, закрытое акционерное общество «Меха Матюшино», общество с ограниченной ответственностью </w:t>
      </w:r>
      <w:r>
        <w:rPr>
          <w:rFonts w:eastAsia="Droid Sans Fallback" w:cs="Lohit Devanagari"/>
          <w:color w:val="auto"/>
          <w:kern w:val="0"/>
          <w:sz w:val="28"/>
          <w:szCs w:val="28"/>
          <w:lang w:val="ru-RU" w:eastAsia="ru-RU" w:bidi="ar-SA"/>
        </w:rPr>
        <w:t>«Финструм 1»</w:t>
      </w:r>
      <w:r>
        <w:rPr>
          <w:sz w:val="28"/>
          <w:szCs w:val="28"/>
        </w:rPr>
        <w:t xml:space="preserve">, индивидуальный предприниматель Левчук Артур Александрович, Метлушко Ольга Александровна, индивидуальный предприниматель Шадричев Сергей Владимирович, Титов Сергей Александрович, Куликов Валентин Валентинович, Кривцов Константин Егорович, индивидуальный предприниматель Мудров Иван Юрьевич, индивидуальный предприниматель Петрова Марина Борисовна, индивидуальный предприниматель Кореневский Александр Олегович, Костыгов Лев Олегович, Жирохов Николай Иванович, Жирохова Марина Игоревна, Панов Олег Анатольевич, общество с ограниченной ответственностью «ПЕРиПАД», Федоров Павел Николаевич, Нестеренко Илья Андреевич, общество                             с ограниченной ответственностью </w:t>
      </w:r>
      <w:r>
        <w:rPr>
          <w:rFonts w:eastAsia="Droid Sans Fallback" w:cs="Lohit Devanagari"/>
          <w:color w:val="auto"/>
          <w:kern w:val="0"/>
          <w:sz w:val="28"/>
          <w:szCs w:val="28"/>
          <w:lang w:val="ru-RU" w:eastAsia="ru-RU" w:bidi="ar-SA"/>
        </w:rPr>
        <w:t>«КвадратИнвест»</w:t>
      </w:r>
      <w:r>
        <w:rPr>
          <w:sz w:val="28"/>
          <w:szCs w:val="28"/>
        </w:rPr>
        <w:t>, Славкин Денис Викторович, Дубров Станислав Леонидович.</w:t>
      </w:r>
    </w:p>
    <w:p>
      <w:pPr>
        <w:pStyle w:val="Normal"/>
        <w:widowControl/>
        <w:spacing w:lineRule="auto" w:line="276" w:before="0" w:after="0"/>
        <w:jc w:val="both"/>
        <w:rPr>
          <w:sz w:val="28"/>
          <w:szCs w:val="28"/>
        </w:rPr>
      </w:pPr>
      <w:r>
        <w:rPr>
          <w:sz w:val="28"/>
          <w:szCs w:val="28"/>
        </w:rPr>
      </w:r>
    </w:p>
    <w:p>
      <w:pPr>
        <w:pStyle w:val="BodyText"/>
        <w:spacing w:lineRule="auto" w:line="276"/>
        <w:ind w:firstLine="708"/>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 отказать в допуске к участию в аукционе следующим заявителям:</w:t>
      </w:r>
    </w:p>
    <w:p>
      <w:pPr>
        <w:pStyle w:val="BodyText"/>
        <w:spacing w:lineRule="auto" w:line="276" w:before="0" w:after="12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b/>
          <w:bCs/>
          <w:color w:val="auto"/>
          <w:kern w:val="0"/>
          <w:sz w:val="28"/>
          <w:szCs w:val="28"/>
          <w:lang w:val="ru-RU" w:eastAsia="ru-RU" w:bidi="ar-SA"/>
        </w:rPr>
        <w:t xml:space="preserve">по лоту № 1 — </w:t>
      </w:r>
      <w:r>
        <w:rPr>
          <w:rFonts w:eastAsia="Droid Sans Fallback" w:cs="Lohit Devanagari"/>
          <w:color w:val="auto"/>
          <w:kern w:val="0"/>
          <w:sz w:val="28"/>
          <w:szCs w:val="28"/>
          <w:lang w:val="ru-RU" w:eastAsia="ru-RU" w:bidi="ar-SA"/>
        </w:rPr>
        <w:t>Аширову Михаилу Сергеевичу.</w:t>
      </w:r>
    </w:p>
    <w:p>
      <w:pPr>
        <w:pStyle w:val="BodyText"/>
        <w:spacing w:lineRule="auto" w:line="276" w:before="0" w:after="120"/>
        <w:ind w:hanging="0" w:left="0" w:right="0"/>
        <w:jc w:val="both"/>
        <w:rPr>
          <w:rFonts w:ascii="Times New Roman" w:hAnsi="Times New Roman" w:eastAsia="Droid Sans Fallback" w:cs="Lohit Devanagari"/>
          <w:color w:val="auto"/>
          <w:kern w:val="0"/>
          <w:sz w:val="28"/>
          <w:szCs w:val="28"/>
          <w:lang w:val="ru-RU" w:eastAsia="ru-RU" w:bidi="ar-SA"/>
        </w:rPr>
      </w:pPr>
      <w:r>
        <w:rPr/>
      </w:r>
    </w:p>
    <w:p>
      <w:pPr>
        <w:pStyle w:val="BodyText"/>
        <w:spacing w:lineRule="auto" w:line="276" w:before="0" w:after="120"/>
        <w:ind w:firstLine="708" w:left="0" w:right="0"/>
        <w:jc w:val="both"/>
        <w:rPr>
          <w:rFonts w:ascii="Times New Roman" w:hAnsi="Times New Roman" w:eastAsia="Droid Sans Fallback" w:cs="Lohit Devanagari"/>
          <w:color w:val="auto"/>
          <w:lang w:val="ru-RU" w:eastAsia="ru-RU" w:bidi="ar-SA"/>
        </w:rPr>
      </w:pPr>
      <w:r>
        <w:rPr/>
      </w:r>
    </w:p>
    <w:p>
      <w:pPr>
        <w:pStyle w:val="BodyText"/>
        <w:spacing w:lineRule="auto" w:line="276" w:before="0" w:after="120"/>
        <w:ind w:firstLine="708" w:left="0" w:right="0"/>
        <w:jc w:val="both"/>
        <w:rPr>
          <w:rFonts w:ascii="Times New Roman" w:hAnsi="Times New Roman" w:eastAsia="Droid Sans Fallback" w:cs="Lohit Devanagari"/>
          <w:color w:val="auto"/>
          <w:lang w:val="ru-RU" w:eastAsia="ru-RU" w:bidi="ar-SA"/>
        </w:rPr>
      </w:pPr>
      <w:r>
        <w:rPr/>
      </w:r>
    </w:p>
    <w:p>
      <w:pPr>
        <w:pStyle w:val="BodyText"/>
        <w:spacing w:lineRule="auto" w:line="276" w:before="0" w:after="120"/>
        <w:ind w:firstLine="708" w:left="0" w:right="0"/>
        <w:jc w:val="both"/>
        <w:rPr>
          <w:rFonts w:ascii="Times New Roman" w:hAnsi="Times New Roman" w:eastAsia="Droid Sans Fallback" w:cs="Lohit Devanagari"/>
          <w:color w:val="auto"/>
          <w:lang w:val="ru-RU" w:eastAsia="ru-RU" w:bidi="ar-SA"/>
        </w:rPr>
      </w:pPr>
      <w:r>
        <w:rPr>
          <w:rFonts w:eastAsia="Droid Sans Fallback" w:cs="Lohit Devanagari"/>
          <w:b/>
          <w:bCs/>
          <w:color w:val="auto"/>
          <w:kern w:val="0"/>
          <w:sz w:val="28"/>
          <w:szCs w:val="28"/>
          <w:lang w:val="ru-RU" w:eastAsia="ru-RU" w:bidi="ar-SA"/>
        </w:rPr>
        <w:t>Причина отказа:</w:t>
      </w:r>
      <w:r>
        <w:rPr>
          <w:rFonts w:eastAsia="Droid Sans Fallback" w:cs="Lohit Devanagari"/>
          <w:color w:val="auto"/>
          <w:kern w:val="0"/>
          <w:sz w:val="28"/>
          <w:szCs w:val="28"/>
          <w:lang w:val="ru-RU" w:eastAsia="ru-RU" w:bidi="ar-SA"/>
        </w:rPr>
        <w:t xml:space="preserve"> непоступление задатка на дату рассмотрения заявок на участие в аукционе.</w:t>
      </w:r>
    </w:p>
    <w:p>
      <w:pPr>
        <w:pStyle w:val="BodyText"/>
        <w:spacing w:lineRule="auto" w:line="276" w:before="0" w:after="120"/>
        <w:ind w:firstLine="708" w:left="0" w:right="0"/>
        <w:jc w:val="both"/>
        <w:rPr>
          <w:kern w:val="0"/>
          <w:sz w:val="28"/>
          <w:szCs w:val="28"/>
        </w:rPr>
      </w:pPr>
      <w:r>
        <w:rPr>
          <w:kern w:val="0"/>
          <w:sz w:val="28"/>
          <w:szCs w:val="28"/>
        </w:rPr>
      </w:r>
    </w:p>
    <w:p>
      <w:pPr>
        <w:pStyle w:val="Normal"/>
        <w:spacing w:lineRule="auto" w:line="276"/>
        <w:jc w:val="both"/>
        <w:rPr/>
      </w:pPr>
      <w:r>
        <w:rPr>
          <w:sz w:val="28"/>
          <w:szCs w:val="28"/>
        </w:rPr>
        <w:t>Председатель комиссии                                                                        А.А. Хаткевич</w:t>
      </w:r>
    </w:p>
    <w:p>
      <w:pPr>
        <w:pStyle w:val="Normal"/>
        <w:spacing w:lineRule="auto" w:line="276"/>
        <w:jc w:val="both"/>
        <w:rPr>
          <w:sz w:val="28"/>
          <w:szCs w:val="28"/>
        </w:rPr>
      </w:pPr>
      <w:r>
        <w:rPr>
          <w:sz w:val="28"/>
          <w:szCs w:val="28"/>
        </w:rPr>
      </w:r>
    </w:p>
    <w:p>
      <w:pPr>
        <w:pStyle w:val="Normal"/>
        <w:spacing w:lineRule="auto" w:line="276" w:before="120" w:after="120"/>
        <w:ind w:hanging="5610" w:left="5610"/>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lineRule="auto" w:line="276" w:before="120" w:after="120"/>
        <w:rPr>
          <w:sz w:val="28"/>
          <w:szCs w:val="28"/>
        </w:rPr>
      </w:pPr>
      <w:r>
        <w:rPr>
          <w:sz w:val="28"/>
          <w:szCs w:val="28"/>
        </w:rPr>
      </w:r>
    </w:p>
    <w:p>
      <w:pPr>
        <w:pStyle w:val="Normal"/>
        <w:spacing w:lineRule="auto" w:line="276" w:before="120" w:after="120"/>
        <w:ind w:hanging="5610" w:left="5610"/>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lineRule="auto" w:line="276" w:before="120" w:after="120"/>
        <w:rPr>
          <w:sz w:val="28"/>
          <w:szCs w:val="28"/>
        </w:rPr>
      </w:pPr>
      <w:r>
        <w:rPr>
          <w:sz w:val="28"/>
          <w:szCs w:val="28"/>
        </w:rPr>
      </w:r>
    </w:p>
    <w:p>
      <w:pPr>
        <w:pStyle w:val="Normal"/>
        <w:spacing w:lineRule="auto" w:line="276" w:before="120" w:after="120"/>
        <w:rPr/>
      </w:pPr>
      <w:r>
        <w:rPr>
          <w:sz w:val="28"/>
          <w:szCs w:val="28"/>
        </w:rPr>
        <w:t xml:space="preserve">Члены комиссии </w:t>
        <w:tab/>
        <w:tab/>
        <w:tab/>
        <w:tab/>
        <w:tab/>
        <w:tab/>
        <w:tab/>
        <w:tab/>
        <w:t xml:space="preserve">            О.Б. Брезгина</w:t>
      </w:r>
    </w:p>
    <w:p>
      <w:pPr>
        <w:pStyle w:val="Normal"/>
        <w:spacing w:lineRule="auto" w:line="276" w:before="120" w:after="120"/>
        <w:rPr>
          <w:sz w:val="28"/>
          <w:szCs w:val="28"/>
        </w:rPr>
      </w:pPr>
      <w:r>
        <w:rPr>
          <w:sz w:val="28"/>
          <w:szCs w:val="28"/>
        </w:rPr>
      </w:r>
    </w:p>
    <w:p>
      <w:pPr>
        <w:pStyle w:val="Normal"/>
        <w:widowControl/>
        <w:suppressAutoHyphens w:val="true"/>
        <w:bidi w:val="0"/>
        <w:spacing w:lineRule="auto" w:line="276" w:before="0" w:after="0"/>
        <w:ind w:hanging="0" w:left="7937" w:right="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 xml:space="preserve">Ю.И. Четина </w:t>
      </w:r>
    </w:p>
    <w:sectPr>
      <w:footerReference w:type="even" r:id="rId2"/>
      <w:footerReference w:type="default" r:id="rId3"/>
      <w:footerReference w:type="first" r:id="rId4"/>
      <w:type w:val="nextPage"/>
      <w:pgSz w:w="11906" w:h="16838"/>
      <w:pgMar w:left="1418" w:right="567" w:gutter="0" w:header="0" w:top="42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3"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4"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3">
    <w:name w:val="Основной текст с отступом 3 Знак"/>
    <w:qFormat/>
    <w:rPr>
      <w:sz w:val="16"/>
      <w:szCs w:val="16"/>
    </w:rPr>
  </w:style>
  <w:style w:type="character" w:styleId="Style8">
    <w:name w:val="Текст Знак"/>
    <w:qFormat/>
    <w:rPr>
      <w:rFonts w:ascii="Courier New" w:hAnsi="Courier New"/>
    </w:rPr>
  </w:style>
  <w:style w:type="character" w:styleId="Style9">
    <w:name w:val="Текст выноски Знак"/>
    <w:qFormat/>
    <w:rPr>
      <w:rFonts w:ascii="Tahoma" w:hAnsi="Tahoma" w:cs="Tahoma"/>
      <w:sz w:val="16"/>
      <w:szCs w:val="16"/>
    </w:rPr>
  </w:style>
  <w:style w:type="character" w:styleId="Style10">
    <w:name w:val="Основной текст с отступом Знак"/>
    <w:qFormat/>
    <w:rPr>
      <w:sz w:val="24"/>
      <w:szCs w:val="24"/>
    </w:rPr>
  </w:style>
  <w:style w:type="character" w:styleId="Style11">
    <w:name w:val="Верхний колонтитул Знак"/>
    <w:qFormat/>
    <w:rPr>
      <w:sz w:val="24"/>
      <w:szCs w:val="24"/>
    </w:rPr>
  </w:style>
  <w:style w:type="character" w:styleId="Style12">
    <w:name w:val="Нижний колонтитул Знак"/>
    <w:qFormat/>
    <w:rPr>
      <w:sz w:val="24"/>
      <w:szCs w:val="24"/>
    </w:rPr>
  </w:style>
  <w:style w:type="character" w:styleId="Style13">
    <w:name w:val="Текст сноски Знак"/>
    <w:basedOn w:val="Style7"/>
    <w:qFormat/>
    <w:rPr/>
  </w:style>
  <w:style w:type="character" w:styleId="Style14">
    <w:name w:val="Знак сноски"/>
    <w:qFormat/>
    <w:rPr>
      <w:vertAlign w:val="superscript"/>
    </w:rPr>
  </w:style>
  <w:style w:type="character" w:styleId="DefaultParagraphFont" w:default="1">
    <w:name w:val="Default Paragraph Font"/>
    <w:uiPriority w:val="1"/>
    <w:semiHidden/>
    <w:unhideWhenUsed/>
    <w:qFormat/>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7">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8">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6"/>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BodyTextIndent">
    <w:name w:val="Body Text Indent"/>
    <w:basedOn w:val="Normal"/>
    <w:pPr>
      <w:spacing w:before="0" w:after="120"/>
      <w:ind w:left="283"/>
    </w:pPr>
    <w:rPr>
      <w:lang w:val="en-US" w:eastAsia="en-US"/>
    </w:rPr>
  </w:style>
  <w:style w:type="paragraph" w:styleId="Style19">
    <w:name w:val="Текст"/>
    <w:basedOn w:val="Normal"/>
    <w:qFormat/>
    <w:pPr/>
    <w:rPr>
      <w:rFonts w:ascii="Courier New" w:hAnsi="Courier New"/>
      <w:sz w:val="20"/>
      <w:szCs w:val="20"/>
      <w:lang w:val="en-US" w:eastAsia="en-US"/>
    </w:rPr>
  </w:style>
  <w:style w:type="paragraph" w:styleId="Style20">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31">
    <w:name w:val="Основной текст с отступом 3"/>
    <w:basedOn w:val="Normal"/>
    <w:qFormat/>
    <w:pPr>
      <w:spacing w:before="0" w:after="120"/>
      <w:ind w:left="283"/>
    </w:pPr>
    <w:rPr>
      <w:sz w:val="16"/>
      <w:szCs w:val="16"/>
      <w:lang w:val="en-US" w:eastAsia="en-US"/>
    </w:rPr>
  </w:style>
  <w:style w:type="paragraph" w:styleId="Style21">
    <w:name w:val="Текст выноски"/>
    <w:basedOn w:val="Normal"/>
    <w:qFormat/>
    <w:pPr/>
    <w:rPr>
      <w:rFonts w:ascii="Tahoma" w:hAnsi="Tahoma"/>
      <w:sz w:val="16"/>
      <w:szCs w:val="16"/>
      <w:lang w:val="en-US" w:eastAsia="en-US"/>
    </w:rPr>
  </w:style>
  <w:style w:type="paragraph" w:styleId="Style22">
    <w:name w:val="Текст сноски"/>
    <w:basedOn w:val="Normal"/>
    <w:qFormat/>
    <w:pPr/>
    <w:rPr>
      <w:sz w:val="20"/>
      <w:szCs w:val="20"/>
    </w:rPr>
  </w:style>
  <w:style w:type="paragraph" w:styleId="Style23">
    <w:name w:val="Содержимое врезки"/>
    <w:basedOn w:val="Normal"/>
    <w:qFormat/>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Style26">
    <w:name w:val="Нет списка"/>
    <w:semiHidden/>
    <w:qFormat/>
  </w:style>
  <w:style w:type="numbering" w:styleId="NoList" w:default="1">
    <w:name w:val="No List"/>
    <w:uiPriority w:val="99"/>
    <w:semiHidden/>
    <w:unhideWhenUsed/>
    <w:qFormat/>
  </w:style>
  <w:style w:type="table" w:styleId="89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0">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1">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902">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903">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904">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905">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906">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907">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908">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909">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910">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911">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912">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913">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914">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915">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916">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917">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918">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19">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20">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1">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2">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3">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4">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5">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6">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7">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928">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929">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930">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931">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932">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933">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934">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35">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936">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937">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938">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939">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940">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941">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42">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43">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44">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945">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946">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47">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48">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49">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50">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51">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52">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53">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54">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55">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56">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57">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58">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59">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60">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61">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62">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63">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64">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65">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66">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67">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68">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69">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70">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71">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72">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73">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74">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75">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76">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77">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78">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79">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80">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81">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82">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83">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84">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85">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86">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87">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88">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89">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90">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91">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92">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93">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94">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95">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96">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97">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98">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99">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1000">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1001">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1002">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1003">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1004">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05">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06">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07">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08">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09">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10">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11">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12">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13">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14">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15">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16">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17">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18">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019">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020">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021">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022">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023">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024">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025">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464</TotalTime>
  <Application>LibreOffice/7.6.7.2$Linux_X86_64 LibreOffice_project/60$Build-2</Application>
  <AppVersion>15.0000</AppVersion>
  <Pages>5</Pages>
  <Words>832</Words>
  <Characters>6558</Characters>
  <CharactersWithSpaces>7652</CharactersWithSpaces>
  <Paragraphs>140</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2015-07-02T10:18:00Z</dcterms:created>
  <dc:creator>bna</dc:creator>
  <dc:description/>
  <dc:language>ru-RU</dc:language>
  <cp:lastModifiedBy/>
  <cp:lastPrinted>2024-12-25T10:21:18Z</cp:lastPrinted>
  <dcterms:modified xsi:type="dcterms:W3CDTF">2025-03-12T14:08:14Z</dcterms:modified>
  <cp:revision>1067</cp:revision>
  <dc:subject/>
  <dc:title>Департамент имущественных отношений</dc:title>
  <cp:version>1048576</cp:version>
</cp:coreProperties>
</file>

<file path=docProps/custom.xml><?xml version="1.0" encoding="utf-8"?>
<Properties xmlns="http://schemas.openxmlformats.org/officeDocument/2006/custom-properties" xmlns:vt="http://schemas.openxmlformats.org/officeDocument/2006/docPropsVTypes"/>
</file>