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.03.2025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Брезгина О.Б., и.о. начальника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Четина Ю.И., за</w:t>
      </w:r>
      <w:r>
        <w:rPr>
          <w:sz w:val="28"/>
          <w:szCs w:val="28"/>
        </w:rPr>
        <w:t>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.03.2025 (пр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SBR012-2502140031)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, установила: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59:01:5010056:23 площадью 1000 кв. м, расположенный по адресу: Российская Федерация, край Пермский, городской округ Пермский, город Пермь, жилой район                           Ново-Бродовский, улица Ландышевая, з/у 55, для индивидуального жилищного строительства. Разрешенное использование земельного участка – под строительство индивидуального жилого дома.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По указанному лоту заявки                   не поступали.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59:01:1810008:212 площадью 1036 кв. м, расположенный по адресу: Российская Федерация, край Пермский, городской округ Пермский, город Пермь, улица Бузулукская, з/у 32е, для индивидуального жилищного строительства. Разрешенное использование земельного участка – для индивидуального жилищного строительства.             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        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Рябов Александр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27.02.2025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3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участок с кадастровым номером 59:01:4413926:147 площадью 788 кв. м, расположенный по адресу: Российская Федерация, край Пермский, г.о. Пермский, г. Пермь, ул. 3-я Мало-Субботинская, зу 5б, для индивидуального жилищного строительства. Разрешенное использование земельного участка – индивидуальное жилищное строительство.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Старостина Виктория Альбертовна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</w:t>
            </w: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.03.2025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2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Рябов Александр Владимирович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1 502 200,00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3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Старостина Виктория Альбертовна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544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аукционе и признаны участниками аукциона следующие заявители: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№ 2 — </w:t>
      </w:r>
      <w:r>
        <w:rPr>
          <w:b w:val="false"/>
          <w:bCs w:val="false"/>
          <w:sz w:val="28"/>
          <w:szCs w:val="28"/>
        </w:rPr>
        <w:t>Рябов Александр Владимирович.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№ 3 — </w:t>
      </w:r>
      <w:r>
        <w:rPr>
          <w:b w:val="false"/>
          <w:bCs w:val="false"/>
          <w:sz w:val="28"/>
          <w:szCs w:val="28"/>
        </w:rPr>
        <w:t>Старостина Виктория Альбертовна.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</w:r>
    </w:p>
    <w:p>
      <w:pPr>
        <w:pStyle w:val="BodyText"/>
        <w:spacing w:lineRule="auto" w:line="276"/>
        <w:ind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2. признать аукцион несостоявшимся по лоту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2</w:t>
      </w:r>
      <w:r>
        <w:rPr>
          <w:rFonts w:eastAsia="Times New Roman" w:cs="Times New Roman"/>
          <w:b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в связи с тем, что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spacing w:lineRule="auto" w:line="276"/>
        <w:ind w:firstLine="708"/>
        <w:jc w:val="both"/>
        <w:rPr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color w:val="000000"/>
          <w:sz w:val="28"/>
          <w:szCs w:val="28"/>
        </w:rPr>
        <w:t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</w:p>
    <w:p>
      <w:pPr>
        <w:pStyle w:val="BodyText"/>
        <w:spacing w:lineRule="auto" w:line="276" w:before="0" w:after="0"/>
        <w:ind w:firstLine="708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lang w:val="ru-RU" w:eastAsia="ru-RU" w:bidi="ar-SA"/>
        </w:rPr>
        <w:t xml:space="preserve">(улица 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lang w:val="ru-RU" w:eastAsia="ru-RU" w:bidi="ar-SA"/>
        </w:rPr>
        <w:t>Бузулукская, з/у 32е)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3 004 400</w:t>
      </w:r>
      <w:r>
        <w:rPr>
          <w:b/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руб.</w:t>
      </w:r>
    </w:p>
    <w:p>
      <w:pPr>
        <w:pStyle w:val="BodyText"/>
        <w:spacing w:lineRule="auto" w:line="276" w:before="0" w:after="0"/>
        <w:ind w:firstLine="708" w:left="0" w:righ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  <w:t>В соответствии с пунктом 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BodyText"/>
        <w:spacing w:lineRule="auto" w:line="276"/>
        <w:ind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. признать аукцион несостоявшимся по лоту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3</w:t>
      </w:r>
      <w:r>
        <w:rPr>
          <w:rFonts w:eastAsia="Times New Roman" w:cs="Times New Roman"/>
          <w:b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в связи с тем, что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spacing w:lineRule="auto" w:line="276"/>
        <w:ind w:firstLine="708"/>
        <w:jc w:val="both"/>
        <w:rPr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color w:val="000000"/>
          <w:sz w:val="28"/>
          <w:szCs w:val="28"/>
        </w:rPr>
        <w:t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</w:p>
    <w:p>
      <w:pPr>
        <w:pStyle w:val="BodyText"/>
        <w:spacing w:lineRule="auto" w:line="276" w:before="0" w:after="0"/>
        <w:ind w:firstLine="708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lang w:val="ru-RU" w:eastAsia="ru-RU" w:bidi="ar-SA"/>
        </w:rPr>
        <w:t xml:space="preserve">(улица 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lang w:val="ru-RU" w:eastAsia="ru-RU" w:bidi="ar-SA"/>
        </w:rPr>
        <w:t xml:space="preserve">3-я Мало-Субботинская, зу 5б)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1 089 000</w:t>
      </w:r>
      <w:r>
        <w:rPr>
          <w:b/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руб.</w:t>
      </w:r>
    </w:p>
    <w:p>
      <w:pPr>
        <w:pStyle w:val="BodyText"/>
        <w:spacing w:lineRule="auto" w:line="276" w:before="0" w:after="0"/>
        <w:ind w:firstLine="708" w:left="0" w:righ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  <w:t>В соответствии с пунктом 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  <w:t xml:space="preserve">4. признать аукцион несостоявшимся по лоту </w:t>
      </w:r>
      <w:r>
        <w:rPr>
          <w:rFonts w:eastAsia="Droid Sans Fallback" w:cs="Lohit Devanagari"/>
          <w:b/>
          <w:bCs/>
          <w:color w:val="000000"/>
          <w:kern w:val="0"/>
          <w:sz w:val="28"/>
          <w:szCs w:val="28"/>
          <w:lang w:val="ru-RU" w:eastAsia="ru-RU" w:bidi="ar-SA"/>
        </w:rPr>
        <w:t>№ 1</w:t>
      </w: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  <w:t xml:space="preserve"> в связи с тем, что по окончании срока подачи заявок на участие в аукционе по данному лоту не подано ни одной заявки.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А.А. Хаткевич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lineRule="auto" w:line="276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О.Б. Брезгина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283" w:left="7938"/>
        <w:rPr/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LibreOffice/7.6.7.2$Linux_X86_64 LibreOffice_project/60$Build-2</Application>
  <AppVersion>15.0000</AppVersion>
  <Pages>4</Pages>
  <Words>898</Words>
  <Characters>6197</Characters>
  <CharactersWithSpaces>7469</CharactersWithSpaces>
  <Paragraphs>59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2025-03-19T09:30:09Z</dcterms:modified>
  <cp:revision>1068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