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47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spacing w:line="276" w:lineRule="auto"/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/>
    </w:p>
    <w:p>
      <w:pPr>
        <w:pStyle w:val="747"/>
        <w:numPr>
          <w:ilvl w:val="0"/>
          <w:numId w:val="0"/>
        </w:numPr>
        <w:ind w:left="0" w:firstLine="0"/>
        <w:jc w:val="center"/>
        <w:spacing w:line="276" w:lineRule="auto"/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/>
    </w:p>
    <w:p>
      <w:pPr>
        <w:pStyle w:val="747"/>
        <w:numPr>
          <w:ilvl w:val="0"/>
          <w:numId w:val="0"/>
        </w:numPr>
        <w:ind w:left="0" w:firstLine="0"/>
        <w:spacing w:line="276" w:lineRule="auto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spacing w:line="276" w:lineRule="auto"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.2025 </w:t>
      </w:r>
      <w:r/>
    </w:p>
    <w:p>
      <w:pPr>
        <w:pStyle w:val="74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</w:t>
      </w:r>
      <w:r>
        <w:rPr>
          <w:sz w:val="28"/>
          <w:szCs w:val="28"/>
        </w:rPr>
        <w:t xml:space="preserve">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  <w:r/>
    </w:p>
    <w:p>
      <w:pPr>
        <w:pStyle w:val="747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47"/>
        <w:ind w:left="2520" w:hanging="2520"/>
        <w:jc w:val="both"/>
        <w:spacing w:before="0" w:after="120" w:line="276" w:lineRule="auto"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47"/>
        <w:ind w:left="2517" w:hanging="2517"/>
        <w:jc w:val="both"/>
        <w:spacing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47"/>
        <w:ind w:left="2517" w:right="0" w:hanging="2517"/>
        <w:jc w:val="both"/>
        <w:spacing w:before="0" w:after="0" w:line="276" w:lineRule="auto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  <w:r/>
    </w:p>
    <w:p>
      <w:pPr>
        <w:pStyle w:val="747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27</w:t>
      </w:r>
      <w:r>
        <w:rPr>
          <w:sz w:val="28"/>
          <w:szCs w:val="28"/>
          <w:lang w:val="ru-RU"/>
        </w:rPr>
        <w:t xml:space="preserve">.0</w:t>
      </w:r>
      <w:r>
        <w:rPr>
          <w:sz w:val="28"/>
          <w:szCs w:val="28"/>
          <w:lang w:val="ru-RU"/>
        </w:rPr>
        <w:t xml:space="preserve">3</w:t>
      </w:r>
      <w:r>
        <w:rPr>
          <w:sz w:val="28"/>
          <w:szCs w:val="28"/>
          <w:lang w:val="ru-RU"/>
        </w:rPr>
        <w:t xml:space="preserve">.2025 (проце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SBR012-2502210137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), установила:</w:t>
      </w:r>
      <w:r/>
    </w:p>
    <w:p>
      <w:pPr>
        <w:pStyle w:val="747"/>
        <w:ind w:left="0" w:right="0" w:firstLine="0"/>
        <w:jc w:val="both"/>
        <w:spacing w:before="0"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jc w:val="both"/>
        <w:spacing w:line="276" w:lineRule="auto"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аво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заключения договора аренды земельного участка                            с кадастровым номером 59:01:3911565:140 площадью 456 кв. м, располо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женного по адресу: Российская Федерация, край Пермский, городской округ Пермский, город Пермь, улица Сигаева, з/у 17б,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 указ</w:t>
      </w:r>
      <w:r>
        <w:rPr>
          <w:sz w:val="28"/>
          <w:szCs w:val="28"/>
          <w:lang w:val="ru-RU" w:eastAsia="ru-RU" w:bidi="ar-SA"/>
        </w:rPr>
        <w:t xml:space="preserve">анному лоту </w:t>
      </w:r>
      <w:r>
        <w:rPr>
          <w:sz w:val="28"/>
          <w:szCs w:val="28"/>
        </w:rPr>
        <w:t xml:space="preserve">поступили заявки </w:t>
      </w:r>
      <w:r>
        <w:rPr>
          <w:bCs/>
          <w:sz w:val="28"/>
          <w:szCs w:val="28"/>
        </w:rPr>
        <w:t xml:space="preserve">от следующих заявителей:</w:t>
      </w:r>
      <w:r/>
    </w:p>
    <w:p>
      <w:pPr>
        <w:pStyle w:val="747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Бычина Валентина Владимировна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07.03.2025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17.03.2025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Мартынов Олег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19.03.2025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Костюкович Наталья Леонидовна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20.03.2025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24.03.2025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24.03.2025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Шубин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</w:tbl>
    <w:p>
      <w:pPr>
        <w:pStyle w:val="74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spacing w:line="276" w:lineRule="auto"/>
      </w:pPr>
      <w:r>
        <w:rPr>
          <w:b/>
          <w:sz w:val="28"/>
          <w:szCs w:val="28"/>
        </w:rPr>
        <w:t xml:space="preserve">по лоту № 2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                          с кадастровым номером 59:01:3911565:141 площадью 563 кв. м, располо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женного по адресу: Российская Федерация, край Пермский, городской округ Пермский, город Пермь, улица Сигаева, з/у 17в,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По указанному лоту поступили заявки от следующих заявителей:</w:t>
      </w:r>
      <w:r/>
    </w:p>
    <w:p>
      <w:pPr>
        <w:pStyle w:val="747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Бунаков Дмитрий Иванович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07.03.2025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17.03.2025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Мартынов Олег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19.03.2025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Костюкович Наталья Леонидовна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20.03.2025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24.03.2025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24.03.2025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Шубин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</w:tbl>
    <w:p>
      <w:pPr>
        <w:pStyle w:val="822"/>
        <w:ind w:left="0" w:firstLine="28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0" w:firstLine="0"/>
        <w:jc w:val="both"/>
        <w:spacing w:line="276" w:lineRule="auto"/>
      </w:pPr>
      <w:r>
        <w:rPr>
          <w:b/>
          <w:bCs/>
          <w:sz w:val="28"/>
          <w:szCs w:val="28"/>
        </w:rPr>
        <w:t xml:space="preserve">по лоту № 3</w:t>
      </w:r>
      <w:r>
        <w:rPr>
          <w:sz w:val="28"/>
          <w:szCs w:val="28"/>
        </w:rPr>
        <w:t xml:space="preserve"> – п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раво заключения договора аренды земельного участка                           с кадастровым номером 5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9:01:0911481:232 площадью 3276 кв. м, расположенного по адресу: Российская Федерация, край Пермский, г.о. Пермский, г. Пермь,                 ул. Бригадирская, зу 28б, для строительства склада. Разрешенное использование земельного участка – склады (код 6.9</w:t>
      </w:r>
      <w:r>
        <w:rPr>
          <w:rFonts w:eastAsia="Droid Sans Fallback" w:cs="Lohit Devanagari"/>
          <w:color w:val="auto"/>
          <w:sz w:val="28"/>
          <w:szCs w:val="28"/>
          <w:lang w:val="en-US" w:eastAsia="en-US" w:bidi="ar-SA"/>
        </w:rPr>
        <w:t xml:space="preserve">).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По указанному лоту поступили заявки              от следующих заявителей: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«Импульс»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19.03.2025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Трунин Александр Юрьевич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19.03.2025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Деменев Александр Викторович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20.03.2025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Агальцова Евгения Вячеславовна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23.03.2025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Кривцов Константин Егорович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24.03.2025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24.03.2025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Федоров Павел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Нестеренко Илья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/>
          </w:p>
        </w:tc>
      </w:tr>
    </w:tbl>
    <w:p>
      <w:pPr>
        <w:pStyle w:val="822"/>
        <w:ind w:left="0" w:firstLine="28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0" w:firstLine="0"/>
        <w:jc w:val="both"/>
        <w:spacing w:line="276" w:lineRule="auto"/>
      </w:pPr>
      <w:r>
        <w:rPr>
          <w:b/>
          <w:bCs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 xml:space="preserve">4</w:t>
      </w:r>
      <w:r>
        <w:rPr>
          <w:sz w:val="28"/>
          <w:szCs w:val="28"/>
        </w:rPr>
        <w:t xml:space="preserve"> – пра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в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о заключения договора аренды земельного участка                          с кадастровым номером 59:01:2010333:191 площадью 460 кв. м, расположенного по адресу: Российс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кая Федерация, Пермский край, городской округ Пермский, город Пермь, улица Борцов Революции, з/у 217е, с целью строительства индивидуального жилого дома. Разрешенное использование земельного участка – для индивидуального жилищного строительства. По указанн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ому лоту поступили заявки от следующих заявителей: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17.03.2025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Курилов Николай Михайлович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20.03.2025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Быкова Наталья Николаевна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21.03.2025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Бахарев Александр Олегович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24.03.2025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24.03.2025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Лебедева Алиса Валерьевна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Горбова Екатерина Алексеевна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Вековшинина Наталья Константиновна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Борсук Сергей Александрович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25.03.2025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</w:tbl>
    <w:p>
      <w:pPr>
        <w:pStyle w:val="822"/>
        <w:ind w:left="0" w:firstLine="283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0" w:firstLine="283"/>
        <w:jc w:val="both"/>
        <w:spacing w:line="276" w:lineRule="auto"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 xml:space="preserve">от следующих заявителей:</w:t>
      </w:r>
      <w:r/>
    </w:p>
    <w:p>
      <w:pPr>
        <w:pStyle w:val="822"/>
        <w:ind w:left="0"/>
        <w:jc w:val="both"/>
        <w:spacing w:line="276" w:lineRule="auto"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1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Бычина Валентина Владимировна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Мартынов Олег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Костюкович Наталья Леонидовна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112 500,00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Шубин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112 500,00</w:t>
            </w:r>
            <w:r/>
          </w:p>
        </w:tc>
      </w:tr>
    </w:tbl>
    <w:p>
      <w:pPr>
        <w:pStyle w:val="822"/>
        <w:ind w:left="0"/>
        <w:jc w:val="both"/>
        <w:spacing w:line="276" w:lineRule="auto"/>
        <w:rPr>
          <w:rFonts w:eastAsia="Droid Sans Fallback" w:cs="Lohit Devanagari"/>
          <w:b/>
          <w:color w:val="auto"/>
          <w:sz w:val="28"/>
          <w:szCs w:val="28"/>
          <w:lang w:val="en-US" w:eastAsia="en-US" w:bidi="ar-SA"/>
        </w:rPr>
      </w:pPr>
      <w:r/>
      <w:r>
        <w:rPr>
          <w:rFonts w:eastAsia="Droid Sans Fallback" w:cs="Lohit Devanagari"/>
          <w:b/>
          <w:color w:val="auto"/>
          <w:sz w:val="28"/>
          <w:szCs w:val="28"/>
          <w:lang w:val="en-US" w:eastAsia="en-US" w:bidi="ar-SA"/>
        </w:rPr>
      </w:r>
    </w:p>
    <w:p>
      <w:pPr>
        <w:pStyle w:val="822"/>
        <w:ind w:left="0"/>
        <w:jc w:val="both"/>
        <w:spacing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en-US" w:eastAsia="en-US" w:bidi="ar-SA"/>
        </w:rPr>
        <w:t xml:space="preserve">по лоту № 2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Бунаков Дмитрий Иванович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Мартынов Олег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Костюкович Наталья Леонидовна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Шубин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139 000,00</w:t>
            </w:r>
            <w:r/>
          </w:p>
        </w:tc>
      </w:tr>
    </w:tbl>
    <w:p>
      <w:pPr>
        <w:pStyle w:val="74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0"/>
        <w:jc w:val="both"/>
        <w:spacing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en-US" w:eastAsia="en-US" w:bidi="ar-SA"/>
        </w:rPr>
        <w:t xml:space="preserve">по лоту № 3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«Импульс»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Трунин Александр Юрьевич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Деменев Александр Викторович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Агальцова Евгения Вячеславовна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Кривцов Константин Егорович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Федоров Павел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Нестеренко Илья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464 500,00</w:t>
            </w:r>
            <w:r/>
          </w:p>
        </w:tc>
      </w:tr>
    </w:tbl>
    <w:p>
      <w:pPr>
        <w:pStyle w:val="74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0"/>
        <w:jc w:val="both"/>
        <w:spacing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en-US" w:eastAsia="en-US" w:bidi="ar-SA"/>
        </w:rPr>
        <w:t xml:space="preserve">по лоту № </w:t>
      </w:r>
      <w:r>
        <w:rPr>
          <w:rFonts w:eastAsia="Droid Sans Fallback" w:cs="Lohit Devanagari"/>
          <w:b/>
          <w:color w:val="auto"/>
          <w:sz w:val="28"/>
          <w:szCs w:val="28"/>
          <w:lang w:val="en-US" w:eastAsia="en-US" w:bidi="ar-SA"/>
        </w:rPr>
        <w:t xml:space="preserve">4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Курилов Николай Михайлович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Быкова Наталья Николаевна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Бахарев Александр Олегович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Лебедева Алиса Валерьевна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Горбова Екатерина Алексеевна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Вековшинина Наталья Константиновна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 w:line="276" w:lineRule="auto"/>
              <w:widowControl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Борсук Сергей Александрович</w:t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137 000,00</w:t>
            </w:r>
            <w:r/>
          </w:p>
        </w:tc>
      </w:tr>
    </w:tbl>
    <w:p>
      <w:pPr>
        <w:pStyle w:val="747"/>
        <w:ind w:firstLine="0"/>
        <w:jc w:val="both"/>
        <w:spacing w:line="276" w:lineRule="auto"/>
        <w:rPr>
          <w:sz w:val="28"/>
          <w:szCs w:val="28"/>
        </w:rPr>
      </w:pPr>
      <w:r/>
      <w:r>
        <w:rPr>
          <w:sz w:val="28"/>
          <w:szCs w:val="28"/>
        </w:rPr>
      </w:r>
    </w:p>
    <w:p>
      <w:pPr>
        <w:pStyle w:val="747"/>
        <w:ind w:firstLine="708"/>
        <w:jc w:val="both"/>
        <w:spacing w:line="276" w:lineRule="auto"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</w:t>
      </w:r>
      <w:r>
        <w:rPr>
          <w:sz w:val="28"/>
          <w:szCs w:val="28"/>
        </w:rPr>
        <w:t xml:space="preserve">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           в муниципальной собственности города Перми, и участках, собст</w:t>
      </w:r>
      <w:r>
        <w:rPr>
          <w:sz w:val="28"/>
          <w:szCs w:val="28"/>
        </w:rPr>
        <w:t xml:space="preserve">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 xml:space="preserve">комиссия решила</w:t>
      </w:r>
      <w:r>
        <w:rPr>
          <w:sz w:val="28"/>
          <w:szCs w:val="28"/>
        </w:rPr>
        <w:t xml:space="preserve">:</w:t>
      </w:r>
      <w:r/>
    </w:p>
    <w:p>
      <w:pPr>
        <w:pStyle w:val="820"/>
        <w:jc w:val="both"/>
        <w:spacing w:line="276" w:lineRule="auto"/>
        <w:tabs>
          <w:tab w:val="left" w:pos="0" w:leader="none"/>
          <w:tab w:val="clear" w:pos="708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747"/>
        <w:ind w:firstLine="708"/>
        <w:jc w:val="both"/>
        <w:spacing w:line="276" w:lineRule="auto"/>
      </w:pPr>
      <w:r>
        <w:rPr>
          <w:sz w:val="28"/>
          <w:szCs w:val="28"/>
        </w:rPr>
        <w:t xml:space="preserve">1. допущены к участию в электронном аукционе и признаны участниками электронного аукциона следующие заявители:</w:t>
      </w:r>
      <w:r/>
    </w:p>
    <w:p>
      <w:pPr>
        <w:pStyle w:val="747"/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jc w:val="both"/>
        <w:spacing w:before="0" w:after="0" w:line="276" w:lineRule="auto"/>
        <w:widowControl/>
      </w:pPr>
      <w:r>
        <w:rPr>
          <w:b/>
          <w:sz w:val="28"/>
          <w:szCs w:val="28"/>
        </w:rPr>
        <w:t xml:space="preserve">по лоту № 1 — </w:t>
      </w:r>
      <w:r>
        <w:rPr>
          <w:sz w:val="28"/>
          <w:szCs w:val="28"/>
        </w:rPr>
        <w:t xml:space="preserve">Бычина Валентина Владимировна, Шадричев Сергей Владимирович, Мартынов Олег Сергеевич, Костюкович Наталья Леонидовна, Трубин Николай Николаевич, Соснин Алексей Сергеевич, Голдырева Татьяна Игоревна, Пермяков Денис Андреевич, Шубин Сергей Владимирович.</w:t>
      </w:r>
      <w:r/>
    </w:p>
    <w:p>
      <w:pPr>
        <w:pStyle w:val="747"/>
        <w:jc w:val="both"/>
        <w:spacing w:before="0" w:after="0" w:line="276" w:lineRule="auto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jc w:val="both"/>
        <w:spacing w:before="0" w:after="0" w:line="276" w:lineRule="auto"/>
        <w:widowControl/>
      </w:pPr>
      <w:r>
        <w:rPr>
          <w:b/>
          <w:sz w:val="28"/>
          <w:szCs w:val="28"/>
        </w:rPr>
        <w:t xml:space="preserve">по лоту № 2 —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Бунаков Дмитрий Иванович, Шадричев Сергей Владимирович, Мартынов Олег Сергеевич, Костюкович Наталья Леонидовна, Трубин Николай Николаевич, Соснин Алексей Сергеевич, Голдырева Татьяна Игоревна, Шубин Сергей Владимирович, Пермяков Денис Андреевич.</w:t>
      </w:r>
      <w:r/>
    </w:p>
    <w:p>
      <w:pPr>
        <w:pStyle w:val="747"/>
        <w:jc w:val="both"/>
        <w:spacing w:before="0" w:after="0" w:line="276" w:lineRule="auto"/>
        <w:widowControl/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747"/>
        <w:jc w:val="both"/>
        <w:spacing w:before="0" w:after="0" w:line="276" w:lineRule="auto"/>
        <w:widowControl/>
      </w:pPr>
      <w:r>
        <w:rPr>
          <w:rFonts w:eastAsia="Droid Sans Fallback" w:cs="Lohit Devanagari"/>
          <w:b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по лоту № 3 —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о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бщество с ограниченной ответственностью «Импульс», Деменев Александр Викторович, Агальцова Евгения Вячеславовна, Кривцов Константин Егорович, Соснин Алексей Сергеевич, Федоров Павел Николаевич, Нестеренко Илья Андреевич.</w:t>
      </w:r>
      <w:r/>
    </w:p>
    <w:p>
      <w:pPr>
        <w:pStyle w:val="747"/>
        <w:jc w:val="both"/>
        <w:spacing w:before="0" w:after="0" w:line="276" w:lineRule="auto"/>
        <w:widowControl/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pPr>
      <w:r/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747"/>
        <w:jc w:val="both"/>
        <w:spacing w:before="0" w:after="0" w:line="276" w:lineRule="auto"/>
        <w:widowControl/>
      </w:pPr>
      <w:r>
        <w:rPr>
          <w:rFonts w:eastAsia="Droid Sans Fallback" w:cs="Lohit Devanagari"/>
          <w:b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по лоту № </w:t>
      </w:r>
      <w:r>
        <w:rPr>
          <w:rFonts w:eastAsia="Droid Sans Fallback" w:cs="Lohit Devanagari"/>
          <w:b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4</w:t>
      </w:r>
      <w:r>
        <w:rPr>
          <w:rFonts w:eastAsia="Droid Sans Fallback" w:cs="Lohit Devanagari"/>
          <w:b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 —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Шадричев Сергей Владимирович, Курилов Николай Михайлович, Б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ыкова Наталья Николаевна, Бахарев Александр Олегович, Трубин Николай Николаевич, Голдырева Татьяна Игоревна, Лебедева Алиса Валерьевна, Горбова Екатерина Алексеевна, Вековшинина Наталья Константиновна, Пермяков Денис Андреевич, Борсук Сергей Александрович.</w:t>
      </w:r>
      <w:r/>
    </w:p>
    <w:p>
      <w:pPr>
        <w:pStyle w:val="747"/>
        <w:jc w:val="both"/>
        <w:spacing w:before="0" w:after="0" w:line="276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08"/>
        <w:jc w:val="both"/>
        <w:spacing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2. отказать в допуске к участию в аукционе следующим заявителям:</w:t>
      </w:r>
      <w:r/>
    </w:p>
    <w:p>
      <w:pPr>
        <w:pStyle w:val="747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276" w:lineRule="auto"/>
        <w:widowControl/>
      </w:pPr>
      <w:r>
        <w:rPr>
          <w:b/>
          <w:bCs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Трунину Александру Юрьевичу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/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/>
    </w:p>
    <w:p>
      <w:pPr>
        <w:pStyle w:val="747"/>
        <w:ind w:left="0" w:right="0" w:firstLine="0"/>
        <w:jc w:val="both"/>
        <w:spacing w:before="0" w:after="0" w:line="276" w:lineRule="auto"/>
        <w:widowControl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/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47"/>
        <w:ind w:firstLine="708"/>
        <w:jc w:val="both"/>
        <w:spacing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Причина отказа: </w:t>
      </w:r>
      <w:r>
        <w:rPr>
          <w:rFonts w:ascii="Times New Roman" w:hAnsi="Times New Roman" w:eastAsia="Droid Sans Fallback" w:cs="Lohit Devanagari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white"/>
          <w:lang w:val="ru-RU" w:eastAsia="ru-RU" w:bidi="ar-SA"/>
        </w:rPr>
        <w:t xml:space="preserve"> непредставление необходимых для участия в аукционе документов или представление недостоверных сведений.</w:t>
      </w:r>
      <w:r/>
    </w:p>
    <w:p>
      <w:pPr>
        <w:pStyle w:val="747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none"/>
          <w:lang w:val="en-US" w:eastAsia="en-US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none"/>
          <w:lang w:val="en-US" w:eastAsia="en-US" w:bidi="ar-SA"/>
        </w:rPr>
      </w:r>
    </w:p>
    <w:p>
      <w:pPr>
        <w:pStyle w:val="792"/>
        <w:ind w:left="0" w:right="0" w:firstLine="709"/>
        <w:jc w:val="both"/>
        <w:spacing w:before="0" w:after="0" w:line="240" w:lineRule="auto"/>
        <w:rPr>
          <w:rFonts w:ascii="Times New Roman" w:hAnsi="Times New Roman" w:eastAsia="Droid Sans Fallback" w:cs="Lohit Devanagari"/>
          <w:color w:val="auto"/>
          <w:lang w:val="ru-RU" w:eastAsia="ru-RU" w:bidi="ar-SA"/>
        </w:rPr>
      </w:pPr>
      <w:r>
        <w:rPr>
          <w:rFonts w:eastAsia="Droid Sans Fallback" w:cs="Lohit Devanagari"/>
          <w:color w:val="auto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lang w:val="ru-RU" w:eastAsia="ru-RU" w:bidi="ar-SA"/>
        </w:rPr>
      </w:r>
    </w:p>
    <w:p>
      <w:pPr>
        <w:pStyle w:val="747"/>
        <w:jc w:val="both"/>
        <w:spacing w:line="240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А.А. Хаткевич</w:t>
      </w:r>
      <w:r/>
    </w:p>
    <w:p>
      <w:pPr>
        <w:pStyle w:val="74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40" w:lineRule="auto"/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/>
    </w:p>
    <w:p>
      <w:pPr>
        <w:pStyle w:val="747"/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 w:line="240" w:lineRule="auto"/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  <w:r/>
    </w:p>
    <w:p>
      <w:pPr>
        <w:pStyle w:val="747"/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42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4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8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4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6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4"/>
                            <w:ind w:right="360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4"/>
                      <w:ind w:right="360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4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4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4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6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8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4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6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48">
    <w:name w:val="Heading 1"/>
    <w:basedOn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9">
    <w:name w:val="Heading 2"/>
    <w:basedOn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58">
    <w:name w:val="Heading 2 Char"/>
    <w:uiPriority w:val="9"/>
    <w:qFormat/>
    <w:rPr>
      <w:rFonts w:ascii="Arial" w:hAnsi="Arial" w:eastAsia="Arial" w:cs="Arial"/>
      <w:sz w:val="34"/>
    </w:rPr>
  </w:style>
  <w:style w:type="character" w:styleId="7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6">
    <w:name w:val="Title Char"/>
    <w:uiPriority w:val="10"/>
    <w:qFormat/>
    <w:rPr>
      <w:sz w:val="48"/>
      <w:szCs w:val="48"/>
    </w:rPr>
  </w:style>
  <w:style w:type="character" w:styleId="767">
    <w:name w:val="Subtitle Char"/>
    <w:uiPriority w:val="11"/>
    <w:qFormat/>
    <w:rPr>
      <w:sz w:val="24"/>
      <w:szCs w:val="24"/>
    </w:rPr>
  </w:style>
  <w:style w:type="character" w:styleId="768">
    <w:name w:val="Quote Char"/>
    <w:uiPriority w:val="29"/>
    <w:qFormat/>
    <w:rPr>
      <w:i/>
    </w:rPr>
  </w:style>
  <w:style w:type="character" w:styleId="769">
    <w:name w:val="Intense Quote Char"/>
    <w:uiPriority w:val="30"/>
    <w:qFormat/>
    <w:rPr>
      <w:i/>
    </w:rPr>
  </w:style>
  <w:style w:type="character" w:styleId="770">
    <w:name w:val="Header Char"/>
    <w:uiPriority w:val="99"/>
    <w:qFormat/>
  </w:style>
  <w:style w:type="character" w:styleId="771">
    <w:name w:val="Footer Char"/>
    <w:uiPriority w:val="99"/>
    <w:qFormat/>
  </w:style>
  <w:style w:type="character" w:styleId="772">
    <w:name w:val="Caption Char"/>
    <w:uiPriority w:val="99"/>
    <w:qFormat/>
  </w:style>
  <w:style w:type="character" w:styleId="773">
    <w:name w:val="Hyperlink"/>
    <w:uiPriority w:val="99"/>
    <w:unhideWhenUsed/>
    <w:rPr>
      <w:color w:val="0000ff" w:themeColor="hyperlink"/>
      <w:u w:val="single"/>
    </w:rPr>
  </w:style>
  <w:style w:type="character" w:styleId="774">
    <w:name w:val="Footnote Text Char"/>
    <w:uiPriority w:val="99"/>
    <w:qFormat/>
    <w:rPr>
      <w:sz w:val="18"/>
    </w:rPr>
  </w:style>
  <w:style w:type="character" w:styleId="775">
    <w:name w:val="Символ сноски"/>
    <w:uiPriority w:val="99"/>
    <w:unhideWhenUsed/>
    <w:qFormat/>
    <w:rPr>
      <w:vertAlign w:val="superscript"/>
    </w:rPr>
  </w:style>
  <w:style w:type="character" w:styleId="776">
    <w:name w:val="footnote reference"/>
    <w:rPr>
      <w:vertAlign w:val="superscript"/>
    </w:rPr>
  </w:style>
  <w:style w:type="character" w:styleId="777">
    <w:name w:val="Endnote Text Char"/>
    <w:uiPriority w:val="99"/>
    <w:qFormat/>
    <w:rPr>
      <w:sz w:val="20"/>
    </w:rPr>
  </w:style>
  <w:style w:type="character" w:styleId="7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Основной шрифт абзаца"/>
    <w:semiHidden/>
    <w:qFormat/>
  </w:style>
  <w:style w:type="character" w:styleId="781">
    <w:name w:val="Основной текст с отступом 3 Знак"/>
    <w:qFormat/>
    <w:rPr>
      <w:sz w:val="16"/>
      <w:szCs w:val="16"/>
    </w:rPr>
  </w:style>
  <w:style w:type="character" w:styleId="782">
    <w:name w:val="Текст Знак"/>
    <w:qFormat/>
    <w:rPr>
      <w:rFonts w:ascii="Courier New" w:hAnsi="Courier New"/>
    </w:rPr>
  </w:style>
  <w:style w:type="character" w:styleId="783">
    <w:name w:val="Текст выноски Знак"/>
    <w:qFormat/>
    <w:rPr>
      <w:rFonts w:ascii="Tahoma" w:hAnsi="Tahoma" w:cs="Tahoma"/>
      <w:sz w:val="16"/>
      <w:szCs w:val="16"/>
    </w:rPr>
  </w:style>
  <w:style w:type="character" w:styleId="784">
    <w:name w:val="Основной текст с отступом Знак"/>
    <w:qFormat/>
    <w:rPr>
      <w:sz w:val="24"/>
      <w:szCs w:val="24"/>
    </w:rPr>
  </w:style>
  <w:style w:type="character" w:styleId="785">
    <w:name w:val="Верхний колонтитул Знак"/>
    <w:qFormat/>
    <w:rPr>
      <w:sz w:val="24"/>
      <w:szCs w:val="24"/>
    </w:rPr>
  </w:style>
  <w:style w:type="character" w:styleId="786">
    <w:name w:val="Нижний колонтитул Знак"/>
    <w:qFormat/>
    <w:rPr>
      <w:sz w:val="24"/>
      <w:szCs w:val="24"/>
    </w:rPr>
  </w:style>
  <w:style w:type="character" w:styleId="787">
    <w:name w:val="Текст сноски Знак"/>
    <w:basedOn w:val="780"/>
    <w:qFormat/>
  </w:style>
  <w:style w:type="character" w:styleId="788">
    <w:name w:val="Знак сноски"/>
    <w:qFormat/>
    <w:rPr>
      <w:vertAlign w:val="superscript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>
    <w:name w:val="Символ нумерации"/>
    <w:qFormat/>
  </w:style>
  <w:style w:type="paragraph" w:styleId="791">
    <w:name w:val="Заголовок"/>
    <w:basedOn w:val="747"/>
    <w:next w:val="792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2">
    <w:name w:val="Body Text"/>
    <w:basedOn w:val="747"/>
    <w:pPr>
      <w:spacing w:before="0" w:after="140" w:line="276" w:lineRule="auto"/>
    </w:pPr>
  </w:style>
  <w:style w:type="paragraph" w:styleId="793">
    <w:name w:val="List"/>
    <w:basedOn w:val="792"/>
    <w:rPr>
      <w:rFonts w:cs="Lohit Devanagari"/>
    </w:rPr>
  </w:style>
  <w:style w:type="paragraph" w:styleId="794">
    <w:name w:val="Caption"/>
    <w:basedOn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5">
    <w:name w:val="Указатель"/>
    <w:basedOn w:val="747"/>
    <w:qFormat/>
    <w:pPr>
      <w:suppressLineNumbers/>
    </w:pPr>
    <w:rPr>
      <w:rFonts w:cs="Lohit Devanagari"/>
    </w:rPr>
  </w:style>
  <w:style w:type="paragraph" w:styleId="796">
    <w:name w:val="List Paragraph"/>
    <w:basedOn w:val="747"/>
    <w:uiPriority w:val="34"/>
    <w:qFormat/>
    <w:pPr>
      <w:contextualSpacing/>
      <w:ind w:left="720"/>
      <w:spacing w:before="0" w:after="0"/>
    </w:pPr>
  </w:style>
  <w:style w:type="paragraph" w:styleId="797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98">
    <w:name w:val="Title"/>
    <w:basedOn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9">
    <w:name w:val="Subtitle"/>
    <w:basedOn w:val="747"/>
    <w:uiPriority w:val="11"/>
    <w:qFormat/>
    <w:pPr>
      <w:spacing w:before="200" w:after="200"/>
    </w:pPr>
    <w:rPr>
      <w:sz w:val="24"/>
      <w:szCs w:val="24"/>
    </w:rPr>
  </w:style>
  <w:style w:type="paragraph" w:styleId="800">
    <w:name w:val="Quote"/>
    <w:basedOn w:val="747"/>
    <w:uiPriority w:val="29"/>
    <w:qFormat/>
    <w:pPr>
      <w:ind w:left="720" w:right="720"/>
    </w:pPr>
    <w:rPr>
      <w:i/>
    </w:rPr>
  </w:style>
  <w:style w:type="paragraph" w:styleId="801">
    <w:name w:val="Intense Quote"/>
    <w:basedOn w:val="7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2">
    <w:name w:val="Колонтитул"/>
    <w:basedOn w:val="747"/>
    <w:qFormat/>
  </w:style>
  <w:style w:type="paragraph" w:styleId="803">
    <w:name w:val="Head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4">
    <w:name w:val="Foot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5">
    <w:name w:val="footnote text"/>
    <w:basedOn w:val="7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6">
    <w:name w:val="endnote text"/>
    <w:basedOn w:val="7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7">
    <w:name w:val="toc 1"/>
    <w:basedOn w:val="747"/>
    <w:uiPriority w:val="39"/>
    <w:unhideWhenUsed/>
    <w:pPr>
      <w:ind w:left="0" w:right="0" w:firstLine="0"/>
      <w:spacing w:before="0" w:after="57"/>
    </w:pPr>
  </w:style>
  <w:style w:type="paragraph" w:styleId="808">
    <w:name w:val="toc 2"/>
    <w:basedOn w:val="747"/>
    <w:uiPriority w:val="39"/>
    <w:unhideWhenUsed/>
    <w:pPr>
      <w:ind w:left="283" w:right="0" w:firstLine="0"/>
      <w:spacing w:before="0" w:after="57"/>
    </w:pPr>
  </w:style>
  <w:style w:type="paragraph" w:styleId="809">
    <w:name w:val="toc 3"/>
    <w:basedOn w:val="747"/>
    <w:uiPriority w:val="39"/>
    <w:unhideWhenUsed/>
    <w:pPr>
      <w:ind w:left="567" w:right="0" w:firstLine="0"/>
      <w:spacing w:before="0" w:after="57"/>
    </w:pPr>
  </w:style>
  <w:style w:type="paragraph" w:styleId="810">
    <w:name w:val="toc 4"/>
    <w:basedOn w:val="747"/>
    <w:uiPriority w:val="39"/>
    <w:unhideWhenUsed/>
    <w:pPr>
      <w:ind w:left="850" w:right="0" w:firstLine="0"/>
      <w:spacing w:before="0" w:after="57"/>
    </w:pPr>
  </w:style>
  <w:style w:type="paragraph" w:styleId="811">
    <w:name w:val="toc 5"/>
    <w:basedOn w:val="747"/>
    <w:uiPriority w:val="39"/>
    <w:unhideWhenUsed/>
    <w:pPr>
      <w:ind w:left="1134" w:right="0" w:firstLine="0"/>
      <w:spacing w:before="0" w:after="57"/>
    </w:pPr>
  </w:style>
  <w:style w:type="paragraph" w:styleId="812">
    <w:name w:val="toc 6"/>
    <w:basedOn w:val="747"/>
    <w:uiPriority w:val="39"/>
    <w:unhideWhenUsed/>
    <w:pPr>
      <w:ind w:left="1417" w:right="0" w:firstLine="0"/>
      <w:spacing w:before="0" w:after="57"/>
    </w:pPr>
  </w:style>
  <w:style w:type="paragraph" w:styleId="813">
    <w:name w:val="toc 7"/>
    <w:basedOn w:val="747"/>
    <w:uiPriority w:val="39"/>
    <w:unhideWhenUsed/>
    <w:pPr>
      <w:ind w:left="1701" w:right="0" w:firstLine="0"/>
      <w:spacing w:before="0" w:after="57"/>
    </w:pPr>
  </w:style>
  <w:style w:type="paragraph" w:styleId="814">
    <w:name w:val="toc 8"/>
    <w:basedOn w:val="747"/>
    <w:uiPriority w:val="39"/>
    <w:unhideWhenUsed/>
    <w:pPr>
      <w:ind w:left="1984" w:right="0" w:firstLine="0"/>
      <w:spacing w:before="0" w:after="57"/>
    </w:pPr>
  </w:style>
  <w:style w:type="paragraph" w:styleId="815">
    <w:name w:val="toc 9"/>
    <w:basedOn w:val="747"/>
    <w:uiPriority w:val="39"/>
    <w:unhideWhenUsed/>
    <w:pPr>
      <w:ind w:left="2268" w:right="0" w:firstLine="0"/>
      <w:spacing w:before="0" w:after="57"/>
    </w:pPr>
  </w:style>
  <w:style w:type="paragraph" w:styleId="816">
    <w:name w:val="Index Heading"/>
    <w:basedOn w:val="791"/>
  </w:style>
  <w:style w:type="paragraph" w:styleId="81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8">
    <w:name w:val="table of figures"/>
    <w:basedOn w:val="747"/>
    <w:uiPriority w:val="99"/>
    <w:unhideWhenUsed/>
    <w:pPr>
      <w:spacing w:before="0" w:after="0" w:afterAutospacing="0"/>
    </w:pPr>
  </w:style>
  <w:style w:type="paragraph" w:styleId="819">
    <w:name w:val="Body Text Indent"/>
    <w:basedOn w:val="747"/>
    <w:pPr>
      <w:ind w:left="283"/>
      <w:spacing w:before="0" w:after="120"/>
    </w:pPr>
    <w:rPr>
      <w:lang w:val="en-US" w:eastAsia="en-US"/>
    </w:rPr>
  </w:style>
  <w:style w:type="paragraph" w:styleId="820">
    <w:name w:val="Текст"/>
    <w:basedOn w:val="747"/>
    <w:qFormat/>
    <w:rPr>
      <w:rFonts w:ascii="Courier New" w:hAnsi="Courier New"/>
      <w:sz w:val="20"/>
      <w:szCs w:val="20"/>
      <w:lang w:val="en-US" w:eastAsia="en-US"/>
    </w:rPr>
  </w:style>
  <w:style w:type="paragraph" w:styleId="821">
    <w:name w:val="Знак Знак Знак Знак Знак Знак Знак Знак Знак Знак Знак Знак"/>
    <w:basedOn w:val="747"/>
    <w:qFormat/>
    <w:rPr>
      <w:rFonts w:ascii="Verdana" w:hAnsi="Verdana" w:cs="Verdana"/>
      <w:sz w:val="20"/>
      <w:szCs w:val="20"/>
      <w:lang w:val="en-US" w:eastAsia="en-US"/>
    </w:rPr>
  </w:style>
  <w:style w:type="paragraph" w:styleId="822">
    <w:name w:val="Основной текст с отступом 3"/>
    <w:basedOn w:val="74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23">
    <w:name w:val="Текст выноски"/>
    <w:basedOn w:val="747"/>
    <w:qFormat/>
    <w:rPr>
      <w:rFonts w:ascii="Tahoma" w:hAnsi="Tahoma"/>
      <w:sz w:val="16"/>
      <w:szCs w:val="16"/>
      <w:lang w:val="en-US" w:eastAsia="en-US"/>
    </w:rPr>
  </w:style>
  <w:style w:type="paragraph" w:styleId="824">
    <w:name w:val="Текст сноски"/>
    <w:basedOn w:val="747"/>
    <w:qFormat/>
    <w:rPr>
      <w:sz w:val="20"/>
      <w:szCs w:val="20"/>
    </w:rPr>
  </w:style>
  <w:style w:type="paragraph" w:styleId="825">
    <w:name w:val="Содержимое врезки"/>
    <w:basedOn w:val="747"/>
    <w:qFormat/>
  </w:style>
  <w:style w:type="paragraph" w:styleId="826">
    <w:name w:val="Содержимое таблицы"/>
    <w:basedOn w:val="747"/>
    <w:qFormat/>
    <w:pPr>
      <w:widowControl w:val="off"/>
      <w:suppressLineNumbers/>
    </w:pPr>
  </w:style>
  <w:style w:type="paragraph" w:styleId="827">
    <w:name w:val="Заголовок таблицы"/>
    <w:basedOn w:val="826"/>
    <w:qFormat/>
    <w:pPr>
      <w:jc w:val="center"/>
      <w:suppressLineNumbers/>
    </w:pPr>
    <w:rPr>
      <w:b/>
      <w:bCs/>
    </w:rPr>
  </w:style>
  <w:style w:type="numbering" w:styleId="828">
    <w:name w:val="Нет списка"/>
    <w:semiHidden/>
    <w:qFormat/>
  </w:style>
  <w:style w:type="numbering" w:styleId="829" w:default="1">
    <w:name w:val="No List"/>
    <w:uiPriority w:val="99"/>
    <w:semiHidden/>
    <w:unhideWhenUsed/>
    <w:qFormat/>
  </w:style>
  <w:style w:type="table" w:styleId="83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3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6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6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6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7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8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8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87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9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9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9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9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0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2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35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6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37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38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39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0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1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2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43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44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45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46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47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48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4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5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5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5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5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5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1068</cp:revision>
  <dcterms:created xsi:type="dcterms:W3CDTF">2015-07-02T10:18:00Z</dcterms:created>
  <dcterms:modified xsi:type="dcterms:W3CDTF">2025-03-26T06:37:36Z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