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22"/>
        <w:numPr>
          <w:ilvl w:val="0"/>
          <w:numId w:val="0"/>
        </w:numPr>
        <w:ind w:left="0" w:firstLine="0"/>
        <w:jc w:val="center"/>
        <w:spacing w:line="276" w:lineRule="auto"/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/>
    </w:p>
    <w:p>
      <w:pPr>
        <w:pStyle w:val="822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numPr>
          <w:ilvl w:val="0"/>
          <w:numId w:val="0"/>
        </w:numPr>
        <w:ind w:left="0" w:firstLine="0"/>
        <w:jc w:val="center"/>
        <w:spacing w:line="276" w:lineRule="auto"/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  <w:r/>
    </w:p>
    <w:p>
      <w:pPr>
        <w:pStyle w:val="822"/>
        <w:numPr>
          <w:ilvl w:val="0"/>
          <w:numId w:val="0"/>
        </w:numPr>
        <w:ind w:left="0" w:firstLine="0"/>
        <w:jc w:val="center"/>
        <w:spacing w:line="276" w:lineRule="auto"/>
        <w:outlineLvl w:val="0"/>
      </w:pPr>
      <w:r>
        <w:rPr>
          <w:b/>
          <w:sz w:val="28"/>
          <w:szCs w:val="28"/>
        </w:rPr>
        <w:t xml:space="preserve">на право заключения договоров аренды земельных участков</w:t>
      </w:r>
      <w:r/>
    </w:p>
    <w:p>
      <w:pPr>
        <w:pStyle w:val="822"/>
        <w:numPr>
          <w:ilvl w:val="0"/>
          <w:numId w:val="0"/>
        </w:numPr>
        <w:ind w:left="0" w:firstLine="0"/>
        <w:spacing w:line="276" w:lineRule="auto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spacing w:line="276" w:lineRule="auto"/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 02.04.2025 </w:t>
      </w:r>
      <w:r/>
    </w:p>
    <w:p>
      <w:pPr>
        <w:pStyle w:val="822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</w:t>
      </w:r>
      <w:r>
        <w:rPr>
          <w:sz w:val="28"/>
          <w:szCs w:val="28"/>
        </w:rPr>
        <w:t xml:space="preserve">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</w:t>
      </w:r>
      <w:r>
        <w:rPr>
          <w:sz w:val="28"/>
          <w:szCs w:val="28"/>
        </w:rPr>
        <w:t xml:space="preserve">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                        (с последующими изменениями),  в  составе: </w:t>
      </w:r>
      <w:r/>
    </w:p>
    <w:p>
      <w:pPr>
        <w:pStyle w:val="822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822"/>
        <w:ind w:left="2520" w:hanging="2520"/>
        <w:jc w:val="both"/>
        <w:spacing w:before="0" w:after="120" w:line="276" w:lineRule="auto"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  <w:r/>
    </w:p>
    <w:p>
      <w:pPr>
        <w:pStyle w:val="822"/>
        <w:ind w:left="2517" w:hanging="2517"/>
        <w:jc w:val="both"/>
        <w:spacing w:line="276" w:lineRule="auto"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  <w:r/>
    </w:p>
    <w:p>
      <w:pPr>
        <w:pStyle w:val="822"/>
        <w:ind w:left="2517" w:right="0" w:hanging="2517"/>
        <w:jc w:val="both"/>
        <w:spacing w:before="0" w:after="0" w:line="276" w:lineRule="auto"/>
      </w:pP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  <w:r/>
    </w:p>
    <w:p>
      <w:pPr>
        <w:pStyle w:val="822"/>
        <w:ind w:left="2517" w:hanging="2517"/>
        <w:jc w:val="both"/>
        <w:spacing w:line="276" w:lineRule="auto"/>
      </w:pPr>
      <w:r/>
      <w:r/>
    </w:p>
    <w:p>
      <w:pPr>
        <w:pStyle w:val="822"/>
        <w:ind w:left="1843" w:hanging="1843"/>
        <w:jc w:val="both"/>
        <w:spacing w:line="276" w:lineRule="auto"/>
      </w:pPr>
      <w:r>
        <w:rPr>
          <w:sz w:val="28"/>
          <w:szCs w:val="28"/>
        </w:rPr>
        <w:t xml:space="preserve">Член комиссии:  Четина Ю.И., заместитель начальника отдела по распоряжению муниципальным имуществом управления по распоряжению  муниципальным имуществом департамента имущественных отношений администрации города Перми,</w:t>
      </w:r>
      <w:r/>
    </w:p>
    <w:p>
      <w:pPr>
        <w:pStyle w:val="822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 xml:space="preserve">аукционах, назначенных                           на</w:t>
      </w:r>
      <w:r>
        <w:rPr>
          <w:sz w:val="28"/>
          <w:szCs w:val="28"/>
          <w:lang w:val="ru-RU"/>
        </w:rPr>
        <w:t xml:space="preserve"> 03.04.2025 (процедур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а № SBR012-2502280022), установила:</w:t>
      </w:r>
      <w:r/>
    </w:p>
    <w:p>
      <w:pPr>
        <w:pStyle w:val="822"/>
        <w:ind w:left="0" w:right="0" w:firstLine="0"/>
        <w:jc w:val="both"/>
        <w:spacing w:before="0" w:after="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22"/>
        <w:jc w:val="both"/>
        <w:spacing w:line="276" w:lineRule="auto"/>
      </w:pPr>
      <w:r>
        <w:rPr>
          <w:b/>
          <w:sz w:val="28"/>
          <w:szCs w:val="28"/>
        </w:rPr>
        <w:t xml:space="preserve">по лоту № 1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право  заключения договора аренды земельного участка                           с кадастровым номером 59:01:3812839:168 площадью 612 кв. м, расположенного по адресу: Российская Федерация, край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Пермский, г.о. Пермский, г. Пермь,                ул. Белорусская, зу 1ф, для индивидуального жилищного строительства. Разрешенное использование земельного участка – для индивидуального жилищного строительства (2.1). По указанному лоту заявки не поступали.</w:t>
      </w:r>
      <w:r/>
    </w:p>
    <w:p>
      <w:pPr>
        <w:pStyle w:val="822"/>
        <w:jc w:val="both"/>
        <w:spacing w:line="276" w:lineRule="auto"/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</w:r>
    </w:p>
    <w:p>
      <w:pPr>
        <w:pStyle w:val="822"/>
        <w:jc w:val="both"/>
        <w:spacing w:line="276" w:lineRule="auto"/>
      </w:pPr>
      <w:r>
        <w:rPr>
          <w:rFonts w:eastAsia="Droid Sans Fallback" w:cs="Lohit Devanagari"/>
          <w:b/>
          <w:bCs/>
          <w:color w:val="auto"/>
          <w:sz w:val="28"/>
          <w:szCs w:val="28"/>
          <w:lang w:val="ru-RU" w:eastAsia="ru-RU" w:bidi="ar-SA"/>
        </w:rPr>
        <w:t xml:space="preserve">по лоту № 2 – 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право заключения договора аренды земельного участка                           с кадастровым номером 59:01:3812825:164 площадью 476 кв. м, расположенного по адресу: Российская Федерация, Пермский край, городск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ой округ Пермский, город Пермь, улица Кизеловская, з/у 12, для индивидуального жилищного строительства. Разрешенное использование земельного участка – для индивидуального жилищного строительства. По указанному лоту поступили заявки от следующих заявителей:</w:t>
      </w:r>
      <w:r/>
    </w:p>
    <w:p>
      <w:pPr>
        <w:pStyle w:val="822"/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990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3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822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Сведения о заявителе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822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Дата подачи заявки</w:t>
            </w:r>
            <w:r/>
          </w:p>
        </w:tc>
      </w:tr>
      <w:tr>
        <w:tblPrEx/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82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white"/>
                <w:lang w:val="ru-RU" w:eastAsia="ru-RU" w:bidi="ar-SA"/>
              </w:rPr>
              <w:t xml:space="preserve">Кулай Артур Дербишович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822"/>
              <w:jc w:val="center"/>
              <w:spacing w:line="276" w:lineRule="auto"/>
            </w:pPr>
            <w:r>
              <w:rPr>
                <w:sz w:val="28"/>
                <w:szCs w:val="28"/>
                <w:highlight w:val="white"/>
              </w:rPr>
              <w:t xml:space="preserve">30.03.2025</w:t>
            </w:r>
            <w:r/>
          </w:p>
        </w:tc>
      </w:tr>
    </w:tbl>
    <w:p>
      <w:pPr>
        <w:pStyle w:val="822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jc w:val="both"/>
        <w:spacing w:line="276" w:lineRule="auto"/>
      </w:pPr>
      <w:r>
        <w:rPr>
          <w:b/>
          <w:sz w:val="28"/>
          <w:szCs w:val="28"/>
        </w:rPr>
        <w:t xml:space="preserve">по лоту № 3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право заключения договора аренды земельного участка                            с кадастровым номером 59:01:3812826:138 площадью 1297 кв. м, расположенного по адресу: Российская Федер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ация, Пермский край, Пермский край, городской округ Пермский, город Пермь, улица Кизеловская, з/у 9в, для индивидуального жилищного строительства. Разрешенное использование земельного участка – для индивидуального жилищного строительства (2.1). По указанно</w:t>
      </w:r>
      <w:r>
        <w:rPr>
          <w:sz w:val="28"/>
          <w:szCs w:val="28"/>
          <w:lang w:val="ru-RU" w:eastAsia="ru-RU" w:bidi="ar-SA"/>
        </w:rPr>
        <w:t xml:space="preserve">му лоту </w:t>
      </w:r>
      <w:r>
        <w:rPr>
          <w:bCs/>
          <w:sz w:val="28"/>
          <w:szCs w:val="28"/>
          <w:lang w:val="ru-RU" w:eastAsia="ru-RU" w:bidi="ar-SA"/>
        </w:rPr>
        <w:t xml:space="preserve">заявки              не поступали.</w:t>
      </w:r>
      <w:r/>
    </w:p>
    <w:p>
      <w:pPr>
        <w:pStyle w:val="822"/>
        <w:jc w:val="both"/>
        <w:spacing w:line="276" w:lineRule="auto"/>
        <w:rPr>
          <w:bCs/>
          <w:sz w:val="28"/>
          <w:szCs w:val="28"/>
          <w:lang w:val="ru-RU" w:eastAsia="ru-RU" w:bidi="ar-SA"/>
        </w:rPr>
      </w:pPr>
      <w:r>
        <w:rPr>
          <w:bCs/>
          <w:sz w:val="28"/>
          <w:szCs w:val="28"/>
          <w:lang w:val="ru-RU" w:eastAsia="ru-RU" w:bidi="ar-SA"/>
        </w:rPr>
      </w:r>
      <w:r>
        <w:rPr>
          <w:bCs/>
          <w:sz w:val="28"/>
          <w:szCs w:val="28"/>
          <w:lang w:val="ru-RU" w:eastAsia="ru-RU" w:bidi="ar-SA"/>
        </w:rPr>
      </w:r>
    </w:p>
    <w:p>
      <w:pPr>
        <w:pStyle w:val="822"/>
        <w:jc w:val="both"/>
        <w:spacing w:line="276" w:lineRule="auto"/>
      </w:pPr>
      <w:r>
        <w:rPr>
          <w:b/>
          <w:sz w:val="28"/>
          <w:szCs w:val="28"/>
        </w:rPr>
        <w:t xml:space="preserve">по лоту № 4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право заключения договора аренды земельного участка                           с кадастровым номером 59:01:3810423:208 площадью 599 кв. м, расположенного по адресу: Россий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ская Федерация, Пермский край, городской округ Пермский, город Пермь, улица Белорусская, з/у 1д, для индивидуального жилищного строительства. Разрешенное использование земельного участка – для индивидуального жилищного строительства (2.1).  По указанному л</w:t>
      </w:r>
      <w:r>
        <w:rPr>
          <w:rFonts w:eastAsia="Droid Sans Fallback" w:cs="Lohit Devanagari"/>
          <w:b w:val="0"/>
          <w:bCs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оту поступили заявки от следующих заявителей:</w:t>
      </w:r>
      <w:r/>
    </w:p>
    <w:p>
      <w:pPr>
        <w:pStyle w:val="822"/>
        <w:jc w:val="both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990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3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822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Сведения о заявителе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822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Дата подачи заявки</w:t>
            </w:r>
            <w:r/>
          </w:p>
        </w:tc>
      </w:tr>
      <w:tr>
        <w:tblPrEx/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82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white"/>
                <w:lang w:val="ru-RU" w:eastAsia="ru-RU" w:bidi="ar-SA"/>
              </w:rPr>
              <w:t xml:space="preserve">Хубиева Айшат Аубекировна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822"/>
              <w:jc w:val="center"/>
              <w:spacing w:line="276" w:lineRule="auto"/>
            </w:pPr>
            <w:r>
              <w:rPr>
                <w:sz w:val="28"/>
                <w:szCs w:val="28"/>
                <w:highlight w:val="white"/>
              </w:rPr>
              <w:t xml:space="preserve">01.04.2025</w:t>
            </w:r>
            <w:r/>
          </w:p>
        </w:tc>
      </w:tr>
      <w:tr>
        <w:tblPrEx/>
        <w:trPr>
          <w:trHeight w:val="38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82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white"/>
                <w:lang w:val="ru-RU" w:eastAsia="ru-RU" w:bidi="ar-SA"/>
              </w:rPr>
              <w:t xml:space="preserve">Кореневская Фаризет Хасановна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822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01.04.2025</w:t>
            </w:r>
            <w:r/>
          </w:p>
        </w:tc>
      </w:tr>
    </w:tbl>
    <w:p>
      <w:pPr>
        <w:pStyle w:val="822"/>
        <w:jc w:val="both"/>
        <w:spacing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0"/>
          <w:szCs w:val="28"/>
          <w:lang w:val="en-US" w:eastAsia="en-US" w:bidi="ar-SA"/>
        </w:rPr>
      </w:pP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0"/>
          <w:szCs w:val="28"/>
          <w:lang w:val="en-US" w:eastAsia="en-US" w:bidi="ar-SA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0"/>
          <w:szCs w:val="28"/>
          <w:lang w:val="en-US" w:eastAsia="en-US" w:bidi="ar-SA"/>
        </w:rPr>
      </w:r>
    </w:p>
    <w:p>
      <w:pPr>
        <w:pStyle w:val="822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r>
    </w:p>
    <w:p>
      <w:pPr>
        <w:pStyle w:val="896"/>
        <w:ind w:left="0" w:firstLine="283"/>
        <w:jc w:val="both"/>
        <w:spacing w:line="276" w:lineRule="auto"/>
      </w:pPr>
      <w:r>
        <w:rPr>
          <w:sz w:val="28"/>
          <w:szCs w:val="28"/>
        </w:rPr>
        <w:t xml:space="preserve">Поступили установленные суммы задатков </w:t>
      </w:r>
      <w:r>
        <w:rPr>
          <w:bCs/>
          <w:sz w:val="28"/>
          <w:szCs w:val="28"/>
        </w:rPr>
        <w:t xml:space="preserve">от следующих заявителей:</w:t>
      </w:r>
      <w:r/>
    </w:p>
    <w:p>
      <w:pPr>
        <w:pStyle w:val="896"/>
        <w:ind w:left="0"/>
        <w:jc w:val="both"/>
        <w:spacing w:line="276" w:lineRule="auto"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 xml:space="preserve">2</w:t>
      </w:r>
      <w:r/>
    </w:p>
    <w:tbl>
      <w:tblPr>
        <w:tblW w:w="990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3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822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Сведения о заявителе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822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Сумма задатка,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82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white"/>
                <w:lang w:val="ru-RU" w:eastAsia="ru-RU" w:bidi="ar-SA"/>
              </w:rPr>
              <w:t xml:space="preserve">Кулай Артур Дербишович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822"/>
              <w:jc w:val="center"/>
              <w:spacing w:line="276" w:lineRule="auto"/>
            </w:pPr>
            <w:r>
              <w:rPr>
                <w:sz w:val="28"/>
                <w:szCs w:val="28"/>
                <w:highlight w:val="white"/>
              </w:rPr>
              <w:t xml:space="preserve">57 400,00</w:t>
            </w:r>
            <w:r/>
          </w:p>
        </w:tc>
      </w:tr>
    </w:tbl>
    <w:p>
      <w:pPr>
        <w:pStyle w:val="822"/>
        <w:ind w:firstLine="0"/>
        <w:jc w:val="both"/>
        <w:spacing w:line="276" w:lineRule="auto"/>
      </w:pPr>
      <w:r/>
      <w:r/>
    </w:p>
    <w:p>
      <w:pPr>
        <w:pStyle w:val="896"/>
        <w:ind w:left="0"/>
        <w:jc w:val="both"/>
        <w:spacing w:line="276" w:lineRule="auto"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 xml:space="preserve">4</w:t>
      </w:r>
      <w:r/>
    </w:p>
    <w:tbl>
      <w:tblPr>
        <w:tblW w:w="990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3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822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Сведения о заявителе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822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Сумма задатка,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82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white"/>
                <w:lang w:val="ru-RU" w:eastAsia="ru-RU" w:bidi="ar-SA"/>
              </w:rPr>
              <w:t xml:space="preserve">Хубиева Айшат Аубекировна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822"/>
              <w:jc w:val="center"/>
              <w:spacing w:line="276" w:lineRule="auto"/>
            </w:pPr>
            <w:r>
              <w:rPr>
                <w:sz w:val="28"/>
                <w:szCs w:val="28"/>
                <w:highlight w:val="white"/>
              </w:rPr>
              <w:t xml:space="preserve">73 500,00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82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white"/>
                <w:lang w:val="ru-RU" w:eastAsia="ru-RU" w:bidi="ar-SA"/>
              </w:rPr>
              <w:t xml:space="preserve">Кореневская Фаризет Хасановна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822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73 500,00</w:t>
            </w:r>
            <w:r/>
          </w:p>
        </w:tc>
      </w:tr>
    </w:tbl>
    <w:p>
      <w:pPr>
        <w:pStyle w:val="822"/>
        <w:ind w:firstLine="0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firstLine="708"/>
        <w:jc w:val="both"/>
        <w:spacing w:line="276" w:lineRule="auto"/>
      </w:pPr>
      <w:r>
        <w:rPr>
          <w:sz w:val="28"/>
          <w:szCs w:val="28"/>
        </w:rPr>
        <w:t xml:space="preserve">На основании пункта 8 статьи 39.12 Земельного кодекса Российской Федерации, постановления администрации города Перми от 20.11.2008 № 1089 «О комиссии по проведению аукционов по продаже земельных участков, находящихся в муниципальной собственности го</w:t>
      </w:r>
      <w:r>
        <w:rPr>
          <w:sz w:val="28"/>
          <w:szCs w:val="28"/>
        </w:rPr>
        <w:t xml:space="preserve">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           в муниципальной собственности города Перми, и участках, собст</w:t>
      </w:r>
      <w:r>
        <w:rPr>
          <w:sz w:val="28"/>
          <w:szCs w:val="28"/>
        </w:rPr>
        <w:t xml:space="preserve">венность                   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разграничена» (с последующими изменениями) </w:t>
      </w:r>
      <w:r>
        <w:rPr>
          <w:b/>
          <w:sz w:val="28"/>
          <w:szCs w:val="28"/>
        </w:rPr>
        <w:t xml:space="preserve">комиссия решила</w:t>
      </w:r>
      <w:r>
        <w:rPr>
          <w:sz w:val="28"/>
          <w:szCs w:val="28"/>
        </w:rPr>
        <w:t xml:space="preserve">:</w:t>
      </w:r>
      <w:r/>
    </w:p>
    <w:p>
      <w:pPr>
        <w:pStyle w:val="894"/>
        <w:jc w:val="both"/>
        <w:spacing w:line="276" w:lineRule="auto"/>
        <w:tabs>
          <w:tab w:val="left" w:pos="0" w:leader="none"/>
          <w:tab w:val="clear" w:pos="708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822"/>
        <w:ind w:firstLine="708"/>
        <w:jc w:val="both"/>
        <w:spacing w:line="276" w:lineRule="auto"/>
      </w:pPr>
      <w:r>
        <w:rPr>
          <w:sz w:val="28"/>
          <w:szCs w:val="28"/>
        </w:rPr>
        <w:t xml:space="preserve">1. допущены к участию в электронном аукционе и признаны участниками электронного аукциона следующие заявители:</w:t>
      </w:r>
      <w:r/>
    </w:p>
    <w:p>
      <w:pPr>
        <w:pStyle w:val="822"/>
        <w:jc w:val="both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22"/>
        <w:ind w:left="0" w:right="0" w:firstLine="720"/>
        <w:jc w:val="both"/>
        <w:spacing w:before="0" w:after="0" w:line="276" w:lineRule="auto"/>
        <w:widowControl/>
      </w:pPr>
      <w:r>
        <w:rPr>
          <w:b/>
          <w:sz w:val="28"/>
          <w:szCs w:val="28"/>
        </w:rPr>
        <w:t xml:space="preserve">по лоту № 2</w:t>
      </w:r>
      <w:r>
        <w:rPr>
          <w:b/>
          <w:bCs/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highlight w:val="white"/>
          <w:lang w:val="ru-RU" w:eastAsia="ru-RU" w:bidi="ar-SA"/>
        </w:rPr>
        <w:t xml:space="preserve">Кулай Артур Дербишович.</w:t>
      </w:r>
      <w:r/>
    </w:p>
    <w:p>
      <w:pPr>
        <w:pStyle w:val="822"/>
        <w:ind w:left="0" w:right="0" w:firstLine="720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highlight w:val="white"/>
          <w:lang w:val="ru-RU" w:eastAsia="ru-RU" w:bidi="ar-SA"/>
        </w:rPr>
      </w:pP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highlight w:val="white"/>
          <w:lang w:val="ru-RU" w:eastAsia="ru-RU" w:bidi="ar-SA"/>
        </w:rPr>
      </w:r>
      <w:r>
        <w:rPr>
          <w:rFonts w:ascii="Times New Roman" w:hAnsi="Times New Roman"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highlight w:val="white"/>
          <w:lang w:val="ru-RU" w:eastAsia="ru-RU" w:bidi="ar-SA"/>
        </w:rPr>
      </w:r>
    </w:p>
    <w:p>
      <w:pPr>
        <w:pStyle w:val="822"/>
        <w:ind w:left="0" w:right="0" w:firstLine="720"/>
        <w:jc w:val="both"/>
        <w:spacing w:before="0" w:after="0" w:line="276" w:lineRule="auto"/>
        <w:widowControl/>
      </w:pPr>
      <w:r>
        <w:rPr>
          <w:rFonts w:eastAsia="Droid Sans Fallback" w:cs="Lohit Devanagari"/>
          <w:b/>
          <w:bCs/>
          <w:i w:val="0"/>
          <w:iCs w:val="0"/>
          <w:caps w:val="0"/>
          <w:smallCaps w:val="0"/>
          <w:color w:val="000000"/>
          <w:sz w:val="28"/>
          <w:szCs w:val="28"/>
          <w:highlight w:val="white"/>
          <w:lang w:val="ru-RU" w:eastAsia="ru-RU" w:bidi="ar-SA"/>
        </w:rPr>
        <w:t xml:space="preserve">по лоту № 4 –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highlight w:val="white"/>
          <w:lang w:val="ru-RU" w:eastAsia="ru-RU" w:bidi="ar-SA"/>
        </w:rPr>
        <w:t xml:space="preserve"> Хубиева Айшат Аубекировна, Кореневская Фаризет Хасановна.</w:t>
      </w:r>
      <w:r/>
    </w:p>
    <w:p>
      <w:pPr>
        <w:pStyle w:val="822"/>
        <w:jc w:val="both"/>
        <w:spacing w:before="0" w:after="0" w:line="276" w:lineRule="auto"/>
        <w:widowControl/>
        <w:rPr>
          <w:rFonts w:ascii="Times New Roman" w:hAnsi="Times New Roman"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highlight w:val="white"/>
          <w:lang w:val="ru-RU" w:eastAsia="ru-RU" w:bidi="ar-SA"/>
        </w:rPr>
      </w:pP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highlight w:val="white"/>
          <w:lang w:val="ru-RU" w:eastAsia="ru-RU" w:bidi="ar-SA"/>
        </w:rPr>
      </w:r>
      <w:r>
        <w:rPr>
          <w:rFonts w:ascii="Times New Roman" w:hAnsi="Times New Roman"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highlight w:val="white"/>
          <w:lang w:val="ru-RU" w:eastAsia="ru-RU" w:bidi="ar-SA"/>
        </w:rPr>
      </w:r>
    </w:p>
    <w:p>
      <w:pPr>
        <w:pStyle w:val="822"/>
        <w:ind w:firstLine="708"/>
        <w:jc w:val="both"/>
        <w:spacing w:line="276" w:lineRule="auto"/>
      </w:pP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2. признать аукцион несостоявшимся по лоту </w:t>
      </w:r>
      <w:r>
        <w:rPr>
          <w:rFonts w:eastAsia="Droid Sans Fallback" w:cs="Lohit Devanagari"/>
          <w:b/>
          <w:bCs/>
          <w:color w:val="auto"/>
          <w:sz w:val="28"/>
          <w:szCs w:val="28"/>
          <w:highlight w:val="white"/>
          <w:lang w:val="ru-RU" w:eastAsia="ru-RU" w:bidi="ar-SA"/>
        </w:rPr>
        <w:t xml:space="preserve">№ 2 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в связи с тем, что по окончании срока подачи заявок на участие в аукционе по данному лоту подана только одна заявка на участие в аукционе.</w:t>
      </w:r>
      <w:r/>
    </w:p>
    <w:p>
      <w:pPr>
        <w:pStyle w:val="866"/>
        <w:ind w:left="0" w:right="0" w:firstLine="709"/>
        <w:jc w:val="both"/>
        <w:spacing w:before="0" w:after="0" w:line="276" w:lineRule="auto"/>
      </w:pP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Единственная заявка на участие в аукционе и заявитель, подавший указанную заявку, соответствуют всем требованиям и условиям, указанным                  в извещении о проведении аукциона. </w:t>
      </w:r>
      <w:r/>
    </w:p>
    <w:p>
      <w:pPr>
        <w:pStyle w:val="866"/>
        <w:ind w:left="0" w:right="0" w:firstLine="708"/>
        <w:jc w:val="both"/>
        <w:spacing w:before="0" w:after="0" w:line="276" w:lineRule="auto"/>
      </w:pP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В соответствии с пунктом 12 статьи 39.13 Земельного кодекса Российской Федерации уполномоченный орган  в течение пяти дней со дня истечения срока, предусмотренного п. 11 ст. 39.13 Земельного кодекса Российской Федерации обязан направить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 заявителю, признанному единственным участником аукциона, подписанный проект 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аукциона:</w:t>
      </w:r>
      <w:r/>
    </w:p>
    <w:p>
      <w:pPr>
        <w:pStyle w:val="866"/>
        <w:ind w:left="0" w:right="0" w:firstLine="0"/>
        <w:jc w:val="both"/>
        <w:spacing w:before="0" w:after="0" w:line="276" w:lineRule="auto"/>
      </w:pP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 </w:t>
      </w:r>
      <w:r/>
    </w:p>
    <w:p>
      <w:pPr>
        <w:pStyle w:val="866"/>
        <w:ind w:left="0" w:right="0" w:firstLine="720"/>
        <w:jc w:val="both"/>
        <w:spacing w:before="0" w:after="0" w:line="276" w:lineRule="auto"/>
      </w:pPr>
      <w:r>
        <w:rPr>
          <w:rFonts w:eastAsia="Droid Sans Fallback" w:cs="Lohit Devanagari"/>
          <w:b/>
          <w:bCs/>
          <w:color w:val="auto"/>
          <w:sz w:val="28"/>
          <w:szCs w:val="28"/>
          <w:highlight w:val="white"/>
          <w:lang w:val="ru-RU" w:eastAsia="ru-RU" w:bidi="ar-SA"/>
        </w:rPr>
        <w:t xml:space="preserve">по лоту № 2 (улица Кизеловская, з/у 12) – 114 800,00 руб.</w:t>
      </w:r>
      <w:r/>
    </w:p>
    <w:p>
      <w:pPr>
        <w:pStyle w:val="866"/>
        <w:ind w:left="0" w:right="0" w:firstLine="708"/>
        <w:jc w:val="both"/>
        <w:spacing w:before="0" w:after="0" w:line="276" w:lineRule="auto"/>
      </w:pP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 </w:t>
      </w:r>
      <w:r/>
    </w:p>
    <w:p>
      <w:pPr>
        <w:pStyle w:val="866"/>
        <w:ind w:left="0" w:right="0" w:firstLine="709"/>
        <w:jc w:val="both"/>
        <w:spacing w:before="0" w:after="0" w:line="276" w:lineRule="auto"/>
      </w:pP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В соответствии с пу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нктом 13 статьи 39.13 Земельного кодекса Российской Федерации по результатам электронного аукциона 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договора.   </w:t>
      </w:r>
      <w:r/>
    </w:p>
    <w:p>
      <w:pPr>
        <w:pStyle w:val="866"/>
        <w:ind w:left="0" w:right="0" w:firstLine="709"/>
        <w:jc w:val="both"/>
        <w:spacing w:before="0" w:after="0" w:line="276" w:lineRule="auto"/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</w:pP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</w:r>
    </w:p>
    <w:p>
      <w:pPr>
        <w:pStyle w:val="866"/>
        <w:ind w:left="0" w:right="0" w:firstLine="709"/>
        <w:jc w:val="both"/>
        <w:spacing w:before="0" w:after="0" w:line="276" w:lineRule="auto"/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</w:pP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</w:r>
    </w:p>
    <w:p>
      <w:pPr>
        <w:pStyle w:val="866"/>
        <w:ind w:left="0" w:right="0" w:firstLine="709"/>
        <w:jc w:val="both"/>
        <w:spacing w:before="0" w:after="0" w:line="276" w:lineRule="auto"/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</w:pP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</w:r>
      <w:r>
        <w:rPr>
          <w:rFonts w:ascii="Times New Roman" w:hAnsi="Times New Roman"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</w:r>
    </w:p>
    <w:p>
      <w:pPr>
        <w:pStyle w:val="822"/>
        <w:ind w:firstLine="708"/>
        <w:jc w:val="both"/>
        <w:spacing w:line="276" w:lineRule="auto"/>
      </w:pPr>
      <w:r>
        <w:rPr>
          <w:sz w:val="28"/>
          <w:szCs w:val="28"/>
        </w:rPr>
        <w:t xml:space="preserve">3. признать аукционы несостоявшимися по лотам </w:t>
      </w:r>
      <w:r>
        <w:rPr>
          <w:b/>
          <w:sz w:val="28"/>
          <w:szCs w:val="28"/>
        </w:rPr>
        <w:t xml:space="preserve">№ 1 и № 3 </w:t>
      </w:r>
      <w:r>
        <w:rPr>
          <w:sz w:val="28"/>
          <w:szCs w:val="28"/>
        </w:rPr>
        <w:t xml:space="preserve">в связи с тем, что по окончании срока подачи заявок на участие в электронных аукционах                        по данным лотам не подано ни одной заявки.</w:t>
      </w:r>
      <w:r/>
    </w:p>
    <w:p>
      <w:pPr>
        <w:pStyle w:val="822"/>
        <w:jc w:val="both"/>
        <w:spacing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highlight w:val="none"/>
          <w:lang w:val="en-US" w:eastAsia="en-US" w:bidi="ar-SA"/>
        </w:rPr>
      </w:pP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lang w:val="en-US" w:eastAsia="en-US" w:bidi="ar-SA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highlight w:val="none"/>
          <w:lang w:val="en-US" w:eastAsia="en-US" w:bidi="ar-SA"/>
        </w:rPr>
      </w:r>
    </w:p>
    <w:p>
      <w:pPr>
        <w:pStyle w:val="866"/>
        <w:ind w:left="0" w:right="0" w:firstLine="709"/>
        <w:jc w:val="both"/>
        <w:spacing w:before="0" w:after="0" w:line="276" w:lineRule="auto"/>
        <w:rPr>
          <w:rFonts w:ascii="Times New Roman" w:hAnsi="Times New Roman" w:eastAsia="Droid Sans Fallback" w:cs="Lohit Devanagari"/>
          <w:color w:val="auto"/>
          <w:lang w:val="ru-RU" w:eastAsia="ru-RU" w:bidi="ar-SA"/>
        </w:rPr>
      </w:pPr>
      <w:r>
        <w:rPr>
          <w:rFonts w:eastAsia="Droid Sans Fallback" w:cs="Lohit Devanagari"/>
          <w:color w:val="auto"/>
          <w:lang w:val="ru-RU" w:eastAsia="ru-RU" w:bidi="ar-SA"/>
        </w:rPr>
      </w:r>
      <w:r>
        <w:rPr>
          <w:rFonts w:ascii="Times New Roman" w:hAnsi="Times New Roman" w:eastAsia="Droid Sans Fallback" w:cs="Lohit Devanagari"/>
          <w:color w:val="auto"/>
          <w:lang w:val="ru-RU" w:eastAsia="ru-RU" w:bidi="ar-SA"/>
        </w:rPr>
      </w:r>
    </w:p>
    <w:p>
      <w:pPr>
        <w:pStyle w:val="822"/>
        <w:jc w:val="both"/>
        <w:spacing w:line="276" w:lineRule="auto"/>
      </w:pPr>
      <w:r>
        <w:rPr>
          <w:sz w:val="28"/>
          <w:szCs w:val="28"/>
        </w:rPr>
        <w:t xml:space="preserve">Председатель комиссии                                                                        А.А. Хаткевич</w:t>
      </w:r>
      <w:r/>
    </w:p>
    <w:p>
      <w:pPr>
        <w:pStyle w:val="822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left="5610" w:hanging="5610"/>
        <w:spacing w:before="120" w:after="120" w:line="276" w:lineRule="auto"/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Е.П. Шафранова</w:t>
      </w:r>
      <w:r/>
    </w:p>
    <w:p>
      <w:pPr>
        <w:pStyle w:val="822"/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ind w:left="5610" w:hanging="5610"/>
        <w:spacing w:before="120" w:after="120" w:line="276" w:lineRule="auto"/>
      </w:pPr>
      <w:r>
        <w:rPr>
          <w:sz w:val="28"/>
          <w:szCs w:val="28"/>
        </w:rPr>
        <w:t xml:space="preserve"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О.И. Павлова</w:t>
      </w:r>
      <w:r/>
    </w:p>
    <w:p>
      <w:pPr>
        <w:pStyle w:val="822"/>
        <w:spacing w:before="120" w:after="120"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2"/>
        <w:spacing w:before="120" w:after="120" w:line="276" w:lineRule="auto"/>
      </w:pPr>
      <w:r>
        <w:rPr>
          <w:sz w:val="28"/>
          <w:szCs w:val="28"/>
        </w:rPr>
        <w:t xml:space="preserve">Член комиссии </w:t>
        <w:tab/>
        <w:tab/>
        <w:tab/>
        <w:tab/>
        <w:tab/>
        <w:tab/>
        <w:tab/>
        <w:tab/>
        <w:t xml:space="preserve">            Ю.И. Четина </w:t>
      </w:r>
      <w:r/>
    </w:p>
    <w:p>
      <w:pPr>
        <w:pStyle w:val="822"/>
        <w:ind w:left="7938" w:hanging="283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66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Open Sans">
    <w:panose1 w:val="020B0606030504020204"/>
  </w:font>
  <w:font w:name="Tahoma">
    <w:panose1 w:val="020B0606030504020204"/>
  </w:font>
  <w:font w:name="Arial">
    <w:panose1 w:val="020B0604020202020204"/>
  </w:font>
  <w:font w:name="Droid Sans Fallback">
    <w:panose1 w:val="020B0502000000000001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8"/>
                            <w:rPr>
                              <w:rStyle w:val="859"/>
                            </w:rPr>
                          </w:pPr>
                          <w:r>
                            <w:rPr>
                              <w:rStyle w:val="8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9"/>
                              <w:color w:val="000000"/>
                            </w:rPr>
                            <w:t xml:space="preserve">2</w:t>
                          </w:r>
                          <w:r>
                            <w:rPr>
                              <w:rStyle w:val="8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8"/>
                      <w:rPr>
                        <w:rStyle w:val="859"/>
                      </w:rPr>
                    </w:pPr>
                    <w:r>
                      <w:rPr>
                        <w:rStyle w:val="859"/>
                        <w:color w:val="000000"/>
                      </w:rPr>
                      <w:fldChar w:fldCharType="begin"/>
                    </w:r>
                    <w:r>
                      <w:rPr>
                        <w:rStyle w:val="8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9"/>
                        <w:color w:val="000000"/>
                      </w:rPr>
                      <w:fldChar w:fldCharType="separate"/>
                    </w:r>
                    <w:r>
                      <w:rPr>
                        <w:rStyle w:val="859"/>
                        <w:color w:val="000000"/>
                      </w:rPr>
                      <w:t xml:space="preserve">2</w:t>
                    </w:r>
                    <w:r>
                      <w:rPr>
                        <w:rStyle w:val="859"/>
                        <w:color w:val="000000"/>
                      </w:rPr>
                      <w:fldChar w:fldCharType="end"/>
                    </w:r>
                    <w:r>
                      <w:rPr>
                        <w:rStyle w:val="859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8"/>
                            <w:ind w:right="360"/>
                            <w:rPr>
                              <w:rStyle w:val="859"/>
                            </w:rPr>
                          </w:pPr>
                          <w:r>
                            <w:rPr>
                              <w:rStyle w:val="8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8"/>
                      <w:ind w:right="360"/>
                      <w:rPr>
                        <w:rStyle w:val="859"/>
                      </w:rPr>
                    </w:pPr>
                    <w:r>
                      <w:rPr>
                        <w:rStyle w:val="859"/>
                        <w:color w:val="000000"/>
                      </w:rPr>
                      <w:fldChar w:fldCharType="begin"/>
                    </w:r>
                    <w:r>
                      <w:rPr>
                        <w:rStyle w:val="8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9"/>
                        <w:color w:val="000000"/>
                      </w:rPr>
                      <w:fldChar w:fldCharType="separate"/>
                    </w:r>
                    <w:r>
                      <w:rPr>
                        <w:rStyle w:val="859"/>
                        <w:color w:val="000000"/>
                      </w:rPr>
                      <w:t xml:space="preserve">0</w:t>
                    </w:r>
                    <w:r>
                      <w:rPr>
                        <w:rStyle w:val="859"/>
                        <w:color w:val="000000"/>
                      </w:rPr>
                      <w:fldChar w:fldCharType="end"/>
                    </w:r>
                    <w:r>
                      <w:rPr>
                        <w:rStyle w:val="85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8"/>
                            <w:rPr>
                              <w:rStyle w:val="859"/>
                            </w:rPr>
                          </w:pPr>
                          <w:r>
                            <w:rPr>
                              <w:rStyle w:val="8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8"/>
                      <w:rPr>
                        <w:rStyle w:val="859"/>
                      </w:rPr>
                    </w:pPr>
                    <w:r>
                      <w:rPr>
                        <w:rStyle w:val="859"/>
                        <w:color w:val="000000"/>
                      </w:rPr>
                      <w:fldChar w:fldCharType="begin"/>
                    </w:r>
                    <w:r>
                      <w:rPr>
                        <w:rStyle w:val="8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9"/>
                        <w:color w:val="000000"/>
                      </w:rPr>
                      <w:fldChar w:fldCharType="separate"/>
                    </w:r>
                    <w:r>
                      <w:rPr>
                        <w:rStyle w:val="859"/>
                        <w:color w:val="000000"/>
                      </w:rPr>
                      <w:t xml:space="preserve">0</w:t>
                    </w:r>
                    <w:r>
                      <w:rPr>
                        <w:rStyle w:val="859"/>
                        <w:color w:val="000000"/>
                      </w:rPr>
                      <w:fldChar w:fldCharType="end"/>
                    </w:r>
                    <w:r>
                      <w:rPr>
                        <w:rStyle w:val="85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8"/>
                            <w:rPr>
                              <w:rStyle w:val="859"/>
                            </w:rPr>
                          </w:pPr>
                          <w:r>
                            <w:rPr>
                              <w:rStyle w:val="8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3;o:allowoverlap:true;o:allowincell:false;mso-position-horizontal-relative:margin;mso-position-horizontal:right;mso-position-vertical-relative:text;margin-top:0.05pt;mso-position-vertical:absolute;width:6.05pt;height:13.8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8"/>
                      <w:rPr>
                        <w:rStyle w:val="859"/>
                      </w:rPr>
                    </w:pPr>
                    <w:r>
                      <w:rPr>
                        <w:rStyle w:val="859"/>
                        <w:color w:val="000000"/>
                      </w:rPr>
                      <w:fldChar w:fldCharType="begin"/>
                    </w:r>
                    <w:r>
                      <w:rPr>
                        <w:rStyle w:val="8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9"/>
                        <w:color w:val="000000"/>
                      </w:rPr>
                      <w:fldChar w:fldCharType="separate"/>
                    </w:r>
                    <w:r>
                      <w:rPr>
                        <w:rStyle w:val="859"/>
                        <w:color w:val="000000"/>
                      </w:rPr>
                      <w:t xml:space="preserve">0</w:t>
                    </w:r>
                    <w:r>
                      <w:rPr>
                        <w:rStyle w:val="859"/>
                        <w:color w:val="000000"/>
                      </w:rPr>
                      <w:fldChar w:fldCharType="end"/>
                    </w:r>
                    <w:r>
                      <w:rPr>
                        <w:rStyle w:val="85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8"/>
                            <w:rPr>
                              <w:rStyle w:val="859"/>
                            </w:rPr>
                          </w:pPr>
                          <w:r>
                            <w:rPr>
                              <w:rStyle w:val="8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4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8"/>
                      <w:rPr>
                        <w:rStyle w:val="859"/>
                      </w:rPr>
                    </w:pPr>
                    <w:r>
                      <w:rPr>
                        <w:rStyle w:val="859"/>
                        <w:color w:val="000000"/>
                      </w:rPr>
                      <w:fldChar w:fldCharType="begin"/>
                    </w:r>
                    <w:r>
                      <w:rPr>
                        <w:rStyle w:val="8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9"/>
                        <w:color w:val="000000"/>
                      </w:rPr>
                      <w:fldChar w:fldCharType="separate"/>
                    </w:r>
                    <w:r>
                      <w:rPr>
                        <w:rStyle w:val="859"/>
                        <w:color w:val="000000"/>
                      </w:rPr>
                      <w:t xml:space="preserve">0</w:t>
                    </w:r>
                    <w:r>
                      <w:rPr>
                        <w:rStyle w:val="859"/>
                        <w:color w:val="000000"/>
                      </w:rPr>
                      <w:fldChar w:fldCharType="end"/>
                    </w:r>
                    <w:r>
                      <w:rPr>
                        <w:rStyle w:val="859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8"/>
                            <w:rPr>
                              <w:rStyle w:val="859"/>
                            </w:rPr>
                          </w:pPr>
                          <w:r>
                            <w:rPr>
                              <w:rStyle w:val="8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9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8"/>
                      <w:rPr>
                        <w:rStyle w:val="859"/>
                      </w:rPr>
                    </w:pPr>
                    <w:r>
                      <w:rPr>
                        <w:rStyle w:val="859"/>
                        <w:color w:val="000000"/>
                      </w:rPr>
                      <w:fldChar w:fldCharType="begin"/>
                    </w:r>
                    <w:r>
                      <w:rPr>
                        <w:rStyle w:val="8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9"/>
                        <w:color w:val="000000"/>
                      </w:rPr>
                      <w:fldChar w:fldCharType="separate"/>
                    </w:r>
                    <w:r>
                      <w:rPr>
                        <w:rStyle w:val="859"/>
                        <w:color w:val="000000"/>
                      </w:rPr>
                      <w:t xml:space="preserve">0</w:t>
                    </w:r>
                    <w:r>
                      <w:rPr>
                        <w:rStyle w:val="859"/>
                        <w:color w:val="000000"/>
                      </w:rPr>
                      <w:fldChar w:fldCharType="end"/>
                    </w:r>
                    <w:r>
                      <w:rPr>
                        <w:rStyle w:val="859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8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1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7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78"/>
                            <w:rPr>
                              <w:rStyle w:val="859"/>
                            </w:rPr>
                          </w:pPr>
                          <w:r>
                            <w:rPr>
                              <w:rStyle w:val="859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59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59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59"/>
                              <w:color w:val="000000"/>
                            </w:rPr>
                            <w:t xml:space="preserve">2</w:t>
                          </w:r>
                          <w:r>
                            <w:rPr>
                              <w:rStyle w:val="859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59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1" type="#_x0000_t1" style="position:absolute;z-index:-11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78"/>
                      <w:rPr>
                        <w:rStyle w:val="859"/>
                      </w:rPr>
                    </w:pPr>
                    <w:r>
                      <w:rPr>
                        <w:rStyle w:val="859"/>
                        <w:color w:val="000000"/>
                      </w:rPr>
                      <w:fldChar w:fldCharType="begin"/>
                    </w:r>
                    <w:r>
                      <w:rPr>
                        <w:rStyle w:val="859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59"/>
                        <w:color w:val="000000"/>
                      </w:rPr>
                      <w:fldChar w:fldCharType="separate"/>
                    </w:r>
                    <w:r>
                      <w:rPr>
                        <w:rStyle w:val="859"/>
                        <w:color w:val="000000"/>
                      </w:rPr>
                      <w:t xml:space="preserve">2</w:t>
                    </w:r>
                    <w:r>
                      <w:rPr>
                        <w:rStyle w:val="859"/>
                        <w:color w:val="000000"/>
                      </w:rPr>
                      <w:fldChar w:fldCharType="end"/>
                    </w:r>
                    <w:r>
                      <w:rPr>
                        <w:rStyle w:val="859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2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823">
    <w:name w:val="Heading 1"/>
    <w:basedOn w:val="82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24">
    <w:name w:val="Heading 2"/>
    <w:basedOn w:val="8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25">
    <w:name w:val="Heading 3"/>
    <w:basedOn w:val="82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26">
    <w:name w:val="Heading 4"/>
    <w:basedOn w:val="82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27">
    <w:name w:val="Heading 5"/>
    <w:basedOn w:val="8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28">
    <w:name w:val="Heading 6"/>
    <w:basedOn w:val="8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29">
    <w:name w:val="Heading 7"/>
    <w:basedOn w:val="82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30">
    <w:name w:val="Heading 8"/>
    <w:basedOn w:val="82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31">
    <w:name w:val="Heading 9"/>
    <w:basedOn w:val="8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2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33">
    <w:name w:val="Heading 2 Char"/>
    <w:uiPriority w:val="9"/>
    <w:qFormat/>
    <w:rPr>
      <w:rFonts w:ascii="Arial" w:hAnsi="Arial" w:eastAsia="Arial" w:cs="Arial"/>
      <w:sz w:val="34"/>
    </w:rPr>
  </w:style>
  <w:style w:type="character" w:styleId="834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35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36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37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38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39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40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41">
    <w:name w:val="Title Char"/>
    <w:uiPriority w:val="10"/>
    <w:qFormat/>
    <w:rPr>
      <w:sz w:val="48"/>
      <w:szCs w:val="48"/>
    </w:rPr>
  </w:style>
  <w:style w:type="character" w:styleId="842">
    <w:name w:val="Subtitle Char"/>
    <w:uiPriority w:val="11"/>
    <w:qFormat/>
    <w:rPr>
      <w:sz w:val="24"/>
      <w:szCs w:val="24"/>
    </w:rPr>
  </w:style>
  <w:style w:type="character" w:styleId="843">
    <w:name w:val="Quote Char"/>
    <w:uiPriority w:val="29"/>
    <w:qFormat/>
    <w:rPr>
      <w:i/>
    </w:rPr>
  </w:style>
  <w:style w:type="character" w:styleId="844">
    <w:name w:val="Intense Quote Char"/>
    <w:uiPriority w:val="30"/>
    <w:qFormat/>
    <w:rPr>
      <w:i/>
    </w:rPr>
  </w:style>
  <w:style w:type="character" w:styleId="845">
    <w:name w:val="Header Char"/>
    <w:uiPriority w:val="99"/>
    <w:qFormat/>
  </w:style>
  <w:style w:type="character" w:styleId="846">
    <w:name w:val="Footer Char"/>
    <w:uiPriority w:val="99"/>
    <w:qFormat/>
  </w:style>
  <w:style w:type="character" w:styleId="847">
    <w:name w:val="Caption Char"/>
    <w:uiPriority w:val="99"/>
    <w:qFormat/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character" w:styleId="849">
    <w:name w:val="Footnote Text Char"/>
    <w:uiPriority w:val="99"/>
    <w:qFormat/>
    <w:rPr>
      <w:sz w:val="18"/>
    </w:rPr>
  </w:style>
  <w:style w:type="character" w:styleId="850">
    <w:name w:val="Символ сноски"/>
    <w:uiPriority w:val="99"/>
    <w:unhideWhenUsed/>
    <w:qFormat/>
    <w:rPr>
      <w:vertAlign w:val="superscript"/>
    </w:rPr>
  </w:style>
  <w:style w:type="character" w:styleId="851">
    <w:name w:val="footnote reference"/>
    <w:rPr>
      <w:vertAlign w:val="superscript"/>
    </w:rPr>
  </w:style>
  <w:style w:type="character" w:styleId="852">
    <w:name w:val="Endnote Text Char"/>
    <w:uiPriority w:val="99"/>
    <w:qFormat/>
    <w:rPr>
      <w:sz w:val="20"/>
    </w:rPr>
  </w:style>
  <w:style w:type="character" w:styleId="85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54">
    <w:name w:val="endnote reference"/>
    <w:rPr>
      <w:vertAlign w:val="superscript"/>
    </w:rPr>
  </w:style>
  <w:style w:type="character" w:styleId="855">
    <w:name w:val="Основной шрифт абзаца"/>
    <w:semiHidden/>
    <w:qFormat/>
  </w:style>
  <w:style w:type="character" w:styleId="856">
    <w:name w:val="Основной текст с отступом 3 Знак"/>
    <w:qFormat/>
    <w:rPr>
      <w:sz w:val="16"/>
      <w:szCs w:val="16"/>
    </w:rPr>
  </w:style>
  <w:style w:type="character" w:styleId="857">
    <w:name w:val="Текст Знак"/>
    <w:qFormat/>
    <w:rPr>
      <w:rFonts w:ascii="Courier New" w:hAnsi="Courier New"/>
    </w:rPr>
  </w:style>
  <w:style w:type="character" w:styleId="858">
    <w:name w:val="Текст выноски Знак"/>
    <w:qFormat/>
    <w:rPr>
      <w:rFonts w:ascii="Tahoma" w:hAnsi="Tahoma" w:cs="Tahoma"/>
      <w:sz w:val="16"/>
      <w:szCs w:val="16"/>
    </w:rPr>
  </w:style>
  <w:style w:type="character" w:styleId="859">
    <w:name w:val="Основной текст с отступом Знак"/>
    <w:qFormat/>
    <w:rPr>
      <w:sz w:val="24"/>
      <w:szCs w:val="24"/>
    </w:rPr>
  </w:style>
  <w:style w:type="character" w:styleId="860">
    <w:name w:val="Верхний колонтитул Знак"/>
    <w:qFormat/>
    <w:rPr>
      <w:sz w:val="24"/>
      <w:szCs w:val="24"/>
    </w:rPr>
  </w:style>
  <w:style w:type="character" w:styleId="861">
    <w:name w:val="Нижний колонтитул Знак"/>
    <w:qFormat/>
    <w:rPr>
      <w:sz w:val="24"/>
      <w:szCs w:val="24"/>
    </w:rPr>
  </w:style>
  <w:style w:type="character" w:styleId="862">
    <w:name w:val="Текст сноски Знак"/>
    <w:basedOn w:val="855"/>
    <w:qFormat/>
  </w:style>
  <w:style w:type="character" w:styleId="863">
    <w:name w:val="Знак сноски"/>
    <w:qFormat/>
    <w:rPr>
      <w:vertAlign w:val="superscript"/>
    </w:rPr>
  </w:style>
  <w:style w:type="character" w:styleId="864" w:default="1">
    <w:name w:val="Default Paragraph Font"/>
    <w:uiPriority w:val="1"/>
    <w:semiHidden/>
    <w:unhideWhenUsed/>
    <w:qFormat/>
  </w:style>
  <w:style w:type="paragraph" w:styleId="865">
    <w:name w:val="Заголовок"/>
    <w:basedOn w:val="822"/>
    <w:next w:val="866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66">
    <w:name w:val="Body Text"/>
    <w:basedOn w:val="822"/>
    <w:pPr>
      <w:spacing w:before="0" w:after="140" w:line="276" w:lineRule="auto"/>
    </w:pPr>
  </w:style>
  <w:style w:type="paragraph" w:styleId="867">
    <w:name w:val="List"/>
    <w:basedOn w:val="866"/>
    <w:rPr>
      <w:rFonts w:cs="Lohit Devanagari"/>
    </w:rPr>
  </w:style>
  <w:style w:type="paragraph" w:styleId="868">
    <w:name w:val="Caption"/>
    <w:basedOn w:val="8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69">
    <w:name w:val="Указатель"/>
    <w:basedOn w:val="822"/>
    <w:qFormat/>
    <w:pPr>
      <w:suppressLineNumbers/>
    </w:pPr>
    <w:rPr>
      <w:rFonts w:cs="Lohit Devanagari"/>
    </w:rPr>
  </w:style>
  <w:style w:type="paragraph" w:styleId="870">
    <w:name w:val="List Paragraph"/>
    <w:basedOn w:val="822"/>
    <w:uiPriority w:val="34"/>
    <w:qFormat/>
    <w:pPr>
      <w:contextualSpacing/>
      <w:ind w:left="720"/>
      <w:spacing w:before="0" w:after="0"/>
    </w:pPr>
  </w:style>
  <w:style w:type="paragraph" w:styleId="871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72">
    <w:name w:val="Title"/>
    <w:basedOn w:val="82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73">
    <w:name w:val="Subtitle"/>
    <w:basedOn w:val="822"/>
    <w:uiPriority w:val="11"/>
    <w:qFormat/>
    <w:pPr>
      <w:spacing w:before="200" w:after="200"/>
    </w:pPr>
    <w:rPr>
      <w:sz w:val="24"/>
      <w:szCs w:val="24"/>
    </w:rPr>
  </w:style>
  <w:style w:type="paragraph" w:styleId="874">
    <w:name w:val="Quote"/>
    <w:basedOn w:val="822"/>
    <w:uiPriority w:val="29"/>
    <w:qFormat/>
    <w:pPr>
      <w:ind w:left="720" w:right="720"/>
    </w:pPr>
    <w:rPr>
      <w:i/>
    </w:rPr>
  </w:style>
  <w:style w:type="paragraph" w:styleId="875">
    <w:name w:val="Intense Quote"/>
    <w:basedOn w:val="822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76">
    <w:name w:val="Колонтитул"/>
    <w:basedOn w:val="822"/>
    <w:qFormat/>
  </w:style>
  <w:style w:type="paragraph" w:styleId="877">
    <w:name w:val="Header"/>
    <w:basedOn w:val="822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8">
    <w:name w:val="Footer"/>
    <w:basedOn w:val="822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79">
    <w:name w:val="footnote text"/>
    <w:basedOn w:val="82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80">
    <w:name w:val="endnote text"/>
    <w:basedOn w:val="82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81">
    <w:name w:val="toc 1"/>
    <w:basedOn w:val="822"/>
    <w:uiPriority w:val="39"/>
    <w:unhideWhenUsed/>
    <w:pPr>
      <w:ind w:left="0" w:right="0" w:firstLine="0"/>
      <w:spacing w:before="0" w:after="57"/>
    </w:pPr>
  </w:style>
  <w:style w:type="paragraph" w:styleId="882">
    <w:name w:val="toc 2"/>
    <w:basedOn w:val="822"/>
    <w:uiPriority w:val="39"/>
    <w:unhideWhenUsed/>
    <w:pPr>
      <w:ind w:left="283" w:right="0" w:firstLine="0"/>
      <w:spacing w:before="0" w:after="57"/>
    </w:pPr>
  </w:style>
  <w:style w:type="paragraph" w:styleId="883">
    <w:name w:val="toc 3"/>
    <w:basedOn w:val="822"/>
    <w:uiPriority w:val="39"/>
    <w:unhideWhenUsed/>
    <w:pPr>
      <w:ind w:left="567" w:right="0" w:firstLine="0"/>
      <w:spacing w:before="0" w:after="57"/>
    </w:pPr>
  </w:style>
  <w:style w:type="paragraph" w:styleId="884">
    <w:name w:val="toc 4"/>
    <w:basedOn w:val="822"/>
    <w:uiPriority w:val="39"/>
    <w:unhideWhenUsed/>
    <w:pPr>
      <w:ind w:left="850" w:right="0" w:firstLine="0"/>
      <w:spacing w:before="0" w:after="57"/>
    </w:pPr>
  </w:style>
  <w:style w:type="paragraph" w:styleId="885">
    <w:name w:val="toc 5"/>
    <w:basedOn w:val="822"/>
    <w:uiPriority w:val="39"/>
    <w:unhideWhenUsed/>
    <w:pPr>
      <w:ind w:left="1134" w:right="0" w:firstLine="0"/>
      <w:spacing w:before="0" w:after="57"/>
    </w:pPr>
  </w:style>
  <w:style w:type="paragraph" w:styleId="886">
    <w:name w:val="toc 6"/>
    <w:basedOn w:val="822"/>
    <w:uiPriority w:val="39"/>
    <w:unhideWhenUsed/>
    <w:pPr>
      <w:ind w:left="1417" w:right="0" w:firstLine="0"/>
      <w:spacing w:before="0" w:after="57"/>
    </w:pPr>
  </w:style>
  <w:style w:type="paragraph" w:styleId="887">
    <w:name w:val="toc 7"/>
    <w:basedOn w:val="822"/>
    <w:uiPriority w:val="39"/>
    <w:unhideWhenUsed/>
    <w:pPr>
      <w:ind w:left="1701" w:right="0" w:firstLine="0"/>
      <w:spacing w:before="0" w:after="57"/>
    </w:pPr>
  </w:style>
  <w:style w:type="paragraph" w:styleId="888">
    <w:name w:val="toc 8"/>
    <w:basedOn w:val="822"/>
    <w:uiPriority w:val="39"/>
    <w:unhideWhenUsed/>
    <w:pPr>
      <w:ind w:left="1984" w:right="0" w:firstLine="0"/>
      <w:spacing w:before="0" w:after="57"/>
    </w:pPr>
  </w:style>
  <w:style w:type="paragraph" w:styleId="889">
    <w:name w:val="toc 9"/>
    <w:basedOn w:val="822"/>
    <w:uiPriority w:val="39"/>
    <w:unhideWhenUsed/>
    <w:pPr>
      <w:ind w:left="2268" w:right="0" w:firstLine="0"/>
      <w:spacing w:before="0" w:after="57"/>
    </w:pPr>
  </w:style>
  <w:style w:type="paragraph" w:styleId="890">
    <w:name w:val="Index Heading"/>
    <w:basedOn w:val="865"/>
  </w:style>
  <w:style w:type="paragraph" w:styleId="891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92">
    <w:name w:val="table of figures"/>
    <w:basedOn w:val="822"/>
    <w:uiPriority w:val="99"/>
    <w:unhideWhenUsed/>
    <w:pPr>
      <w:spacing w:before="0" w:after="0" w:afterAutospacing="0"/>
    </w:pPr>
  </w:style>
  <w:style w:type="paragraph" w:styleId="893">
    <w:name w:val="Body Text Indent"/>
    <w:basedOn w:val="822"/>
    <w:pPr>
      <w:ind w:left="283"/>
      <w:spacing w:before="0" w:after="120"/>
    </w:pPr>
    <w:rPr>
      <w:lang w:val="en-US" w:eastAsia="en-US"/>
    </w:rPr>
  </w:style>
  <w:style w:type="paragraph" w:styleId="894">
    <w:name w:val="Текст"/>
    <w:basedOn w:val="822"/>
    <w:qFormat/>
    <w:rPr>
      <w:rFonts w:ascii="Courier New" w:hAnsi="Courier New"/>
      <w:sz w:val="20"/>
      <w:szCs w:val="20"/>
      <w:lang w:val="en-US" w:eastAsia="en-US"/>
    </w:rPr>
  </w:style>
  <w:style w:type="paragraph" w:styleId="895">
    <w:name w:val="Знак Знак Знак Знак Знак Знак Знак Знак Знак Знак Знак Знак"/>
    <w:basedOn w:val="822"/>
    <w:qFormat/>
    <w:rPr>
      <w:rFonts w:ascii="Verdana" w:hAnsi="Verdana" w:cs="Verdana"/>
      <w:sz w:val="20"/>
      <w:szCs w:val="20"/>
      <w:lang w:val="en-US" w:eastAsia="en-US"/>
    </w:rPr>
  </w:style>
  <w:style w:type="paragraph" w:styleId="896">
    <w:name w:val="Основной текст с отступом 3"/>
    <w:basedOn w:val="822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897">
    <w:name w:val="Текст выноски"/>
    <w:basedOn w:val="822"/>
    <w:qFormat/>
    <w:rPr>
      <w:rFonts w:ascii="Tahoma" w:hAnsi="Tahoma"/>
      <w:sz w:val="16"/>
      <w:szCs w:val="16"/>
      <w:lang w:val="en-US" w:eastAsia="en-US"/>
    </w:rPr>
  </w:style>
  <w:style w:type="paragraph" w:styleId="898">
    <w:name w:val="Текст сноски"/>
    <w:basedOn w:val="822"/>
    <w:qFormat/>
    <w:rPr>
      <w:sz w:val="20"/>
      <w:szCs w:val="20"/>
    </w:rPr>
  </w:style>
  <w:style w:type="paragraph" w:styleId="899">
    <w:name w:val="Содержимое врезки"/>
    <w:basedOn w:val="822"/>
    <w:qFormat/>
  </w:style>
  <w:style w:type="paragraph" w:styleId="900">
    <w:name w:val="Содержимое таблицы"/>
    <w:basedOn w:val="822"/>
    <w:qFormat/>
    <w:pPr>
      <w:widowControl w:val="off"/>
      <w:suppressLineNumbers/>
    </w:pPr>
  </w:style>
  <w:style w:type="paragraph" w:styleId="901">
    <w:name w:val="Заголовок таблицы"/>
    <w:basedOn w:val="900"/>
    <w:qFormat/>
    <w:pPr>
      <w:jc w:val="center"/>
      <w:suppressLineNumbers/>
    </w:pPr>
    <w:rPr>
      <w:b/>
      <w:bCs/>
    </w:rPr>
  </w:style>
  <w:style w:type="numbering" w:styleId="902">
    <w:name w:val="Нет списка"/>
    <w:semiHidden/>
    <w:qFormat/>
  </w:style>
  <w:style w:type="numbering" w:styleId="903" w:default="1">
    <w:name w:val="No List"/>
    <w:uiPriority w:val="99"/>
    <w:semiHidden/>
    <w:unhideWhenUsed/>
    <w:qFormat/>
  </w:style>
  <w:style w:type="table" w:styleId="904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5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6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07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908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909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910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11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18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933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934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935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936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937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938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939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9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9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9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9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9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9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946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9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9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53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3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4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5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6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7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68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69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70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71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72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73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74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5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6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7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8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79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0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1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2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3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4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5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6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7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88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95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02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09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10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11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12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13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14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15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16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1017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1018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1019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1020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1021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1022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1023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24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25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26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27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028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029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03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1065</cp:revision>
  <dcterms:created xsi:type="dcterms:W3CDTF">2015-07-02T10:18:00Z</dcterms:created>
  <dcterms:modified xsi:type="dcterms:W3CDTF">2025-04-02T04:28:15Z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