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numPr>
          <w:ilvl w:val="0"/>
          <w:numId w:val="0"/>
        </w:numPr>
        <w:spacing w:lineRule="auto" w:line="276"/>
        <w:ind w:hanging="0" w:left="0"/>
        <w:jc w:val="center"/>
        <w:outlineLvl w:val="0"/>
        <w:rPr/>
      </w:pPr>
      <w:r>
        <w:rPr>
          <w:sz w:val="28"/>
          <w:szCs w:val="28"/>
        </w:rPr>
        <w:t>ПРОТОКОЛ</w:t>
      </w:r>
    </w:p>
    <w:p>
      <w:pPr>
        <w:pStyle w:val="Caption"/>
        <w:numPr>
          <w:ilvl w:val="0"/>
          <w:numId w:val="0"/>
        </w:numPr>
        <w:spacing w:lineRule="auto" w:line="276"/>
        <w:ind w:hanging="0" w:left="0"/>
        <w:outlineLvl w:val="0"/>
        <w:rPr/>
      </w:pPr>
      <w:r>
        <w:rPr>
          <w:sz w:val="28"/>
          <w:szCs w:val="28"/>
        </w:rPr>
        <w:t>рассмотрения заявок на участие в аукционе на право заключения</w:t>
      </w:r>
    </w:p>
    <w:p>
      <w:pPr>
        <w:pStyle w:val="Normal"/>
        <w:spacing w:lineRule="auto" w:line="276"/>
        <w:ind w:firstLine="708"/>
        <w:jc w:val="center"/>
        <w:rPr/>
      </w:pPr>
      <w:r>
        <w:rPr>
          <w:b/>
          <w:sz w:val="28"/>
          <w:szCs w:val="28"/>
        </w:rPr>
        <w:t>договор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аренды муниципального имущества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>Место рассмотрения заявок:</w:t>
      </w:r>
      <w:r>
        <w:rPr>
          <w:sz w:val="28"/>
          <w:szCs w:val="28"/>
        </w:rPr>
        <w:t xml:space="preserve"> департамент имущественных отношений администрации города Перми (г. Пермь, ул. Сибирская,14).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07.04.2025 </w:t>
      </w:r>
    </w:p>
    <w:p>
      <w:pPr>
        <w:pStyle w:val="Normal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 – начальник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имуществом. </w:t>
      </w:r>
    </w:p>
    <w:p>
      <w:pPr>
        <w:pStyle w:val="BodyText"/>
        <w:spacing w:lineRule="auto" w:line="276"/>
        <w:jc w:val="both"/>
        <w:rPr/>
      </w:pPr>
      <w:r>
        <w:rPr>
          <w:sz w:val="28"/>
          <w:szCs w:val="28"/>
          <w:lang w:val="ru-RU" w:eastAsia="ru-RU" w:bidi="ar-SA"/>
        </w:rPr>
        <w:t>Заместитель председателя комиссии: Кичко О.В., заместитель начальника отдела по распоряжению 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Секретарь комиссии: Павлова О.И.,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Члены комиссии: Нестерова М.С.,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Удавихина С.В., консультант отдела по распоряжению 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3" w:left="2880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753" w:left="2880"/>
        <w:jc w:val="both"/>
        <w:rPr/>
      </w:pPr>
      <w:r>
        <w:rPr/>
      </w:r>
    </w:p>
    <w:p>
      <w:pPr>
        <w:pStyle w:val="Normal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 xml:space="preserve">1. Комиссия установила, что по окончании срока подачи заявок на участие </w:t>
        <w:br/>
        <w:t>в аукционе на право заключения договоров аренды муниципального имущества, назначенном на 08.04.2025 (проце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дура № SBR012-2503130026):</w:t>
      </w:r>
    </w:p>
    <w:p>
      <w:pPr>
        <w:pStyle w:val="21"/>
        <w:tabs>
          <w:tab w:val="clear" w:pos="708"/>
          <w:tab w:val="left" w:pos="0" w:leader="none"/>
        </w:tabs>
        <w:spacing w:lineRule="auto" w:line="276"/>
        <w:ind w:firstLine="708"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>по лоту № 1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87,5 кв. м (кадастровый номер 59:01:2912574:246) в подвале жилого дома                   по адресу: г. Пермь, Орджоникидзевский район, пер. Дубровский 1-й, д. 6,  приняты заявки от следующих заявителей: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/>
      </w:pPr>
      <w:r>
        <w:rPr>
          <w:bCs/>
          <w:sz w:val="28"/>
          <w:szCs w:val="28"/>
        </w:rPr>
        <w:t>1. Индивидуальный предприниматель Осинкин Александр Алексеевич.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/>
      </w:pPr>
      <w:r>
        <w:rPr/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</w:rPr>
        <w:t>2.  Индивидуальный предприниматель Лучистых Любовь Рудольфовна.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2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35,6 кв. м (кадастровый номер 59:01:4410731:359) в подвале жилого дома                    по адресу: г. Пермь, Свердловский район, Комсомольский проспект, д. 51, заявки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3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126,7 кв. м (кадастровый номер 59:01:1713014:296) в подвале жилого дома                   по адресу: г. Пермь, Кировский район, ул. Александра Невского, д. 27, заявки         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4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256,1 кв. м (кадастровый номер 59:01:4311736:865) в подвале жилого дома                по адресу: г. Пермь, Мотовилихинский район, ул. Лебедева, д. 43, заявки на участие в аукционе не поступали.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5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292,5 кв. м (кадастровый номер 59:01:4410846:688) в подвале жилого дома              по адресу: г. Пермь, Индустриальный район, ул. Космонавта Леонова, д. 23, заявки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6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fill="FFFFFF" w:val="clear"/>
        </w:rPr>
        <w:t>размер годового платежа за право владения или пользования – арендная плата по договору (без учета НДС) за нежилые помещения площадью 19,1 кв. м (кадастровый номер 59:01:1717029:512) на 1 этаже жилого дома                  по адресу: г. Пермь, Кировский район, ул. 4-й Пятилетки, д. 2а,</w:t>
      </w:r>
      <w:r>
        <w:rPr>
          <w:rFonts w:cs="Helvetica" w:ascii="Helvetica" w:hAnsi="Helvetica"/>
          <w:color w:val="666666"/>
          <w:sz w:val="28"/>
          <w:szCs w:val="28"/>
          <w:shd w:fill="FFFFFF" w:val="clear"/>
        </w:rPr>
        <w:t xml:space="preserve"> </w:t>
      </w:r>
      <w:r>
        <w:rPr>
          <w:bCs/>
          <w:sz w:val="28"/>
          <w:szCs w:val="28"/>
        </w:rPr>
        <w:t>приняты заявки   от следующих заявителей: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/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>1. Общество с ограниченной ответственностью «ЙАМ».</w:t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7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fill="FFFFFF" w:val="clear"/>
          <w:lang w:val="ru-RU" w:eastAsia="ru-RU" w:bidi="ar-SA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18,3 кв.м (кадастровый номер 59:01:1717029:514) на 1 этаже жилого дома                  по адресу: г. Пермь, Кировский район, ул. 4-й Пятилетки, д. 2а, </w:t>
      </w:r>
      <w:r>
        <w:rPr>
          <w:bCs/>
          <w:sz w:val="28"/>
          <w:szCs w:val="28"/>
          <w:shd w:fill="FFFFFF" w:val="clear"/>
          <w:lang w:val="ru-RU" w:eastAsia="ru-RU" w:bidi="ar-SA"/>
        </w:rPr>
        <w:t>приняты заявки  от следующих заявителей: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widowControl/>
        <w:spacing w:lineRule="auto" w:line="276" w:before="0" w:after="0"/>
        <w:ind w:firstLine="737" w:left="0" w:right="0"/>
        <w:jc w:val="both"/>
        <w:rPr>
          <w:rFonts w:eastAsia="Droid Sans Fallback" w:cs="Lohit Devanagari"/>
          <w:color w:val="000000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Cs/>
          <w:color w:val="000000"/>
          <w:sz w:val="28"/>
          <w:szCs w:val="28"/>
          <w:shd w:fill="FFFFFF" w:val="clear"/>
          <w:lang w:val="ru-RU" w:eastAsia="ru-RU" w:bidi="ar-SA"/>
        </w:rPr>
        <w:t>1. Общество с ограниченной ответственностью «ЙАМ».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8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>азмер годового платежа за право владения или пользования – арендная плата по договору (без учета НДС) за встроенные нежилые помещения   в подвале жилого дома основной площадью 132,5 кв. м (кадастровый номер 59:01:4416003:1692) и площадью помещений, предоставляемых Арендатору                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Индустриальный район,           ул. Кавалерийская, д. 3</w:t>
      </w:r>
      <w:r>
        <w:rPr>
          <w:bCs/>
          <w:sz w:val="28"/>
          <w:szCs w:val="28"/>
        </w:rPr>
        <w:t>, заявки на участие в аукционе не поступали.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9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 xml:space="preserve">азмер годового платежа за право владения или пользования – арендная плата по договору (без учета НДС) за встроенные нежилые помещения  в подвале жилого дома основной площадью 81,1 кв. м (кадастровый номер 59:01:4416003:1694 площадью 2,0 кв. м, кадастровый номер 59:01:4416003:1695 площадью 79,1 кв. м) и площадью помещений, предоставляемых Арендатору               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Индустриальный район,          ул. Кавалерийская, д. 3, </w:t>
      </w:r>
      <w:r>
        <w:rPr>
          <w:bCs/>
          <w:sz w:val="28"/>
          <w:szCs w:val="28"/>
        </w:rPr>
        <w:t>заявки на участие в аукционе не поступали.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10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66,0 кв. м (кадастровый номер 59:01:4410656:805) в подвале жилого дома                    по адресу: г. Пермь, Индустриальный район, проспект Декабристов, д. 6, </w:t>
      </w:r>
      <w:r>
        <w:rPr>
          <w:bCs/>
          <w:sz w:val="28"/>
          <w:szCs w:val="28"/>
        </w:rPr>
        <w:t>заявки на участие в аукционе не поступали.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/>
        <w:ind w:firstLine="720" w:left="0" w:right="0"/>
        <w:rPr/>
      </w:pPr>
      <w:r>
        <w:rPr>
          <w:sz w:val="28"/>
          <w:szCs w:val="28"/>
          <w:lang w:eastAsia="en-US"/>
        </w:rPr>
        <w:t>Зарегистрированные заявки на участие в аукционе заявители не отзывали.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2. Комиссия решила: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76"/>
        <w:ind w:firstLine="708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2.1. допущены к участию в аукционе и признаны участниками аукциона:</w:t>
      </w:r>
    </w:p>
    <w:p>
      <w:pPr>
        <w:pStyle w:val="BodyText"/>
        <w:spacing w:lineRule="auto" w:line="276" w:before="0" w:after="0"/>
        <w:ind w:hanging="0" w:left="0" w:right="0"/>
        <w:jc w:val="both"/>
        <w:rPr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 </w:t>
      </w:r>
    </w:p>
    <w:p>
      <w:pPr>
        <w:pStyle w:val="BodyText"/>
        <w:spacing w:lineRule="auto" w:line="276" w:before="0" w:after="120"/>
        <w:ind w:firstLine="708" w:left="0" w:right="0"/>
        <w:jc w:val="both"/>
        <w:rPr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по лоту № 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индивидуальный предприниматель Осинкин Александр Алексеевич, индивидуальный предприниматель Лучистых Любовь Рудольфовна.</w:t>
      </w:r>
    </w:p>
    <w:p>
      <w:pPr>
        <w:pStyle w:val="BodyText"/>
        <w:spacing w:lineRule="auto" w:line="276" w:before="0" w:after="120"/>
        <w:ind w:firstLine="708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по лоту № 6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–  общество с ограниченной ответственностью «ЙАМ».</w:t>
      </w:r>
    </w:p>
    <w:p>
      <w:pPr>
        <w:pStyle w:val="BodyText"/>
        <w:spacing w:lineRule="auto" w:line="276" w:before="0" w:after="120"/>
        <w:ind w:firstLine="708" w:left="0" w:right="0"/>
        <w:jc w:val="both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>по лоту № 7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 – общество с ограниченной ответственностью «ЙАМ».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2.2. признать аукцион несостоявшимся </w:t>
      </w:r>
      <w:r>
        <w:rPr>
          <w:b/>
          <w:sz w:val="28"/>
          <w:szCs w:val="28"/>
        </w:rPr>
        <w:t xml:space="preserve">по лотам №№ 2, 3, 4, 5, 8, 9 и 10             </w:t>
      </w:r>
      <w:r>
        <w:rPr>
          <w:sz w:val="28"/>
          <w:szCs w:val="28"/>
        </w:rPr>
        <w:t xml:space="preserve">в связи с тем, что на участие в аукционе по данным лотам </w:t>
        <w:br/>
        <w:t xml:space="preserve">не подано ни одной заявки. </w:t>
      </w:r>
    </w:p>
    <w:p>
      <w:pPr>
        <w:pStyle w:val="Normal"/>
        <w:spacing w:lineRule="auto" w:line="276" w:before="0" w:after="0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/>
      </w:pPr>
      <w:r>
        <w:rPr>
          <w:sz w:val="28"/>
          <w:szCs w:val="28"/>
        </w:rPr>
        <w:t xml:space="preserve">Председатель комиссии </w:t>
        <w:tab/>
        <w:tab/>
        <w:t>С.В. Меденникова</w:t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 w:before="0" w:after="0"/>
        <w:ind w:hanging="5610" w:left="5610"/>
        <w:jc w:val="left"/>
        <w:rPr/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>О.В. Кичко</w:t>
      </w:r>
    </w:p>
    <w:p>
      <w:pPr>
        <w:pStyle w:val="3"/>
        <w:spacing w:lineRule="auto" w:line="276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/>
      </w:pPr>
      <w:r>
        <w:rPr>
          <w:sz w:val="28"/>
          <w:szCs w:val="28"/>
        </w:rPr>
        <w:t>Секретарь комиссии</w:t>
        <w:tab/>
        <w:tab/>
        <w:t>О.И. Павлова</w:t>
      </w:r>
    </w:p>
    <w:p>
      <w:pPr>
        <w:pStyle w:val="3"/>
        <w:spacing w:lineRule="auto" w:line="276"/>
        <w:ind w:hanging="5610" w:left="5610"/>
        <w:rPr/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/>
      </w:pPr>
      <w:r>
        <w:rPr>
          <w:sz w:val="28"/>
          <w:szCs w:val="28"/>
        </w:rPr>
        <w:t>Члены комиссии                                                                               М.С. Нестерова</w:t>
      </w:r>
    </w:p>
    <w:p>
      <w:pPr>
        <w:pStyle w:val="3"/>
        <w:spacing w:lineRule="auto" w:line="276"/>
        <w:ind w:firstLine="7088" w:left="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3"/>
        <w:widowControl/>
        <w:spacing w:lineRule="auto" w:line="276" w:before="0" w:after="0"/>
        <w:ind w:firstLine="7540" w:left="0" w:right="0"/>
        <w:jc w:val="left"/>
        <w:rPr/>
      </w:pPr>
      <w:r>
        <w:rPr>
          <w:sz w:val="28"/>
          <w:szCs w:val="28"/>
        </w:rPr>
        <w:t>С.В. Удавихина</w:t>
      </w:r>
    </w:p>
    <w:p>
      <w:pPr>
        <w:pStyle w:val="3"/>
        <w:spacing w:lineRule="auto" w:line="276"/>
        <w:ind w:firstLine="1902" w:left="561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widowControl/>
        <w:spacing w:lineRule="auto" w:line="276" w:before="0" w:after="0"/>
        <w:ind w:firstLine="1928" w:left="5613" w:right="0"/>
        <w:jc w:val="left"/>
        <w:rPr/>
      </w:pPr>
      <w:r>
        <w:rPr>
          <w:sz w:val="28"/>
          <w:szCs w:val="28"/>
        </w:rPr>
        <w:t>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808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Знак"/>
    <w:qFormat/>
    <w:rPr>
      <w:rFonts w:ascii="Courier New" w:hAnsi="Courier New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ind w:firstLine="567"/>
      <w:jc w:val="center"/>
    </w:pPr>
    <w:rPr>
      <w:b/>
      <w:szCs w:val="20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2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">
    <w:name w:val="Основной текст с отступом 3"/>
    <w:basedOn w:val="Normal"/>
    <w:qFormat/>
    <w:pPr>
      <w:ind w:left="561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4">
    <w:name w:val="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5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UserStyle4">
    <w:name w:val="UserStyle_4"/>
    <w:basedOn w:val="Normal"/>
    <w:qFormat/>
    <w:pPr>
      <w:ind w:firstLine="567"/>
      <w:jc w:val="center"/>
    </w:pPr>
    <w:rPr>
      <w:b/>
      <w:szCs w:val="20"/>
    </w:rPr>
  </w:style>
  <w:style w:type="paragraph" w:styleId="Style16">
    <w:name w:val="Содержимое врезки"/>
    <w:basedOn w:val="Normal"/>
    <w:qFormat/>
    <w:pPr/>
    <w:rPr/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51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2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3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4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855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856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7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58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5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65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6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7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8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69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0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1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2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3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4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5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6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7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8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879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880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881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882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83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84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85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86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8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8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8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9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9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893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9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89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9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89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9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89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00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07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15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16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17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18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19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0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1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2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3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4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5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6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7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8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29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0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1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2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3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4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35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3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42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4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4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4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4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4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4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49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5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5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5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95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95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956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57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58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59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0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1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2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63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964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965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966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967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968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969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970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971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972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973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974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975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976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7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Application>LibreOffice/7.6.7.2$Linux_X86_64 LibreOffice_project/60$Build-2</Application>
  <AppVersion>15.0000</AppVersion>
  <Pages>4</Pages>
  <Words>892</Words>
  <Characters>5496</Characters>
  <CharactersWithSpaces>6735</CharactersWithSpaces>
  <Paragraphs>50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2024-07-29T08:05:00Z</dcterms:created>
  <dc:creator>bna</dc:creator>
  <dc:description/>
  <dc:language>ru-RU</dc:language>
  <cp:lastModifiedBy/>
  <cp:lastPrinted>2025-04-07T15:06:53Z</cp:lastPrinted>
  <dcterms:modified xsi:type="dcterms:W3CDTF">2025-04-07T15:06:12Z</dcterms:modified>
  <cp:revision>24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