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.04.2025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17" w:left="2517"/>
        <w:jc w:val="both"/>
        <w:rPr/>
      </w:pPr>
      <w:r>
        <w:rPr/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>Член комиссии:  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.04.2025 (процедур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а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SBR012-2502280140), установила: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                        с кадастровым номером 59:01:3812839:177 площадью 687 кв. м, расположенного по адресу: Российская Федерация, Пермский край, городской округ Пермский, город Пермь, улица 1-я Логовая, з/у 1е,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По указанному лоту поступили заявки 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Носкова Ирина Анатольевна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12.04.2025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Семёнов Роман Георгиевич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15.04.2025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Прудаев Евгений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15.04.2025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2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пра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во заключения договора аренды земельного участка                         с кадастровым номером 59:01:3812825:162 площадью 649 кв. м, расположенного по адресу: Российская Федерация, Пермский край, городской округ Пермский, город Пермь, улица Новогодняя, з/у 1а, для индивидуального жилищного строительства. Разрешенное использование земельного участка – для индивидуального жилищного строительства. По указанному лоту поступили заявки 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Кулай Вячеслав Алексеевич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08.04.2025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Носкова Ирина Анатольевна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12.04.2025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Добрынин Александр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15.04.2025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Семёнов Роман Георгиевич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15.04.2025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Прудаев Евгений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15.04.2025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8"/>
          <w:lang w:val="en-US" w:eastAsia="en-US" w:bidi="ar-SA"/>
        </w:rPr>
      </w:r>
    </w:p>
    <w:p>
      <w:pPr>
        <w:pStyle w:val="Normal"/>
        <w:spacing w:lineRule="auto" w:line="276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Носкова Ирина Анатольевна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81 500,00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Семёнов Роман Георгиевич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>81 500,00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Прудаев Евгений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81 500,00</w:t>
            </w:r>
          </w:p>
        </w:tc>
      </w:tr>
    </w:tbl>
    <w:p>
      <w:pPr>
        <w:pStyle w:val="Normal"/>
        <w:spacing w:lineRule="auto" w:line="276"/>
        <w:ind w:hanging="0"/>
        <w:jc w:val="both"/>
        <w:rPr/>
      </w:pPr>
      <w:r>
        <w:rPr/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2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Кулай Вячеслав Алексеевич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77 000,00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Носкова Ирина Анатольевна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77 000,00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Добрынин Александр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77 000,00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Семёнов Роман Георгиевич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77 000,00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Прудаев Евгений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77 000,00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8"/>
        <w:tabs>
          <w:tab w:val="clear" w:pos="708"/>
          <w:tab w:val="left" w:pos="0" w:leader="none"/>
        </w:tabs>
        <w:spacing w:lineRule="auto" w:line="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auto" w:line="276" w:before="0" w:after="0"/>
        <w:ind w:firstLine="720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Носкова Ирина Анатольевна, Семёнов Роман Георгиевич, Прудаев Евгений Николаевич;</w:t>
      </w:r>
    </w:p>
    <w:p>
      <w:pPr>
        <w:pStyle w:val="Normal"/>
        <w:widowControl/>
        <w:spacing w:lineRule="auto" w:line="276" w:before="0" w:after="0"/>
        <w:ind w:firstLine="720" w:left="0" w:right="0"/>
        <w:jc w:val="both"/>
        <w:rPr>
          <w:rFonts w:ascii="Times New Roman" w:hAnsi="Times New Roman"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ind w:firstLine="720" w:left="0" w:right="0"/>
        <w:jc w:val="both"/>
        <w:rPr>
          <w:rFonts w:eastAsia="Droid Sans Fallback" w:cs="Lohit Devanagari"/>
          <w:b w:val="false"/>
          <w:bCs w:val="false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  <w:t>2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  <w:t xml:space="preserve"> –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  <w:t xml:space="preserve"> Кулай Вячеслав Алексеевич, Носкова Ирина Анатольевна, Добрынин Александр Владимирович, Семёнов Роман Георгиевич, Прудаев Евгений Николаевич.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none"/>
          <w:lang w:val="en-US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lang w:val="en-US" w:eastAsia="en-US" w:bidi="ar-SA"/>
        </w:rPr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rFonts w:eastAsia="Droid Sans Fallback" w:cs="Lohit Devanagari"/>
          <w:color w:val="auto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Ю.И. Четина </w:t>
      </w:r>
    </w:p>
    <w:p>
      <w:pPr>
        <w:pStyle w:val="Normal"/>
        <w:spacing w:lineRule="auto" w:line="276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6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7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9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0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0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0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0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3</Pages>
  <Words>563</Words>
  <Characters>4102</Characters>
  <CharactersWithSpaces>4992</CharactersWithSpaces>
  <Paragraphs>72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2025-04-16T09:36:05Z</dcterms:modified>
  <cp:revision>1066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