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от 21.02.2025 № 059-19-01-11-12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29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.2025 электронн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ого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аукцион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на право заключения договор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аренды земельн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участк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>Электронны</w:t>
      </w:r>
      <w:r>
        <w:rPr>
          <w:shd w:fill="FFFFFF" w:val="clear"/>
        </w:rPr>
        <w:t>й</w:t>
      </w:r>
      <w:r>
        <w:rPr>
          <w:shd w:fill="FFFFFF" w:val="clear"/>
        </w:rPr>
        <w:t xml:space="preserve"> аукцион на право заключения договор</w:t>
      </w:r>
      <w:r>
        <w:rPr>
          <w:shd w:fill="FFFFFF" w:val="clear"/>
        </w:rPr>
        <w:t>а</w:t>
      </w:r>
      <w:r>
        <w:rPr>
          <w:shd w:fill="FFFFFF" w:val="clear"/>
        </w:rPr>
        <w:t xml:space="preserve"> аренды земельн</w:t>
      </w:r>
      <w:r>
        <w:rPr>
          <w:shd w:fill="FFFFFF" w:val="clear"/>
        </w:rPr>
        <w:t>ого</w:t>
      </w:r>
      <w:r>
        <w:rPr>
          <w:shd w:fill="FFFFFF" w:val="clear"/>
        </w:rPr>
        <w:t xml:space="preserve"> участк</w:t>
      </w:r>
      <w:r>
        <w:rPr>
          <w:shd w:fill="FFFFFF" w:val="clear"/>
        </w:rPr>
        <w:t>а</w:t>
      </w:r>
      <w:r>
        <w:rPr>
          <w:shd w:fill="FFFFFF" w:val="clear"/>
        </w:rPr>
        <w:t xml:space="preserve"> (далее – аукцион) провод</w:t>
      </w:r>
      <w:r>
        <w:rPr>
          <w:shd w:fill="FFFFFF" w:val="clear"/>
        </w:rPr>
        <w:t>и</w:t>
      </w:r>
      <w:r>
        <w:rPr>
          <w:shd w:fill="FFFFFF" w:val="clear"/>
        </w:rPr>
        <w:t xml:space="preserve">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(далее – комиссия),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dio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perm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permkrai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/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21.02.2025 № 059-19-01-11-12.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2" w:tgtFrame="http://www.torgi.gov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torgi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gov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3" w:tgtFrame="http://www.gorodperm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gorodperm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3</w:t>
      </w:r>
    </w:p>
    <w:tbl>
      <w:tblPr>
        <w:tblW w:w="991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0"/>
        <w:gridCol w:w="2745"/>
        <w:gridCol w:w="6840"/>
      </w:tblGrid>
      <w:tr>
        <w:trPr>
          <w:trHeight w:val="426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ноября 2024 г. № 21-01-03-10565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г.о. Пермский,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 ул. Бригадирская, зу 28б</w:t>
            </w:r>
          </w:p>
        </w:tc>
      </w:tr>
      <w:tr>
        <w:trPr>
          <w:trHeight w:val="321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 кв. м</w:t>
            </w:r>
          </w:p>
        </w:tc>
      </w:tr>
      <w:tr>
        <w:trPr>
          <w:trHeight w:val="345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59:01:0911481:232</w:t>
            </w:r>
          </w:p>
        </w:tc>
      </w:tr>
      <w:tr>
        <w:trPr>
          <w:trHeight w:val="285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склады (код 6.9)</w:t>
            </w:r>
          </w:p>
        </w:tc>
      </w:tr>
      <w:tr>
        <w:trPr>
          <w:trHeight w:val="670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01.02.2025г. № КУВИ-001/2025-27757225;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06.12.2024 № РФ-59-2-03-0-00-2024-2563-0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Специалистами администрации Свердловского района города Перми 29.02.2024 было проведено обследование Участка, по результатам которого установлено, что на Участке расположены самовольно установленные металлические гаражи, металлический ангар-гараж, спецтехника.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Расположение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близлежащих источников противопожарного водоснабжения относительно указанного земельного участка: ул. Бригадирская, 26 ПГ № 1 ИП Сунгуров Владимир Анатольевич 2 К 150 исправен; ул. Бригадирская, 26 ПГ № 2 ИП Сунгуров Владимир Анатольевич 2 К 150 исправен.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01.03.2024 № 059-39-01-29/3-160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геодезической съемкой, выполненной в 2020 году, в границах Участка расположены металлический ангар, металлические контейнеры, вагоны, сеть водоснабжения, сведения  расположении которой в границах Участка в ЕГРН отсутствуют. Участок частично огражден забором </w:t>
              <w:br/>
              <w:t> на металлических столбах.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Размещение объекта необходимо предусматривать строго за пределами охранных зон сетей водоснабжения в соответствии с нормами СП 42.13330.2016 «Градостроительство планировка и застройка городских и сельских поселений», в том числе в соответствии с таблицей 12.5 СП 42.13330.2016 «Градостроительство планировка и застройка городских 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ЕГРН Участок не имеет связь с объектами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 и справке по градостроительным условиям участка от 23.01.2025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619889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полностью расположен в границах зоны с особыми условиями использования территории Охранная зона транспорта «Зона с особыми условиями использования – Приаэродромная территория аэродрома аэропорта Большое Савино», реестровый номер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указанные в 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отсутствуют зеленые насаждения.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прилегающей территории расположены городские леса и лесопарковый зеленый пояс города Перми. Необходимо учесть их границы.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  </w:t>
            </w:r>
            <w:r>
              <w:rPr>
                <w:color w:val="000000"/>
                <w:sz w:val="24"/>
              </w:rPr>
              <w:t>от 22.05.2024 № 059-33-01-11/3-54).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</w:t>
              <w:br/>
              <w:t> и плановый период 2025-2026 годов мероприятия</w:t>
              <w:br/>
              <w:t> по строительству, реконструкции, капитальному ремонту улично-дорожной сети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рассматриваемой территории не запланированы.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мероприятия, указанные в настоящем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указывается на необходимость соблюдать Правила благоустройства территории города Перми, утвержденные решением Пермской городской Думы  от 15.12.2020 № 277, при строительстве объектов недвижимости.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</w:t>
              <w:br/>
              <w:t xml:space="preserve"> с Федеральным законом от 08.11.2007 № 257-ФЗ </w:t>
              <w:br/>
              <w:t> 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о дорожной деятельности в Российской Федерации и о внесении изменений </w:t>
              <w:br/>
              <w:t> в отдельные законодательные акты Российской Федерации»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от </w:t>
            </w:r>
            <w:r>
              <w:rPr>
                <w:color w:val="000000"/>
                <w:sz w:val="24"/>
              </w:rPr>
              <w:t>03.05.2024  № 059-24-01-36/3-1490).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адресу: ул. Белинского, 52 (ПСЧ-5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> к объектам полиции (участковые пункты полиции), расположены по адресу: г. Пермь, ул. Бригадирская, д. 8 (микрорайон Владимирский, Свердловский район).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настоящее время отсутствует потребность в обеспечении служебными помещениями участковых уполномоченных полиции в указанном микрорайоне, строительство (приобретение) в настоящее время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имеется следующий источник противопожарного водоснабжения: (пожарный гидрант), расположенный по ул. Бригадирская, д. 26 –  на расстоянии 500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69-ФЗ «О пожарной безопасности» и от 22 июля 2008 г.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 и градостроительной деятельности Пермского края от 25.02.2021 № 31-02-1-4-248, а также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Указанная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ул. Пихтовая, д. 42, – 600 метров, и по ул. Суздальская, д. 3, – 1500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15.05.2023 № 059-10-01-27/3-778).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в Пермском крае от 16.03.2022 №74-гс </w:t>
            </w:r>
            <w:r>
              <w:rPr>
                <w:color w:val="000000"/>
                <w:sz w:val="24"/>
              </w:rPr>
              <w:t>для строительства объектов городской инфраструктуры (парков, скверов, торгово-развлекательных комплексов, иных зданий  и сооружений) обязательным является условие по установке камер видеонаблюдения.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41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</w:t>
              <w:br/>
              <w:t xml:space="preserve"> в градостроительном плане от 06.12.2024 </w:t>
              <w:br/>
              <w:t xml:space="preserve"> № РФ-59-2-03-0-00-2024-2563-0 (далее – ГПЗУ) 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класс опасности (в соответствии с санитарно-эпидемиологическими правилами) объектов капитального строительства, размещаемых на земельных участках – IV.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 –  0 м. Предельное количество этажей и (или) предельная высота зданий, строений –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коммунально-складской зоне составляет 1,8.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Таким образом, предельные параметры разрешенного строительства на Участке составляют 5896,8 кв. м (3276 кв. м х 1,8).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приложением Г «Площадь и размеры земельных участков складов» СП 42.13330.2016. Свод правил. Градостроительство. Планировка и застройка городских и сельских поселений. Актуализированная редакция СНиП 2.07.01-89* минимальная площадь склада на Участке составляет: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для складов продовольственных товаров: 814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одноэтажных объектов капитального строительства, 1201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кв. м для многоэтажных объектов капитального строительства;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для складов непродовольственных товаров:  961 кв. м для одноэтажных объектов капитального строительства, 1451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многоэтажных объектов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(колерный паспорт).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Колерный паспорт - документ, разрабатываемый 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домов (зданий)), рекламных конструкций,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 также мест для размещения, вида, цветового решения архитектурно-художественной подсветки.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Колерный паспорт подлежит согласованию </w:t>
              <w:br/>
              <w:t> с функциональным органом администрации города Перми, осуществляющим функции управления в сфере градостроительства.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/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планируемым объемом потребления газа 12 куб.м/час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29.11.2024 № ПФ-7880).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подключения планируемого к строительству объекта на Участке с предполагаемыми объемами водопотребления и водоотведения – 2 м3/сут., расходом воды на наружное пожаротушение 25 л/сек, сообщается, что при проведении оценочного расчета подключения вышеуказанного объекта к сетям водопровода и канализации установлено наличие технической возможности подключения объекта к централизованным системам водоснабжения и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возможности подключения Объекта необходимо выполнить мероприятия по ликвидации технологических разрывов по сетям водопровода и канализации, указанные в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Подключение конкурсной площадки, с целью размещения объектов «склады» на Участке, к сетям водоснабжения  и водоотведения будет возможно только после выполнения вышеуказанных мероприятий.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сообщается: в границах Участка отсутствуют сети водопровода и канализации, эксплуатируемые ООО «НОВОГОР-Прикамье», при этом размещение объекта необходимо предусматривать строго за пределами охранных зон сетей водопровода и канализации в соответствии норм СП, в том числе  в соответствии таблицы 12.5 СП 42.13330.2016 «Градостроительство планировка и застройка городских 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06.05.2024 № 110-7000).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 ПАО                   «Т Плюс». Рекомендуется рассмотреть возможность альтернативных источников теплоснабжения.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П</w:t>
            </w:r>
            <w:r>
              <w:rPr>
                <w:b/>
                <w:color w:val="000000"/>
                <w:sz w:val="24"/>
              </w:rPr>
              <w:t>ермские тепловые сети Филиал ПАО «Т Плюс»</w:t>
            </w:r>
            <w:r>
              <w:rPr>
                <w:color w:val="000000"/>
                <w:sz w:val="24"/>
              </w:rPr>
              <w:t xml:space="preserve"> от 22.05.2023 № 51000-32-01552).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Участка отсутствует техническая возможность подключения объектов к сетям теплоснабжения.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качестве альтернативного энергоресурса рекомендуем рассмотреть – газ, кроме того, в отношении Участка, возможно также подключение к сетям электричества.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 от 29.05.2023 № 059-04-17/3-397-ри).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электросетям филиала объекта капитального строительства, расположенного на Участке, с предполагаемой максимальной мощностью энергопринимающих устройств 708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Порядок технологического присоединения </w:t>
              <w:br/>
              <w:t> к электрическим сетям регламентирован Правилами технологического присоединения энергопринимающих устройств потребителей электрической энергии,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объектов по производству электрической энергии, а также объектов электросетевого хозяйства, принадлежащих сетевым организациям и иным лицам,  к электрическим сетям, утвержденными Постановлением Правительства РФ от 27.12.2004 г. № 861 (далее – Правила ТП).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силу п.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этом Правилами ТП не предусмотрена подготовка и выдача сетевой организацией частным лицам либо органам государственной власти (местного самоуправления) каких-либо предварительных технических условий на подключение к электрическим сетям без подачи заявки на технологическое присоединение.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 на основании пункта 15 Правил.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Таким образом, для получения технических условий и заключения договора на технологическое присоединение необходимо направить в адрес филиала ПАО «Россети Урал» - «Пермэнерго» заявку  на технологическое присоединение с указанием сведений и приложением необходимых документов в соответствии Правилами ТП.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 «Россети»-ПОРТАЛ-ТП.РФ.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ПАО «Россети Урал» – филиал «Пермэнерго» </w:t>
            </w:r>
            <w:r>
              <w:rPr>
                <w:color w:val="000000"/>
                <w:sz w:val="24"/>
              </w:rPr>
              <w:t>от 06.05.2024 № ПЭ/22/434).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сетям связи  ПАО «Ростелеком» планируемых к строительству объектов в границах Участка может быть произведено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 точке подключения  узел ВОЛС (г. Пермь,  ул. Нейвинская, 14а),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получения ТУ на подключение к сетям связи</w:t>
              <w:br/>
              <w:t xml:space="preserve"> ПАО «Ростелеком» необходимо направить письменный запрос по адресу: г. Пермь, ул. Крупской, д. 2, e-mail: </w:t>
            </w:r>
            <w:hyperlink r:id="rId10">
              <w:r>
                <w:rPr>
                  <w:rStyle w:val="Hyperlink"/>
                  <w:color w:val="0000FF"/>
                  <w:sz w:val="24"/>
                  <w:u w:val="single"/>
                </w:rPr>
                <w:t>perm-mail@ural.rt.ru</w:t>
              </w:r>
            </w:hyperlink>
            <w:r>
              <w:rPr>
                <w:color w:val="000000"/>
                <w:sz w:val="24"/>
              </w:rPr>
              <w:t>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07.05.2024  № 01/05/64864/24).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однократно за первые 3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929 000 руб.</w:t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27 870 руб.</w:t>
            </w:r>
          </w:p>
        </w:tc>
      </w:tr>
      <w:tr>
        <w:trPr>
          <w:trHeight w:val="498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6 месяцев</w:t>
            </w:r>
          </w:p>
        </w:tc>
      </w:tr>
      <w:tr>
        <w:trPr>
          <w:trHeight w:val="144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22.02.2025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</w:t>
      </w:r>
      <w:r>
        <w:rPr>
          <w:rFonts w:eastAsia="Courier New"/>
          <w:b/>
          <w:lang w:bidi="ru-RU"/>
        </w:rPr>
        <w:t>7</w:t>
      </w:r>
      <w:r>
        <w:rPr>
          <w:rFonts w:eastAsia="Courier New"/>
          <w:b/>
          <w:lang w:bidi="ru-RU"/>
        </w:rPr>
        <w:t>.0</w:t>
      </w:r>
      <w:r>
        <w:rPr>
          <w:rFonts w:eastAsia="Courier New"/>
          <w:b/>
          <w:lang w:bidi="ru-RU"/>
        </w:rPr>
        <w:t>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</w:t>
      </w:r>
      <w:r>
        <w:rPr>
          <w:rFonts w:eastAsia="Courier New"/>
          <w:b/>
          <w:bCs/>
          <w:lang w:bidi="ru-RU"/>
        </w:rPr>
        <w:t>8</w:t>
      </w:r>
      <w:r>
        <w:rPr>
          <w:rFonts w:eastAsia="Courier New"/>
          <w:b/>
          <w:bCs/>
          <w:lang w:bidi="ru-RU"/>
        </w:rPr>
        <w:t>.0</w:t>
      </w:r>
      <w:r>
        <w:rPr>
          <w:rFonts w:eastAsia="Courier New"/>
          <w:b/>
          <w:bCs/>
          <w:lang w:bidi="ru-RU"/>
        </w:rPr>
        <w:t>5</w:t>
      </w:r>
      <w:r>
        <w:rPr>
          <w:rFonts w:eastAsia="Courier New"/>
          <w:b/>
          <w:bCs/>
          <w:lang w:bidi="ru-RU"/>
        </w:rPr>
        <w:t xml:space="preserve">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</w:t>
      </w:r>
      <w:r>
        <w:rPr>
          <w:rFonts w:eastAsia="Courier New"/>
          <w:b/>
          <w:bCs/>
          <w:lang w:bidi="ru-RU"/>
        </w:rPr>
        <w:t>9</w:t>
      </w:r>
      <w:r>
        <w:rPr>
          <w:rFonts w:eastAsia="Courier New"/>
          <w:b/>
          <w:bCs/>
          <w:lang w:bidi="ru-RU"/>
        </w:rPr>
        <w:t>.0</w:t>
      </w:r>
      <w:r>
        <w:rPr>
          <w:rFonts w:eastAsia="Courier New"/>
          <w:b/>
          <w:bCs/>
          <w:lang w:bidi="ru-RU"/>
        </w:rPr>
        <w:t>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22.02.2025 по 2</w:t>
      </w:r>
      <w:r>
        <w:rPr>
          <w:bCs/>
          <w:lang w:bidi="ru-RU"/>
        </w:rPr>
        <w:t>7</w:t>
      </w:r>
      <w:r>
        <w:rPr>
          <w:bCs/>
          <w:lang w:bidi="ru-RU"/>
        </w:rPr>
        <w:t>.0</w:t>
      </w:r>
      <w:r>
        <w:rPr>
          <w:bCs/>
          <w:lang w:bidi="ru-RU"/>
        </w:rPr>
        <w:t>5</w:t>
      </w:r>
      <w:r>
        <w:rPr>
          <w:bCs/>
          <w:lang w:bidi="ru-RU"/>
        </w:rPr>
        <w:t>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>Дата и время регистрации участников аукциона на участие в аукционе на электронной площадке на сайте в сети Интернет: c 22.02.2025 по 2</w:t>
      </w:r>
      <w:r>
        <w:rPr>
          <w:bCs/>
          <w:lang w:bidi="ru-RU"/>
        </w:rPr>
        <w:t>7</w:t>
      </w:r>
      <w:r>
        <w:rPr>
          <w:bCs/>
          <w:lang w:bidi="ru-RU"/>
        </w:rPr>
        <w:t>.0</w:t>
      </w:r>
      <w:r>
        <w:rPr>
          <w:bCs/>
          <w:lang w:bidi="ru-RU"/>
        </w:rPr>
        <w:t>5</w:t>
      </w:r>
      <w:r>
        <w:rPr>
          <w:bCs/>
          <w:lang w:bidi="ru-RU"/>
        </w:rPr>
        <w:t xml:space="preserve">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 договор</w:t>
      </w:r>
      <w:r>
        <w:rPr>
          <w:bCs/>
        </w:rPr>
        <w:t>а</w:t>
      </w:r>
      <w:r>
        <w:rPr>
          <w:bCs/>
        </w:rPr>
        <w:t xml:space="preserve"> явля</w:t>
      </w:r>
      <w:r>
        <w:rPr>
          <w:bCs/>
        </w:rPr>
        <w:t>е</w:t>
      </w:r>
      <w:r>
        <w:rPr>
          <w:bCs/>
        </w:rPr>
        <w:t>тся частью извещения и представлен в Приложени</w:t>
      </w:r>
      <w:r>
        <w:rPr>
          <w:bCs/>
        </w:rPr>
        <w:t>и 4</w:t>
      </w:r>
      <w:r>
        <w:rPr>
          <w:bCs/>
        </w:rPr>
        <w:t xml:space="preserve">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footerReference w:type="default" r:id="rId15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15</w:t>
    </w:r>
    <w:r>
      <w:rPr>
        <w:sz w:val="20"/>
        <w:szCs w:val="20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14" w:customStyle="1">
    <w:name w:val="Гиперссылка1"/>
    <w:qFormat/>
    <w:rPr>
      <w:color w:val="0000FF"/>
      <w:u w:val="single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>
    <w:name w:val="index heading1"/>
    <w:basedOn w:val="Style18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1" w:customStyle="1">
    <w:name w:val="index heading11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9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6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7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9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800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2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0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2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3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4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5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6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7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2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3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24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25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26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27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28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29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30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3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3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3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3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3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3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37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38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39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40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4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42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3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4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5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6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7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8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9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0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2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3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4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5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6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7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8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59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60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6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62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63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64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65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6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7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8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9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0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2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3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4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5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6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7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8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9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0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2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3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4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5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6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87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88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89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90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9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92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93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7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8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9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0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2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3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4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05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06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07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8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9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0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2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13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14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15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16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917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918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919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920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mailto:perm-mail@ural.rt.ru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Application>LibreOffice/7.6.7.2$Linux_X86_64 LibreOffice_project/60$Build-2</Application>
  <AppVersion>15.0000</AppVersion>
  <Pages>15</Pages>
  <Words>5114</Words>
  <Characters>36768</Characters>
  <CharactersWithSpaces>41773</CharactersWithSpaces>
  <Paragraphs>241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2024-09-02T08:08:00Z</dcterms:created>
  <dc:creator>Tatyannikova</dc:creator>
  <dc:description/>
  <dc:language>ru-RU</dc:language>
  <cp:lastModifiedBy/>
  <dcterms:modified xsi:type="dcterms:W3CDTF">2025-04-24T10:08:46Z</dcterms:modified>
  <cp:revision>85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