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25.04.2025 № 059-19-01-11-39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29.05.2025 электронного аукциона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земельного участка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Электронный аукцион по продаже земельного участка (далее – аукцион) проводится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25.04.2025 № 059-19-01-11-39.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4</w:t>
      </w:r>
    </w:p>
    <w:tbl>
      <w:tblPr>
        <w:tblW w:w="10485" w:type="dxa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6"/>
        <w:gridCol w:w="3267"/>
        <w:gridCol w:w="6862"/>
      </w:tblGrid>
      <w:tr>
        <w:trPr>
          <w:trHeight w:val="877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</w:t>
            </w: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 земельных отношений администрации города Перми от 27 декабря  2023 г. № 21-01-03-8712 «О проведении аукциона по продаже земельного участка  в Мотовилихинском районе города Перми», от 27 января 2025 г. № 21-01-03-744            «О внесении изменений в распоряжение начальника департамента земельных отношений администрации города Перми от 27 декабря  2023 г. № 21-01-03-8712 «О проведении аукциона по продаже земельного участка  в Мотовилихинском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Пермский г.о., г. Пермь, ул. 9-я Линия</w:t>
            </w:r>
          </w:p>
        </w:tc>
      </w:tr>
      <w:tr>
        <w:trPr>
          <w:trHeight w:val="148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 кв. м</w:t>
            </w:r>
          </w:p>
        </w:tc>
      </w:tr>
      <w:tr>
        <w:trPr>
          <w:trHeight w:val="155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59:01:3211549:159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от </w:t>
            </w:r>
            <w:r>
              <w:rPr>
                <w:sz w:val="24"/>
                <w:szCs w:val="24"/>
                <w14:ligatures w14:val="none"/>
              </w:rPr>
              <w:t>11.04.2025г.                № КУВИ-001/2025-88134065;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10.01.2025 № РФ-59-2-03-0-00-2025-0003-0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283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  <w:t>В соответствии с геодезической съемкой, выполненной                 в 2024 году, в границах Участка расположено ветхое разрушенное строение. Вдоль юго-западной границы Участка расположен забор смежного землепользователя участка                     с кадастровым номером 59:01:3211549:157.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данным ЕГРН в границах Участка отсутствуют объекты капитального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Доступ к Участку не ограничен, объекты движимого и (или) недвижимого имущества на Участке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дминистрации Мотовилихинского района города Перми от 26.12.2024 № 059-36-01-42/3-364).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Ближайшие источники противопожарного водоснабжения расположены по следующим адресам: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ул. 9-я Линия, 3 – пожарный гидрант, расстояние 680 метров;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ул. 10-я Линия, 8в – пожарный гидрант, расстояние 780 метров;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ул. 8-я Линия, 23 – пожарный водоем, расстояние 300 метров.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ЕГРН, ГПЗУ                 и справке по градостроительным условиям участка от 11.04.2025 № 628425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Участок расположен в границах </w:t>
            </w:r>
            <w:r>
              <w:rPr>
                <w:b/>
                <w:color w:val="000000"/>
                <w:sz w:val="24"/>
              </w:rPr>
              <w:t>зон с особыми условиями использования территории</w:t>
            </w:r>
            <w:r>
              <w:rPr>
                <w:color w:val="000000"/>
                <w:sz w:val="24"/>
              </w:rPr>
              <w:t>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Охранная зона транспорта «Зона с особыми условиями использования - Приаэродромная территория аэродрома аэропорта Большое Савино», 59:32-6.553 (Постановление Правительства Российской Федерации от 11.03.2010 № 138          «Об утверждении Федеральных правил использования воздушного пространства Российской Федерации»).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283" w:left="0" w:right="0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Участке произрастает 8 деревьев пород – береза 3 шт., сосна 3 шт., черемуха 2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Восстановительную стоимость посчитать  не представляется возможным, так как неизвестно пятно застройки и количество сносимых зеленых насаждений. Средняя стоимость в ценах 2025 г. одного дерева лиственной породы от 25 тыс. руб., а хвойной – от 30 тыс. руб.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Победителю аукциона необходимо соблюдать условия строительства, указанные в письме </w:t>
            </w:r>
            <w:r>
              <w:rPr>
                <w:color w:val="000000"/>
                <w:sz w:val="24"/>
                <w:szCs w:val="24"/>
              </w:rPr>
              <w:t>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b/>
                <w:color w:val="000000"/>
                <w:sz w:val="24"/>
                <w:szCs w:val="24"/>
              </w:rPr>
              <w:t>правления по экологии  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15.01.2025 № 059-33-01-10/3-24).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 на 2024 год и плановый период 2025-2026 годов мероприятия по строительству, реконструкции, капитальному ремонту улично-дорожной сети на рассматриваемой территории  не предусмотрены.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 направляется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Участке.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              от 23.12.2024 № 059-24-01-36/3-4743)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/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Строительство пожарного водоема на указанной территории не запланировано.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ул. Уральская, 74 (ПСЧ-3 10-ПСО).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имеется следующий источник противопожарного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водоснабжения: (пожарный водоем), расположенный по улице 8-я Линия, 27 –  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радиусе 300 метров.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 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8.13130 «Системы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 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служб и (или) аварийно-спасательных формирований на указанной территории отсутствуют. В настоящее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время потребность в обеспечении служебными помещениями для аварийно-спасательных формирований в указанном районе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Объекты общественной безопасности, отнесенные</w:t>
              <w:br/>
              <w:t> к объектам полиции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(участковые пункты полиции)</w:t>
              <w:br/>
              <w:t> в данном микрорайоне (Верхняя Курья)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отсутствуют. Ближайший участковый пункт расположен по адресу: </w:t>
              <w:br/>
              <w:t> г. Пермь,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ул. Уральская, д. 113, (микрорайон Городские Горки, Мотовилихинский район).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настоящее время в указанном микрорайоне строительство (приобретение)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безопасности Пермского края (письмо                  от 07.10.2020 № 964с), рассматриваемая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территория попадает            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</w:t>
              <w:br/>
              <w:t> СП 165.1325800.2014 «Свод правил. Инженерно-технические мероприятия по гражданской обороне. Актуализированная редакция СНиП 2.01.51-90», утвержденные Приказом Минстроя России от 12.11.2014 № 705/пр. Иная информация, в рамках компетенции департамента общественной безопасности администрации города Перми,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 20.12.2024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059-10-01-27/3-2166).</w:t>
            </w:r>
          </w:p>
          <w:p>
            <w:pPr>
              <w:pStyle w:val="Normal"/>
              <w:ind w:firstLine="283" w:left="0" w:righ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>
          <w:trHeight w:val="1087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> в соответствии с пунктом 4.5 СП 55.13330.2016 Свода Правил. Дома жилые одноквартирные. СНиП  31-02-2001, утвержденным и введенным в действие Приказом Министерства строительства и жилищно-коммунального хозяйства Российской Федерации  от 20.10.2016 № 725/пр (ред. от 17.05.2023): дом должен включать жилые комнаты - одну или несколько (общую комнату или гостиную, спальню), 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 с числом комнат две и более - 16 м2, спальни - 8 м2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(на двух человек - 10 м2); кухни - 8 м2; кухонной зоны </w:t>
              <w:br/>
              <w:t>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спальни и кухни  в мансардном этаже (или этаже  с наклонными ограждающими конструкциями) допускается не менее  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 высота пути эвакуации - 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 кухнях, расположенных в этажах                  с наклонными ограждающими конструкциями или                           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градостроительному плану Участка </w:t>
              <w:br/>
              <w:t> от 10.01.2025 № РФ-59-2-03-0-00-2025-0003-0 (далее – ГПЗУ): Минимальный отступ от границ земельного участка – 3 м,              до места допустимого размещения зданий, строений                     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– 30 %.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документации по планировке территории, утверждённой постановлением администрации города Перми  от 23.12.2016 № 1159, параметры возможной предельной высоты жилой застройки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до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           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Normal"/>
              <w:ind w:firstLine="311"/>
              <w:jc w:val="both"/>
              <w:rPr>
                <w:color w:themeColor="text1" w:val="000000"/>
                <w:sz w:val="24"/>
                <w:szCs w:val="24"/>
              </w:rPr>
            </w:pPr>
            <w:r>
              <w:rPr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                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 w:tgtFrame="http://www.gorodperm.ru/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lineRule="auto" w:line="240" w:before="0" w:after="0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Участок находится вне зоны теплоснабжения  ПАО                   «Т Плюс».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ПАО                  «Т Плюс»</w:t>
            </w:r>
            <w:r>
              <w:rPr>
                <w:color w:val="000000"/>
                <w:sz w:val="24"/>
                <w:szCs w:val="24"/>
              </w:rPr>
              <w:t xml:space="preserve"> от 25.12.2024  № 51000-32-04651).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к сетям теплоснабжения отсутствует. Рекомендовано рассмотреть альтернативный источник теплоснабжения – газ, электричество.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жилищно-коммунального хозяйства</w:t>
            </w:r>
            <w:r>
              <w:rPr>
                <w:color w:val="000000"/>
                <w:sz w:val="24"/>
              </w:rPr>
              <w:t xml:space="preserve">                     от 09.01.2025 № 059-04-25/3-2-ри).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Технологическое присоединение к сетям связи ПАО «Ростелеком» Участка может быть произведено к узлу ВОЛС  (г. Пермь, ул. Днепровская, д. 32), максимальную нагрузку               в точке подключения (технологического присоединения) определить на стадии проектирования. В границах Участка сети ПАО «Ростелеком»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03.02.2025  № 01/05/15339/25).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 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20.12.2024 № ПФ-8434).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подключения планируемого к строительству объекта на Участке с предполагаемыми объемами водопотребления и водоотведения –1 м3/сут., сообщается, что            в районе расположения Участка отсутствуют централизованные сети водоснабжения и водоотведения, эксплуатируемые             ООО «Новогор-Прикамье».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Ближайшей сетью водоснабжения, эксплуатируемой              ООО «НОВОГОР-Прикамье», является водопровод,  Д-400 мм, по ул. Верхне-Курьинская, расстояние  от Участка – 685 м. Ввиду отсутствия данных о посадке объекта, протяженность до водопровода Д-400 мм по ул. Верхне-Курьинская указана ориентировочно.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в месте расположения земельного участка отсутствуют централизованные сети канализации, может быть применен альтернативный способ канализования, без подключения  к централизованной системе канализации                    г. Перми (отвод стоков возможен на локальные очистные сооружения, либо в выгребную яму с последующим вывозом стоков спец. машинами), при этом состав канализационных стоков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sz w:val="24"/>
                <w:szCs w:val="24"/>
              </w:rPr>
              <w:t xml:space="preserve">(Аналогичная информация отражена в письме </w:t>
            </w:r>
            <w:r>
              <w:rPr/>
              <w:t xml:space="preserve">                     </w:t>
            </w:r>
            <w:r>
              <w:rPr>
                <w:b/>
                <w:color w:val="000000"/>
                <w:sz w:val="24"/>
              </w:rPr>
              <w:t>ООО «Новогор-Прикамье»  </w:t>
            </w:r>
            <w:r>
              <w:rPr>
                <w:color w:val="000000"/>
                <w:sz w:val="24"/>
              </w:rPr>
              <w:t>от 23.12.2024 № 110-20794).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</w:rPr>
              <w:t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5 к настоящему извещению)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3 612 000 руб.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180 600 руб.</w:t>
            </w:r>
          </w:p>
        </w:tc>
      </w:tr>
      <w:tr>
        <w:trPr>
          <w:trHeight w:val="41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1 806 000 руб.</w:t>
            </w:r>
          </w:p>
        </w:tc>
      </w:tr>
      <w:tr>
        <w:trPr>
          <w:trHeight w:val="236" w:hRule="atLeast"/>
        </w:trPr>
        <w:tc>
          <w:tcPr>
            <w:tcW w:w="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</w:tr>
      <w:tr>
        <w:trPr>
          <w:trHeight w:val="188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5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26.04.2025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27.05.2025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28.05.2025.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29.05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1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26.04.2025 по 27.05.2025.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26.04.2025 по 27.05.2025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 договора является частью извещения и представлен в Приложении 5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2"/>
      <w:headerReference w:type="first" r:id="rId13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14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8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6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utp.sberbank-ast.ru/AP/Notice/653/Requisites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LibreOffice/7.6.7.2$Linux_X86_64 LibreOffice_project/60$Build-2</Application>
  <AppVersion>15.0000</AppVersion>
  <Pages>14</Pages>
  <Words>4932</Words>
  <Characters>34470</Characters>
  <CharactersWithSpaces>39673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2025-04-25T18:49:38Z</dcterms:modified>
  <cp:revision>265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