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4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764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45"/>
        <w:numPr>
          <w:ilvl w:val="0"/>
          <w:numId w:val="0"/>
        </w:numPr>
        <w:ind w:left="0" w:firstLine="5670"/>
        <w:jc w:val="both"/>
        <w:spacing w:line="240" w:lineRule="exact"/>
        <w:tabs>
          <w:tab w:val="clear" w:pos="708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</w:p>
    <w:p>
      <w:pPr>
        <w:pStyle w:val="645"/>
        <w:ind w:left="5664" w:firstLine="6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 имущественных отношений</w:t>
      </w:r>
      <w:r>
        <w:rPr>
          <w:sz w:val="28"/>
          <w:szCs w:val="28"/>
        </w:rPr>
      </w:r>
    </w:p>
    <w:p>
      <w:pPr>
        <w:pStyle w:val="645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</w:p>
    <w:p>
      <w:pPr>
        <w:pStyle w:val="645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06.05.2025 № 059-19-01-11-40</w:t>
      </w:r>
      <w:r>
        <w:rPr>
          <w:sz w:val="28"/>
          <w:szCs w:val="28"/>
        </w:rPr>
      </w:r>
    </w:p>
    <w:p>
      <w:pPr>
        <w:pStyle w:val="645"/>
        <w:ind w:left="283"/>
        <w:jc w:val="center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4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05.06.2025 электронного аукциона по продаже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764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земельного участка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76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45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Электронный аукцион по продаже земельного участка (далее – аукцион) проводится в соответствии со статьями 39.11,</w:t>
      </w:r>
      <w:r>
        <w:rPr>
          <w:shd w:val="clear" w:color="auto" w:fill="ffffff"/>
        </w:rPr>
        <w:t xml:space="preserve">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</w:t>
      </w:r>
      <w:r>
        <w:rPr>
          <w:shd w:val="clear" w:color="auto" w:fill="ffffff"/>
        </w:rPr>
        <w:t xml:space="preserve">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</w:t>
      </w:r>
      <w:r>
        <w:rPr>
          <w:shd w:val="clear" w:color="auto" w:fill="ffffff"/>
        </w:rPr>
        <w:t xml:space="preserve">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val="clear" w:color="auto" w:fill="ffffff"/>
          <w:lang w:val="ru-RU" w:eastAsia="zh-CN" w:bidi="ar-SA"/>
        </w:rPr>
        <w:t xml:space="preserve"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  <w:r>
        <w:rPr>
          <w:b/>
          <w:bCs/>
        </w:rPr>
      </w:r>
    </w:p>
    <w:p>
      <w:pPr>
        <w:pStyle w:val="645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728"/>
          <w:bCs/>
          <w:sz w:val="24"/>
          <w:szCs w:val="24"/>
          <w:lang w:val="en-US"/>
        </w:rPr>
        <w:t xml:space="preserve">dzo@perm.permkrai.ru.</w:t>
      </w:r>
      <w:r>
        <w:rPr>
          <w:b/>
          <w:bCs/>
        </w:rPr>
      </w:r>
    </w:p>
    <w:p>
      <w:pPr>
        <w:pStyle w:val="645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</w:t>
      </w:r>
      <w:r>
        <w:rPr>
          <w:bCs/>
        </w:rPr>
        <w:t xml:space="preserve">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 xml:space="preserve">dio</w:t>
      </w:r>
      <w:r>
        <w:rPr>
          <w:sz w:val="24"/>
          <w:szCs w:val="24"/>
        </w:rPr>
        <w:t xml:space="preserve">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</w:p>
    <w:p>
      <w:pPr>
        <w:pStyle w:val="645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06.05.2025 № 059-19-01-11-40.</w:t>
      </w:r>
      <w:r>
        <w:rPr>
          <w:sz w:val="24"/>
          <w:szCs w:val="24"/>
        </w:rPr>
      </w:r>
    </w:p>
    <w:p>
      <w:pPr>
        <w:pStyle w:val="774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728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28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28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728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28"/>
            <w:color w:val="000000"/>
            <w:sz w:val="24"/>
            <w:szCs w:val="24"/>
            <w:u w:val="none"/>
          </w:rPr>
          <w:t xml:space="preserve">gov</w:t>
        </w:r>
        <w:r>
          <w:rPr>
            <w:rStyle w:val="728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28"/>
            <w:color w:val="000000"/>
            <w:sz w:val="24"/>
            <w:szCs w:val="24"/>
            <w:u w:val="none"/>
          </w:rPr>
          <w:t xml:space="preserve"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tooltip="http://www.gorodperm.ru/" w:history="1">
        <w:r>
          <w:rPr>
            <w:rStyle w:val="728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28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28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728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28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ooltip="http://utp.sberbank-ast.ru/" w:history="1">
        <w:r>
          <w:rPr>
            <w:rStyle w:val="728"/>
            <w:sz w:val="24"/>
            <w:szCs w:val="24"/>
          </w:rPr>
          <w:t xml:space="preserve">http</w:t>
        </w:r>
        <w:r>
          <w:rPr>
            <w:rStyle w:val="728"/>
            <w:sz w:val="24"/>
            <w:szCs w:val="24"/>
            <w:lang w:val="ru-RU"/>
          </w:rPr>
          <w:t xml:space="preserve">://</w:t>
        </w:r>
        <w:r>
          <w:rPr>
            <w:rStyle w:val="728"/>
            <w:sz w:val="24"/>
            <w:szCs w:val="24"/>
          </w:rPr>
          <w:t xml:space="preserve">utp</w:t>
        </w:r>
        <w:r>
          <w:rPr>
            <w:rStyle w:val="728"/>
            <w:sz w:val="24"/>
            <w:szCs w:val="24"/>
            <w:lang w:val="ru-RU"/>
          </w:rPr>
          <w:t xml:space="preserve">.</w:t>
        </w:r>
        <w:r>
          <w:rPr>
            <w:rStyle w:val="728"/>
            <w:sz w:val="24"/>
            <w:szCs w:val="24"/>
          </w:rPr>
          <w:t xml:space="preserve">sberbank</w:t>
        </w:r>
        <w:r>
          <w:rPr>
            <w:rStyle w:val="728"/>
            <w:sz w:val="24"/>
            <w:szCs w:val="24"/>
            <w:lang w:val="ru-RU"/>
          </w:rPr>
          <w:t xml:space="preserve">-</w:t>
        </w:r>
        <w:r>
          <w:rPr>
            <w:rStyle w:val="728"/>
            <w:sz w:val="24"/>
            <w:szCs w:val="24"/>
          </w:rPr>
          <w:t xml:space="preserve">ast</w:t>
        </w:r>
        <w:r>
          <w:rPr>
            <w:rStyle w:val="728"/>
            <w:sz w:val="24"/>
            <w:szCs w:val="24"/>
            <w:lang w:val="ru-RU"/>
          </w:rPr>
          <w:t xml:space="preserve">.</w:t>
        </w:r>
        <w:r>
          <w:rPr>
            <w:rStyle w:val="728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645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/" w:history="1">
        <w:r>
          <w:rPr>
            <w:rStyle w:val="728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645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</w:p>
    <w:p>
      <w:pPr>
        <w:pStyle w:val="645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5" w:tooltip="https://utp.sberbank-ast.ru/Main/Notice/988/Reglament" w:history="1">
        <w:r>
          <w:rPr>
            <w:rStyle w:val="728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</w:p>
    <w:p>
      <w:pPr>
        <w:pStyle w:val="645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16" w:tooltip="https://utp.sberbank-ast.ru/AP/Notice/1027/Instructions" w:history="1">
        <w:r>
          <w:rPr>
            <w:rStyle w:val="728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</w:p>
    <w:p>
      <w:pPr>
        <w:pStyle w:val="645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7" w:tooltip="https://utp.sberbank-ast.ru/AP/Notice/652/Instructions" w:history="1">
        <w:r>
          <w:rPr>
            <w:rStyle w:val="728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</w:p>
    <w:p>
      <w:pPr>
        <w:pStyle w:val="645"/>
        <w:ind w:left="-567" w:firstLine="567"/>
        <w:jc w:val="both"/>
        <w:widowControl w:val="off"/>
        <w:rPr>
          <w:highlight w:val="none"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728"/>
          <w:bCs/>
          <w:sz w:val="24"/>
          <w:szCs w:val="24"/>
          <w:lang w:val="en-US"/>
        </w:rPr>
        <w:t xml:space="preserve">dzo</w:t>
      </w:r>
      <w:r>
        <w:rPr>
          <w:rStyle w:val="728"/>
          <w:bCs/>
          <w:sz w:val="24"/>
          <w:szCs w:val="24"/>
        </w:rPr>
        <w:t xml:space="preserve">@</w:t>
      </w:r>
      <w:r>
        <w:rPr>
          <w:rStyle w:val="728"/>
          <w:bCs/>
          <w:sz w:val="24"/>
          <w:szCs w:val="24"/>
          <w:lang w:val="en-US"/>
        </w:rPr>
        <w:t xml:space="preserve">perm</w:t>
      </w:r>
      <w:r>
        <w:rPr>
          <w:rStyle w:val="728"/>
          <w:bCs/>
          <w:sz w:val="24"/>
          <w:szCs w:val="24"/>
        </w:rPr>
        <w:t xml:space="preserve">.</w:t>
      </w:r>
      <w:r>
        <w:rPr>
          <w:rStyle w:val="728"/>
          <w:bCs/>
          <w:sz w:val="24"/>
          <w:szCs w:val="24"/>
          <w:lang w:val="en-US"/>
        </w:rPr>
        <w:t xml:space="preserve">permkrai</w:t>
      </w:r>
      <w:r>
        <w:rPr>
          <w:rStyle w:val="728"/>
          <w:bCs/>
          <w:sz w:val="24"/>
          <w:szCs w:val="24"/>
        </w:rPr>
        <w:t xml:space="preserve">.</w:t>
      </w:r>
      <w:r>
        <w:rPr>
          <w:rStyle w:val="728"/>
          <w:bCs/>
          <w:sz w:val="24"/>
          <w:szCs w:val="24"/>
          <w:lang w:val="en-US"/>
        </w:rPr>
        <w:t xml:space="preserve">ru.</w:t>
      </w:r>
      <w:r>
        <w:rPr>
          <w:highlight w:val="none"/>
        </w:rPr>
      </w:r>
    </w:p>
    <w:p>
      <w:pPr>
        <w:pStyle w:val="645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64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b/>
          <w:lang w:val="ru-RU"/>
        </w:rPr>
      </w:r>
    </w:p>
    <w:p>
      <w:pPr>
        <w:pStyle w:val="645"/>
        <w:ind w:right="-263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5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</w:t>
      </w:r>
      <w:r>
        <w:rPr>
          <w:b/>
          <w:lang w:val="en-US"/>
        </w:rPr>
        <w:t xml:space="preserve">1</w:t>
      </w:r>
      <w:r>
        <w:rPr>
          <w:sz w:val="20"/>
          <w:szCs w:val="20"/>
          <w:highlight w:val="none"/>
        </w:rPr>
      </w:r>
    </w:p>
    <w:tbl>
      <w:tblPr>
        <w:tblW w:w="10485" w:type="dxa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6"/>
        <w:gridCol w:w="3267"/>
        <w:gridCol w:w="6862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textDirection w:val="lrTb"/>
            <w:noWrap w:val="false"/>
          </w:tcPr>
          <w:p>
            <w:pPr>
              <w:pStyle w:val="645"/>
              <w:ind w:right="0"/>
              <w:jc w:val="left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 реквизиты указанного решения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2" w:type="dxa"/>
            <w:textDirection w:val="lrTb"/>
            <w:noWrap w:val="false"/>
          </w:tcPr>
          <w:p>
            <w:pPr>
              <w:pStyle w:val="6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от 10 февраля 2025 г. № 21-01-03-1169 «О проведении аукциона по продаже земельного участка в Орджоникидзевском районе города Перми»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textDirection w:val="lrTb"/>
            <w:noWrap w:val="false"/>
          </w:tcPr>
          <w:p>
            <w:pPr>
              <w:pStyle w:val="645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по продаже земельного участка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2" w:type="dxa"/>
            <w:textDirection w:val="lrTb"/>
            <w:noWrap w:val="false"/>
          </w:tcPr>
          <w:p>
            <w:pPr>
              <w:pStyle w:val="6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restart"/>
            <w:textDirection w:val="lrTb"/>
            <w:noWrap w:val="false"/>
          </w:tcPr>
          <w:p>
            <w:pPr>
              <w:pStyle w:val="6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2"/>
              </w:numPr>
              <w:ind w:left="720" w:right="-263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2" w:type="dxa"/>
            <w:textDirection w:val="lrTb"/>
            <w:noWrap w:val="false"/>
          </w:tcPr>
          <w:p>
            <w:pPr>
              <w:pStyle w:val="6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улица 1-я Логовая, з/у 25в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2"/>
              </w:numPr>
              <w:ind w:left="720" w:right="-26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2" w:type="dxa"/>
            <w:textDirection w:val="lrTb"/>
            <w:noWrap w:val="false"/>
          </w:tcPr>
          <w:p>
            <w:pPr>
              <w:pStyle w:val="645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1952 кв. 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2"/>
              </w:numPr>
              <w:ind w:left="720" w:right="-26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2" w:type="dxa"/>
            <w:textDirection w:val="lrTb"/>
            <w:noWrap w:val="false"/>
          </w:tcPr>
          <w:p>
            <w:pPr>
              <w:pStyle w:val="645"/>
              <w:ind w:right="-263"/>
              <w:jc w:val="both"/>
              <w:rPr>
                <w:sz w:val="24"/>
                <w:szCs w:val="24"/>
              </w:rPr>
            </w:pPr>
            <w:r>
              <w:t xml:space="preserve">59:01:3810190:153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2" w:type="dxa"/>
            <w:textDirection w:val="lrTb"/>
            <w:noWrap w:val="false"/>
          </w:tcPr>
          <w:p>
            <w:pPr>
              <w:pStyle w:val="645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2" w:type="dxa"/>
            <w:textDirection w:val="lrTb"/>
            <w:noWrap w:val="false"/>
          </w:tcPr>
          <w:p>
            <w:pPr>
              <w:pStyle w:val="645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(2.1)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2" w:type="dxa"/>
            <w:textDirection w:val="lrTb"/>
            <w:noWrap w:val="false"/>
          </w:tcPr>
          <w:p>
            <w:pPr>
              <w:pStyle w:val="645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2" w:type="dxa"/>
            <w:textDirection w:val="lrTb"/>
            <w:noWrap w:val="false"/>
          </w:tcPr>
          <w:p>
            <w:pPr>
              <w:pStyle w:val="645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</w:p>
          <w:p>
            <w:pPr>
              <w:pStyle w:val="645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24.04.2025г.               № КУВИ-001/2025-95599860</w:t>
            </w:r>
            <w:r>
              <w:rPr>
                <w:sz w:val="24"/>
                <w:szCs w:val="24"/>
                <w14:ligatures w14:val="none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645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</w:p>
          <w:p>
            <w:pPr>
              <w:pStyle w:val="6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16.08.2023 № РФ-59-2-03-0-00-2023-1670-0 (далее – ГПЗУ).</w:t>
            </w:r>
            <w:r>
              <w:rPr>
                <w:sz w:val="24"/>
                <w:szCs w:val="24"/>
              </w:rPr>
            </w:r>
          </w:p>
          <w:p>
            <w:pPr>
              <w:pStyle w:val="6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Согласно сведениям, содержащимся в ЕГРН, в границах Участка расположен объект капита</w:t>
            </w:r>
            <w:r>
              <w:rPr>
                <w:color w:val="000000" w:themeColor="text1"/>
                <w:sz w:val="24"/>
                <w:szCs w:val="24"/>
              </w:rPr>
              <w:t xml:space="preserve">льного строительства с кадастровым номером 59:01:0000000:77564 – электросетевой комплекс «Подстанция 110/6 кВ «Северная» с линиями электропередачи, трансформаторными подстанциями и распределительными пунктами», находящийся в собственности ОАО «МРСК Урала».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Согласно подпункту 8 пункта 8 статьи 39.11 Кодекса земельный участок, наход</w:t>
            </w:r>
            <w:r>
              <w:rPr>
                <w:color w:val="000000" w:themeColor="text1"/>
                <w:sz w:val="24"/>
                <w:szCs w:val="24"/>
              </w:rPr>
              <w:t xml:space="preserve">ящийся в государственной </w:t>
              <w:br/>
              <w:t xml:space="preserve">или муниципальной собственности, не может быть предметом аукциона, если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</w:t>
            </w:r>
            <w:r>
              <w:rPr>
                <w:color w:val="000000" w:themeColor="text1"/>
                <w:sz w:val="24"/>
                <w:szCs w:val="24"/>
              </w:rPr>
              <w:t xml:space="preserve">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Кодекса.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Учитывая, что </w:t>
            </w:r>
            <w:r>
              <w:rPr>
                <w:color w:val="000000" w:themeColor="text1"/>
                <w:sz w:val="24"/>
                <w:szCs w:val="24"/>
              </w:rPr>
              <w:t xml:space="preserve">указанные линейные объекты могут размещаться на основании сервитута, публичного сервитута, в соответствии со статьей 39.36 Кодекса, наличие таких объектов на земельном участке не является основанием для отказа в предоставлении земельного участка на торгах.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данным геодезической съемки в северо-западной </w:t>
              <w:br/>
              <w:t xml:space="preserve">и юго-восточной границах Участка частично располагается забор, с северо-западной и восточной части Участка установлены опоры линии электропередач.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ходе визуального осмотра территории установлено, что состояние рельефа Участка – сильный уклон. Доступ (подход/подъезд) к Участку огранич</w:t>
            </w:r>
            <w:r>
              <w:rPr>
                <w:color w:val="000000" w:themeColor="text1"/>
                <w:sz w:val="24"/>
                <w:szCs w:val="24"/>
              </w:rPr>
              <w:t xml:space="preserve">ен. Участок </w:t>
              <w:br/>
              <w:t xml:space="preserve">по периметру частично огорожен деревянным забором, часть ограждения отсутствует. На Участке произрастают кустарники и многолетние лиственные и хвойные деревья. Обследование на предмет захламления затруднено в связи с наличием снежного покрова.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 стороны северо-западной и восточной границ Участка установлены опоры линии электропередач, происходит нависание электрических проводов.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Согласно сведениям АИСОГД по диагонали всего Учас</w:t>
            </w:r>
            <w:r>
              <w:rPr>
                <w:color w:val="000000" w:themeColor="text1"/>
                <w:sz w:val="24"/>
                <w:szCs w:val="24"/>
              </w:rPr>
              <w:t xml:space="preserve">тка проходит охранная зона ВЛ 0,4 кВ от ОП4383, от ТП4384, от ТП4385, от ТП4386, КЛ 0,4 кВ от ТП4383, от ТП4385, от ТП4386 (электросетевой комплекс «Подстанция 110/6кВ «Северная» с линиями электропередачи, трансформаторными </w:t>
              <w:br/>
              <w:t xml:space="preserve">и распределительными пунктами).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администрации Орджоникидзевском района города Перми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от 24.12.2024 № 059-37-01-32/3-5524</w:t>
            </w:r>
            <w:r>
              <w:rPr>
                <w:color w:val="000000" w:themeColor="text1"/>
                <w:sz w:val="24"/>
                <w:szCs w:val="24"/>
              </w:rPr>
              <w:t xml:space="preserve">, в акте обследования от 19.12.2024 № 329).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24.04.2025 № 629893, Участок расположен в границах зон </w:t>
              <w:br/>
              <w:t xml:space="preserve">с особыми условиями использования территории: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частично в охранной зоне ВЛ 0,4 кВ от ТП4383, </w:t>
              <w:br/>
              <w:t xml:space="preserve">от ТП4384, от ТП4385, от ТП4386, КЛ</w:t>
            </w:r>
            <w:r>
              <w:rPr>
                <w:color w:val="000000" w:themeColor="text1"/>
                <w:sz w:val="24"/>
                <w:szCs w:val="24"/>
              </w:rPr>
              <w:t xml:space="preserve"> 0,4 кВ от ТП4383, от ТП4385, от ТП4386 (электросетевой комплекс "Подстанция 110/6кВ "Северная" с линиями электропередачи, трансформаторными подстанциями и распределительными пунктами). Реестровый номер границы 59.01.2.179, площадь пересечения – 267 кв. м.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Проектирование и строительст</w:t>
            </w:r>
            <w:r>
              <w:rPr>
                <w:color w:val="000000" w:themeColor="text1"/>
                <w:sz w:val="24"/>
                <w:szCs w:val="24"/>
              </w:rPr>
              <w:t xml:space="preserve">во вести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зон».;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полностью в приаэродромной территории аэродрома аэропорта Большое Савино, реестровый номер границы 59:32-6.553.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Проектирование и строительство вести 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Федерации».</w:t>
            </w:r>
            <w:r>
              <w:rPr>
                <w:color w:val="ff0000"/>
                <w:sz w:val="24"/>
                <w:szCs w:val="24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 Участке произрастает 30 дерево пород – калина 3 шт., липа 2 шт., черемуха 6 шт., береза 12 шт., тополь 6 шт., ель 1 шт.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Победителю аукциона необходимо соблюдать условия строительства, перечисленные в перечне мероприятий по охране окружающей среды от 08.08.2023 № 289 (прилагается).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color w:val="000000" w:themeColor="text1"/>
                <w:sz w:val="24"/>
                <w:szCs w:val="24"/>
              </w:rPr>
              <w:t xml:space="preserve"> от 09.08.2023 № 059-33-01-10/3-614).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Схемами предусмотрено строительство сетей водоснабжения и водоотведения в мкр. Чапаевский, мероприятие финансированием не обеспечено.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(Аналогичная информация отражена в письме  д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епартамента жилищно-коммунального хозяйства администрации города Перми </w:t>
            </w:r>
            <w:r>
              <w:rPr>
                <w:color w:val="000000" w:themeColor="text1"/>
                <w:sz w:val="24"/>
                <w:szCs w:val="24"/>
              </w:rPr>
              <w:t xml:space="preserve">от 28.01.2025 № 059-04-17/3-71-ри).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примыкания Участка к улично-дорожной сети города Перми необходимо выполнить условия, указанные в указанном письме (прилагается).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Также</w:t>
            </w:r>
            <w:r>
              <w:rPr>
                <w:color w:val="000000" w:themeColor="text1"/>
                <w:sz w:val="24"/>
                <w:szCs w:val="24"/>
              </w:rPr>
              <w:t xml:space="preserve"> направляется информация о необходимости соблюдения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и примыканий, в том числе расходы на выполнение дополнительных работ связанных с обеспечен</w:t>
            </w:r>
            <w:r>
              <w:rPr>
                <w:color w:val="000000" w:themeColor="text1"/>
                <w:sz w:val="24"/>
                <w:szCs w:val="24"/>
              </w:rPr>
              <w:t xml:space="preserve">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</w:t>
              <w:br/>
              <w:t xml:space="preserve">или примыканий.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департамента дорог и благоустройства администрации города Перми</w:t>
            </w:r>
            <w:r>
              <w:rPr>
                <w:color w:val="000000" w:themeColor="text1"/>
                <w:sz w:val="24"/>
                <w:szCs w:val="24"/>
              </w:rPr>
              <w:t xml:space="preserve">  от 29.01.2025 № 059-24-01-36/3-279).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Ближайшее подразделение пожарной охраны расположено по адресу: г. Пермь, ул. Волховская, 37 (ПСЧ-57 10-ПСО);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объекты общественной безопасности, отнесенные к объектам полиции (участковые пункты полиции) в данном микрорайоне (Малые Реки) отсутств</w:t>
            </w:r>
            <w:r>
              <w:rPr>
                <w:color w:val="000000" w:themeColor="text1"/>
                <w:sz w:val="24"/>
                <w:szCs w:val="24"/>
              </w:rPr>
              <w:t xml:space="preserve">уют. Ближайший участковый пункт полиции расположен по адресу: г. Пермь, ул. Бенгальская, 6, (микрорайон Бумкомбинат, Орджоникидзевский район). В настоящее время в указанном микрорайоне строительство (приобретение) участковых пунктов полиции не планируется.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Источники противопожарного водоснабжения на указанной территории отсутствуют.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 (письмо от 07.10.2020 № 964с), рассматриваемая территория попадает в зону возможного химического заражения в особый период.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Указанная территория находится в зоне действия региональной автоматизированной системы централизованного оповещения населения города Перми, установленной по пер. Еловский 1-й, 25в - 600 метров.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размещении объек</w:t>
            </w:r>
            <w:r>
              <w:rPr>
                <w:sz w:val="24"/>
                <w:szCs w:val="24"/>
              </w:rPr>
              <w:t xml:space="preserve">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(Аналогичная информация отражена в письме д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епартамента общественной безопасности администрации города Перми</w:t>
            </w:r>
            <w:r>
              <w:rPr>
                <w:color w:val="000000" w:themeColor="text1"/>
                <w:sz w:val="24"/>
                <w:szCs w:val="24"/>
              </w:rPr>
              <w:t xml:space="preserve"> от 24.01.2025 № 059-10-01-27/3-158).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2" w:type="dxa"/>
            <w:textDirection w:val="lrTb"/>
            <w:noWrap w:val="false"/>
          </w:tcPr>
          <w:p>
            <w:pPr>
              <w:pStyle w:val="645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45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ooltip="http://www.gorodperm.ru/" w:history="1">
              <w:r>
                <w:rPr>
                  <w:rStyle w:val="728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45"/>
              <w:ind w:firstLine="31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Согласно градостроительному плану Земельного участка </w:t>
            </w:r>
            <w:r>
              <w:rPr>
                <w:color w:val="000000" w:themeColor="text1"/>
                <w:sz w:val="24"/>
              </w:rPr>
              <w:t xml:space="preserve">от 16.08.2023 № РФ-59-2-03-0-00-2023-1670-0</w:t>
            </w:r>
            <w:r>
              <w:rPr>
                <w:color w:val="000000" w:themeColor="text1"/>
                <w:sz w:val="24"/>
                <w:szCs w:val="24"/>
              </w:rPr>
              <w:t xml:space="preserve"> (далее – ГПЗУ): Минимальный отступ от границ земельного участка – 3 м, до места допустимого размещения зданий, строений (за исключен</w:t>
            </w:r>
            <w:r>
              <w:rPr>
                <w:color w:val="000000" w:themeColor="text1"/>
                <w:sz w:val="24"/>
                <w:szCs w:val="24"/>
              </w:rPr>
              <w:t xml:space="preserve">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границ смежных земельных участков при блокированной жилой застройке).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45"/>
              <w:ind w:firstLine="31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– 30 %.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45"/>
              <w:ind w:firstLine="31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Предельная высота зданий, сооружений – не более 10,5 м.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45"/>
              <w:ind w:firstLine="31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Максимальный выступ за красную линию нависающих частей здания наземных уровней, выступающих из плоскости наружной стены фасада здан</w:t>
            </w:r>
            <w:r>
              <w:rPr>
                <w:color w:val="000000" w:themeColor="text1"/>
                <w:sz w:val="24"/>
                <w:szCs w:val="24"/>
              </w:rPr>
              <w:t xml:space="preserve">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45"/>
              <w:ind w:firstLine="31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случае если в границах территориальной зоны предусматривается осуществление деятельности по комплексному развитию территории, расчет показателей минимально допустимого уровня обеспеченности территории объектами коммунальной, транспортной,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социальной инфраструктур и расчет  показателей максимально допустимого уровня территориальной доступности указанных объектов </w:t>
            </w:r>
            <w:r>
              <w:rPr>
                <w:color w:val="000000" w:themeColor="text1"/>
                <w:sz w:val="24"/>
                <w:szCs w:val="24"/>
              </w:rPr>
              <w:br w:type="textWrapping" w:clear="all"/>
            </w:r>
            <w:r>
              <w:rPr>
                <w:color w:val="000000" w:themeColor="text1"/>
                <w:sz w:val="24"/>
                <w:szCs w:val="24"/>
              </w:rPr>
              <w:t xml:space="preserve">для населения осуществляются в соответствии с утвержденными нормативами градостроительного проектирования.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45"/>
              <w:ind w:firstLine="31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Проектирование и строительство необходимо вести </w:t>
            </w:r>
            <w:r>
              <w:rPr>
                <w:color w:val="000000" w:themeColor="text1"/>
                <w:sz w:val="24"/>
                <w:szCs w:val="24"/>
              </w:rPr>
              <w:br w:type="textWrapping" w:clear="all"/>
            </w:r>
            <w:r>
              <w:rPr>
                <w:color w:val="000000" w:themeColor="text1"/>
                <w:sz w:val="24"/>
                <w:szCs w:val="24"/>
              </w:rPr>
              <w:t xml:space="preserve">в соответствии с пунктом 4.5 СП 55.13330.2016 Свода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Правил. Дома жилые одноквартирные. СНиП 31-02-2001</w:t>
            </w:r>
            <w:r>
              <w:rPr>
                <w:color w:val="000000" w:themeColor="text1"/>
                <w:sz w:val="24"/>
                <w:szCs w:val="24"/>
              </w:rPr>
              <w:t xml:space="preserve">, утвержденным и введенным в действие Приказом Министерства строительства и жилищно-коммунального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хозяйства Российской Федерации от 20.10.2016 № 725/пр.</w:t>
            </w:r>
            <w:r>
              <w:rPr>
                <w:color w:val="000000" w:themeColor="text1"/>
                <w:sz w:val="24"/>
                <w:szCs w:val="24"/>
              </w:rPr>
              <w:t xml:space="preserve"> Дом должен включать комнаты - одну или несколько (общую комнату или гостиную, спальню), а также вспомогательные помещения: переднюю, кухню (в том числе кухню-столовую и (или) к</w:t>
            </w:r>
            <w:r>
              <w:rPr>
                <w:color w:val="000000" w:themeColor="text1"/>
                <w:sz w:val="24"/>
                <w:szCs w:val="24"/>
              </w:rPr>
              <w:t xml:space="preserve">ухню-нишу), ванные комнаты и (или) душевые, туалет (уборную) или совмещенный санузел, переднюю. 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, общей комнаты в доме с числом комнат две и более - </w:t>
            </w:r>
            <w:r>
              <w:rPr>
                <w:color w:val="000000" w:themeColor="text1"/>
                <w:sz w:val="24"/>
                <w:szCs w:val="24"/>
              </w:rPr>
              <w:br w:type="textWrapping" w:clear="all"/>
            </w:r>
            <w:r>
              <w:rPr>
                <w:color w:val="000000" w:themeColor="text1"/>
                <w:sz w:val="24"/>
                <w:szCs w:val="24"/>
              </w:rPr>
              <w:t xml:space="preserve">16 м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, спальни - 8 м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 (на двух человек - 10 м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); кухни - </w:t>
            </w:r>
            <w:r>
              <w:rPr>
                <w:color w:val="000000" w:themeColor="text1"/>
                <w:sz w:val="24"/>
                <w:szCs w:val="24"/>
              </w:rPr>
              <w:br w:type="textWrapping" w:clear="all"/>
            </w:r>
            <w:r>
              <w:rPr>
                <w:color w:val="000000" w:themeColor="text1"/>
                <w:sz w:val="24"/>
                <w:szCs w:val="24"/>
              </w:rPr>
              <w:t xml:space="preserve">8 м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; кухонной зоны в кухне-столовой - 6 м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. В домах </w:t>
            </w:r>
            <w:r>
              <w:rPr>
                <w:color w:val="000000" w:themeColor="text1"/>
                <w:sz w:val="24"/>
                <w:szCs w:val="24"/>
              </w:rPr>
              <w:br w:type="textWrapping" w:clear="all"/>
            </w:r>
            <w:r>
              <w:rPr>
                <w:color w:val="000000" w:themeColor="text1"/>
                <w:sz w:val="24"/>
                <w:szCs w:val="24"/>
              </w:rPr>
              <w:t xml:space="preserve">с одной комнатой допускается проектировать кухни </w:t>
            </w:r>
            <w:r>
              <w:rPr>
                <w:color w:val="000000" w:themeColor="text1"/>
                <w:sz w:val="24"/>
                <w:szCs w:val="24"/>
              </w:rPr>
              <w:br w:type="textWrapping" w:clear="all"/>
            </w:r>
            <w:r>
              <w:rPr>
                <w:color w:val="000000" w:themeColor="text1"/>
                <w:sz w:val="24"/>
                <w:szCs w:val="24"/>
              </w:rPr>
              <w:t xml:space="preserve">или кухни-ниши площадью не менее 5 м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45"/>
              <w:ind w:firstLine="31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Площадь спальни и кухни в мансардном этаже </w:t>
            </w:r>
            <w:r>
              <w:rPr>
                <w:color w:val="000000" w:themeColor="text1"/>
                <w:sz w:val="24"/>
                <w:szCs w:val="24"/>
              </w:rPr>
              <w:br w:type="textWrapping" w:clear="all"/>
            </w:r>
            <w:r>
              <w:rPr>
                <w:color w:val="000000" w:themeColor="text1"/>
                <w:sz w:val="24"/>
                <w:szCs w:val="24"/>
              </w:rPr>
              <w:t xml:space="preserve">(или этаже с наклонными ограждающими конструкциями) допускается не менее 7 м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45"/>
              <w:ind w:firstLine="31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Высота (от пола до потолка) комнат и кухни (кухни-столовой) в климатических районах строительства IА, IБ, IГ, IД, определяемых по </w:t>
            </w:r>
            <w:hyperlink r:id="rId19" w:tooltip="https://login.consultant.ru/link/?req=doc&amp;demo=1&amp;base=STR&amp;n=30822&amp;date=23.01.2024" w:history="1">
              <w:r>
                <w:rPr>
                  <w:color w:val="000000" w:themeColor="text1"/>
                  <w:sz w:val="24"/>
                  <w:szCs w:val="24"/>
                  <w:u w:val="single"/>
                </w:rPr>
                <w:t xml:space="preserve">СП 131.13330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составлять не менее 2,1 м, а высота пути эвакуации -</w:t>
            </w:r>
            <w:r>
              <w:rPr>
                <w:color w:val="000000" w:themeColor="text1"/>
                <w:sz w:val="24"/>
                <w:szCs w:val="24"/>
              </w:rPr>
              <w:t xml:space="preserve"> не менее 2,2 м.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45"/>
              <w:ind w:firstLine="31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жилых комнатах и кухнях, расположенных </w:t>
            </w:r>
            <w:r>
              <w:rPr>
                <w:color w:val="000000" w:themeColor="text1"/>
                <w:sz w:val="24"/>
                <w:szCs w:val="24"/>
              </w:rPr>
              <w:br w:type="textWrapping" w:clear="all"/>
            </w:r>
            <w:r>
              <w:rPr>
                <w:color w:val="000000" w:themeColor="text1"/>
                <w:sz w:val="24"/>
                <w:szCs w:val="24"/>
              </w:rPr>
              <w:t xml:space="preserve">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45"/>
              <w:ind w:firstLine="311"/>
              <w:jc w:val="both"/>
              <w:tabs>
                <w:tab w:val="clear" w:pos="708" w:leader="none"/>
                <w:tab w:val="right" w:pos="6000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Победителю аукциона (единственному участнику) рекомендовано обратиться в уполномоченный орган </w:t>
            </w:r>
            <w:r>
              <w:rPr>
                <w:color w:val="000000" w:themeColor="text1"/>
              </w:rPr>
              <w:br w:type="textWrapping" w:clear="all"/>
            </w:r>
            <w:r>
              <w:rPr>
                <w:color w:val="000000" w:themeColor="text1"/>
              </w:rPr>
              <w:t xml:space="preserve">с уведомлением о планируемом строительстве жилого дома.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45"/>
              <w:ind w:firstLine="0"/>
              <w:jc w:val="both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2"/>
              </w:numPr>
              <w:ind w:left="52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2" w:type="dxa"/>
            <w:textDirection w:val="lrTb"/>
            <w:noWrap w:val="false"/>
          </w:tcPr>
          <w:p>
            <w:pPr>
              <w:pStyle w:val="645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5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0" w:tooltip="http://www.gorodperm.ru/" w:history="1">
              <w:r>
                <w:rPr>
                  <w:rStyle w:val="728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  <w:p>
            <w:pPr>
              <w:pStyle w:val="645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кВт, сообщается следующее.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соо</w:t>
            </w:r>
            <w:r>
              <w:rPr>
                <w:color w:val="000000" w:themeColor="text1"/>
                <w:sz w:val="24"/>
                <w:szCs w:val="24"/>
              </w:rPr>
              <w:t xml:space="preserve">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</w:t>
            </w:r>
            <w:r>
              <w:rPr>
                <w:color w:val="000000" w:themeColor="text1"/>
                <w:sz w:val="24"/>
                <w:szCs w:val="24"/>
              </w:rPr>
              <w:t xml:space="preserve">м, к электрическим сетям», утвержденными постановлением Правительства Российской Федерации от 27.12.2004 № 861 (далее – Правила), конкретные технические условия на энергосбережение объекта разрабатываются в составе договора о технологическом присоединении.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Плата за технологическое присоединение энергопринимающих устройств устанавливае</w:t>
            </w:r>
            <w:r>
              <w:rPr>
                <w:color w:val="000000" w:themeColor="text1"/>
                <w:sz w:val="24"/>
                <w:szCs w:val="24"/>
              </w:rPr>
              <w:t xml:space="preserve">тся исходя из стоимости мероприятий по технологическому присоединению,  размер платы определяется по утвержденным тарифам согласно постановлению Министерства тарифного регулирования и энергетики Пермского края от 23.11.2023 № 121-тп (в последней редакции).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об осуществлении технологического присоединения объекта к электрическим сетям филиала «Пермэнерго».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Филиала ПАО «Россети Урал» - «Пермэнерго» (ранее – ОАО «МРСК Урала – филиал Пермэнерго»)</w:t>
            </w:r>
            <w:r>
              <w:rPr>
                <w:color w:val="000000" w:themeColor="text1"/>
                <w:sz w:val="24"/>
                <w:szCs w:val="24"/>
              </w:rPr>
              <w:t xml:space="preserve"> от 05.02.2025 ПЭ/ПГЭС/01/22/1227).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8м3/час к существующим сетям газораспределения имеется.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определения местораспроложения газораспределительных сетей на Участке необходимо </w:t>
            </w:r>
            <w:r>
              <w:rPr>
                <w:color w:val="000000" w:themeColor="text1"/>
                <w:sz w:val="24"/>
                <w:szCs w:val="24"/>
              </w:rPr>
              <w:t xml:space="preserve">направить в адрес филиала в г. Пермь АО «Газпром газораспределение Пермь» инженерно-топографический план на бумажном носители, выполненный в масштабе 1:500, в координатах г. Перми, на котором отображены рельеф местности, объекты ситуации и границы Участка.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АО «Газпром газораспределение Пермь»</w:t>
            </w:r>
            <w:r>
              <w:rPr>
                <w:color w:val="000000" w:themeColor="text1"/>
                <w:sz w:val="24"/>
                <w:szCs w:val="24"/>
              </w:rPr>
              <w:t xml:space="preserve"> от 27.01.2025 № ПФ-441).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– 1,0 м3/сут. к централизованным системам водоснабжения и водоотведения сообщается следующее.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Централизованные сети водопровода и канализации,  эксплуатируемые ООО «НОВОГОР-Прикамье» отсутствуют.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Альтернативным методом снаб</w:t>
            </w:r>
            <w:r>
              <w:rPr>
                <w:color w:val="000000" w:themeColor="text1"/>
                <w:sz w:val="24"/>
                <w:szCs w:val="24"/>
              </w:rPr>
              <w:t xml:space="preserve">жения водой Участка может быть скважина, отвод канализационных стоков возможен на локальные очистные сооружения либо в выгребную яму с последующим вывозом стоков спец. машинами, при этом состав стоков должен соответствовать всем нормативным требованиям РФ.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ООО «НОВОГОР-Прикамье»</w:t>
            </w:r>
            <w:r>
              <w:rPr>
                <w:color w:val="000000" w:themeColor="text1"/>
                <w:sz w:val="24"/>
                <w:szCs w:val="24"/>
              </w:rPr>
              <w:t xml:space="preserve"> от 27.01.2025 № 110-0896).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Участок расположен вне зоны теплоснабжения ПАО                «Т Плюс».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запроса информации о возможности подключения земельного участка рекомендуется обратиться к собственнику близлежащих тепловых сетей/источников теплоснабжения или рассмотреть возможность альтернативного источника теплоснабжения.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Филиала «Пермский ПАО   «Т Плюс»</w:t>
            </w:r>
            <w:r>
              <w:rPr>
                <w:color w:val="000000" w:themeColor="text1"/>
                <w:sz w:val="24"/>
                <w:szCs w:val="24"/>
              </w:rPr>
              <w:t xml:space="preserve"> от 04.02.2025 № 51000-32-00283).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Техническое присоединение планируе</w:t>
            </w:r>
            <w:r>
              <w:rPr>
                <w:color w:val="000000" w:themeColor="text1"/>
                <w:sz w:val="24"/>
                <w:szCs w:val="24"/>
              </w:rPr>
              <w:t xml:space="preserve">мых к строительству объектов в границах Участка может быть произведено в точке подключения – узел ВОЛС (г. Пермь, ул. Генерала Доватора, д. 1), максимальную нагрузку в точке подключения (технологического присоединения) определить </w:t>
              <w:br/>
              <w:t xml:space="preserve">на стадии проектирования.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317"/>
              <w:jc w:val="both"/>
              <w:spacing w:before="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подключения (технологического присоединения) </w:t>
            </w:r>
            <w:r>
              <w:rPr>
                <w:color w:val="000000" w:themeColor="text1"/>
                <w:sz w:val="24"/>
                <w:szCs w:val="24"/>
              </w:rPr>
              <w:t xml:space="preserve">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ПАО «Ростелеком» от 29.01.2025 № 01/05/13040/25).</w:t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left="0" w:right="0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45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textDirection w:val="lrTb"/>
            <w:noWrap w:val="false"/>
          </w:tcPr>
          <w:p>
            <w:pPr>
              <w:pStyle w:val="645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Начальная цена предмета аукциона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5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b/>
                <w:sz w:val="24"/>
                <w:szCs w:val="24"/>
                <w:shd w:val="clear" w:color="auto" w:fill="auto"/>
              </w:rPr>
              <w:t xml:space="preserve">(рыночная стоимость земельного участка)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5"/>
              <w:ind w:left="0" w:right="0" w:firstLine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45"/>
              <w:ind w:left="0" w:right="0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4"/>
              </w:rPr>
              <w:t xml:space="preserve">По условиям пункта 4.1 проекта договора купли-продажи земельного участка, приобретаемого на торгах в форме аукциона, для строительства (Приложение 2 к настоящему извещению),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645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победитель аукциона, иное лицо, с которым договор заключается в соответствии с п.13, п.14, п. 20 или п. 25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5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в течение 15 дней</w:t>
            </w:r>
            <w:r>
              <w:rPr>
                <w:sz w:val="24"/>
                <w:szCs w:val="24"/>
                <w:shd w:val="clear" w:color="auto" w:fill="auto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val="clear" w:color="auto" w:fill="auto"/>
              </w:rPr>
              <w:t xml:space="preserve">за земельный участок (за вычетом задатка, внесенного для участия в</w:t>
            </w:r>
            <w:r>
              <w:rPr>
                <w:sz w:val="24"/>
                <w:szCs w:val="24"/>
                <w:shd w:val="clear" w:color="auto" w:fill="auto"/>
              </w:rPr>
              <w:t xml:space="preserve"> аукционе) 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2 к настоящему извещению)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2" w:type="dxa"/>
            <w:textDirection w:val="lrTb"/>
            <w:noWrap w:val="false"/>
          </w:tcPr>
          <w:p>
            <w:pPr>
              <w:pStyle w:val="6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2 324 000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textDirection w:val="lrTb"/>
            <w:noWrap w:val="false"/>
          </w:tcPr>
          <w:p>
            <w:pPr>
              <w:pStyle w:val="645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«Шаг аукциона» (5%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2" w:type="dxa"/>
            <w:textDirection w:val="lrTb"/>
            <w:noWrap w:val="false"/>
          </w:tcPr>
          <w:p>
            <w:pPr>
              <w:pStyle w:val="6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116 200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textDirection w:val="lrTb"/>
            <w:noWrap w:val="false"/>
          </w:tcPr>
          <w:p>
            <w:pPr>
              <w:pStyle w:val="645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Форма заявки на участие в аукционе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5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2" w:type="dxa"/>
            <w:textDirection w:val="lrTb"/>
            <w:noWrap w:val="false"/>
          </w:tcPr>
          <w:p>
            <w:pPr>
              <w:pStyle w:val="6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  <w:r>
              <w:rPr>
                <w:sz w:val="24"/>
                <w:szCs w:val="24"/>
              </w:rPr>
            </w:r>
          </w:p>
          <w:p>
            <w:pPr>
              <w:pStyle w:val="6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</w:p>
          <w:p>
            <w:pPr>
              <w:pStyle w:val="6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textDirection w:val="lrTb"/>
            <w:noWrap w:val="false"/>
          </w:tcPr>
          <w:p>
            <w:pPr>
              <w:pStyle w:val="645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Размер задатка (50%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5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2" w:type="dxa"/>
            <w:textDirection w:val="lrTb"/>
            <w:noWrap w:val="false"/>
          </w:tcPr>
          <w:p>
            <w:pPr>
              <w:pStyle w:val="6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1 162 000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textDirection w:val="lrTb"/>
            <w:noWrap w:val="false"/>
          </w:tcPr>
          <w:p>
            <w:pPr>
              <w:pStyle w:val="645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z w:val="24"/>
                <w:szCs w:val="24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5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2" w:type="dxa"/>
            <w:textDirection w:val="lrTb"/>
            <w:noWrap w:val="false"/>
          </w:tcPr>
          <w:p>
            <w:pPr>
              <w:pStyle w:val="6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25.03.2022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textDirection w:val="lrTb"/>
            <w:noWrap w:val="false"/>
          </w:tcPr>
          <w:p>
            <w:pPr>
              <w:pStyle w:val="645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купли-продажи земельного участка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2" w:type="dxa"/>
            <w:textDirection w:val="lrTb"/>
            <w:noWrap w:val="false"/>
          </w:tcPr>
          <w:p>
            <w:pPr>
              <w:pStyle w:val="6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2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textDirection w:val="lrTb"/>
            <w:noWrap w:val="false"/>
          </w:tcPr>
          <w:p>
            <w:pPr>
              <w:pStyle w:val="645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2" w:type="dxa"/>
            <w:textDirection w:val="lrTb"/>
            <w:noWrap w:val="false"/>
          </w:tcPr>
          <w:p>
            <w:pPr>
              <w:pStyle w:val="6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45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pStyle w:val="645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/>
      <w:bookmarkStart w:id="1" w:name="_GoBack"/>
      <w:r/>
      <w:bookmarkEnd w:id="1"/>
      <w:r/>
      <w:r>
        <w:rPr>
          <w:sz w:val="20"/>
          <w:szCs w:val="20"/>
          <w:highlight w:val="none"/>
        </w:rPr>
      </w:r>
    </w:p>
    <w:p>
      <w:pPr>
        <w:pStyle w:val="645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lang w:bidi="ru-RU"/>
        </w:rPr>
      </w:r>
    </w:p>
    <w:p>
      <w:pPr>
        <w:pStyle w:val="645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45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08.05.2025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</w:p>
    <w:p>
      <w:pPr>
        <w:pStyle w:val="645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45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03.06.2025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</w:p>
    <w:p>
      <w:pPr>
        <w:pStyle w:val="645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45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04.06.2025. </w:t>
      </w:r>
      <w:r>
        <w:rPr>
          <w:rFonts w:eastAsia="Courier New"/>
          <w:lang w:bidi="ru-RU"/>
        </w:rPr>
      </w:r>
    </w:p>
    <w:p>
      <w:pPr>
        <w:pStyle w:val="645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45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 xml:space="preserve">от участников аукциона) – 05.06</w:t>
      </w:r>
      <w:r>
        <w:rPr>
          <w:rFonts w:eastAsia="Courier New"/>
          <w:b/>
          <w:lang w:bidi="ru-RU"/>
        </w:rPr>
        <w:t xml:space="preserve">.2025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</w:p>
    <w:p>
      <w:pPr>
        <w:pStyle w:val="645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45"/>
        <w:ind w:left="-567" w:firstLine="709"/>
        <w:jc w:val="both"/>
        <w:widowControl w:val="off"/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645"/>
        <w:jc w:val="both"/>
        <w:widowControl w:val="off"/>
      </w:pPr>
      <w:r/>
      <w:r/>
    </w:p>
    <w:p>
      <w:pPr>
        <w:pStyle w:val="645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5"/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</w:p>
    <w:p>
      <w:pPr>
        <w:pStyle w:val="645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5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645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645"/>
        <w:ind w:left="-567" w:firstLine="709"/>
        <w:jc w:val="both"/>
        <w:widowControl w:val="off"/>
      </w:pPr>
      <w:r/>
      <w:r/>
    </w:p>
    <w:p>
      <w:pPr>
        <w:pStyle w:val="645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</w:p>
    <w:p>
      <w:pPr>
        <w:pStyle w:val="645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45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</w:p>
    <w:p>
      <w:pPr>
        <w:pStyle w:val="645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</w:p>
    <w:p>
      <w:pPr>
        <w:pStyle w:val="645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</w:p>
    <w:p>
      <w:pPr>
        <w:pStyle w:val="645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</w:p>
    <w:p>
      <w:pPr>
        <w:pStyle w:val="645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</w:p>
    <w:p>
      <w:pPr>
        <w:pStyle w:val="645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1" w:tooltip="http://utp.sberbank-ast.ru/AP/Notice/653/Requisites" w:history="1">
        <w:r>
          <w:rPr>
            <w:rStyle w:val="728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</w:p>
    <w:p>
      <w:pPr>
        <w:pStyle w:val="645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</w:p>
    <w:p>
      <w:pPr>
        <w:pStyle w:val="645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</w:p>
    <w:p>
      <w:pPr>
        <w:pStyle w:val="645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645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</w:p>
    <w:p>
      <w:pPr>
        <w:pStyle w:val="645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</w:p>
    <w:p>
      <w:pPr>
        <w:pStyle w:val="645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</w:p>
    <w:p>
      <w:pPr>
        <w:pStyle w:val="645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</w:p>
    <w:p>
      <w:pPr>
        <w:pStyle w:val="645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08.05.2025 по 03.06.2025.</w:t>
      </w:r>
      <w:r>
        <w:rPr>
          <w:bCs/>
          <w:lang w:bidi="ru-RU"/>
        </w:rPr>
      </w:r>
    </w:p>
    <w:p>
      <w:pPr>
        <w:pStyle w:val="645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45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</w:p>
    <w:p>
      <w:pPr>
        <w:pStyle w:val="645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45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</w:t>
      </w:r>
      <w:r>
        <w:rPr>
          <w:bCs/>
          <w:shd w:val="clear" w:color="auto" w:fill="auto"/>
          <w:lang w:bidi="ru-RU"/>
        </w:rPr>
        <w:t xml:space="preserve">бочих дней со дня подписания протокола о результатах аукциона, </w:t>
      </w:r>
      <w:r>
        <w:rPr>
          <w:b w:val="0"/>
          <w:bCs/>
          <w:shd w:val="clear" w:color="auto" w:fill="auto"/>
          <w:lang w:bidi="ru-RU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участка.</w:t>
      </w:r>
      <w:r>
        <w:rPr>
          <w:lang w:bidi="ru-RU"/>
        </w:rPr>
      </w:r>
    </w:p>
    <w:p>
      <w:pPr>
        <w:pStyle w:val="645"/>
        <w:contextualSpacing/>
        <w:ind w:left="-567" w:firstLine="567"/>
        <w:jc w:val="both"/>
        <w:spacing w:before="0" w:after="0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</w:t>
      </w:r>
      <w:r>
        <w:rPr>
          <w:shd w:val="clear" w:color="auto" w:fill="auto"/>
          <w:lang w:bidi="ru-RU"/>
        </w:rPr>
        <w:t xml:space="preserve">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0"/>
          <w:shd w:val="clear" w:color="auto" w:fill="auto"/>
          <w:lang w:bidi="ru-RU"/>
        </w:rPr>
        <w:t xml:space="preserve">участника аукциона, который сделал предпоследнее предложение о цене предмета аукциона.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установленные сроки формирует поручение Оператору: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- о</w:t>
      </w:r>
      <w:r>
        <w:rPr>
          <w:shd w:val="clear" w:color="auto" w:fill="auto"/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пунктами 13, 14, 20 или 25 ст. 39.12 Земельного кодекса Российской Федерации, засчиты</w:t>
      </w:r>
      <w:r>
        <w:rPr>
          <w:bCs/>
          <w:shd w:val="clear" w:color="auto" w:fill="auto"/>
          <w:lang w:bidi="ru-RU"/>
        </w:rPr>
        <w:t xml:space="preserve">ваются в оплату приобретаемого земельного участка.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указанного договора, не возвращаются. </w:t>
      </w:r>
      <w:r>
        <w:rPr>
          <w:highlight w:val="none"/>
          <w:shd w:val="clear" w:color="auto" w:fill="auto"/>
        </w:rPr>
      </w:r>
    </w:p>
    <w:p>
      <w:pPr>
        <w:pStyle w:val="645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45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вправе:</w:t>
      </w:r>
      <w:r>
        <w:rPr>
          <w:highlight w:val="none"/>
          <w:shd w:val="clear" w:color="auto" w:fill="auto"/>
        </w:rPr>
      </w:r>
    </w:p>
    <w:p>
      <w:pPr>
        <w:pStyle w:val="645"/>
        <w:jc w:val="center"/>
        <w:widowControl w:val="off"/>
        <w:rPr>
          <w:rFonts w:eastAsia="Courier New"/>
          <w:highlight w:val="none"/>
          <w:shd w:val="clear" w:color="auto" w:fill="auto"/>
          <w:lang w:bidi="ru-RU"/>
        </w:rPr>
      </w:pPr>
      <w:r>
        <w:rPr>
          <w:rFonts w:eastAsia="Courier New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</w:p>
    <w:p>
      <w:pPr>
        <w:pStyle w:val="738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Не позднее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www.gorodperm.ru.</w:t>
      </w:r>
      <w:r>
        <w:rPr>
          <w:highlight w:val="none"/>
          <w:shd w:val="clear" w:color="auto" w:fill="auto"/>
        </w:rPr>
      </w:r>
    </w:p>
    <w:p>
      <w:pPr>
        <w:pStyle w:val="738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widowControl w:val="off"/>
      </w:pPr>
      <w:r>
        <w:rPr>
          <w:shd w:val="clear" w:color="auto" w:fill="auto"/>
        </w:rP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</w:t>
      </w:r>
      <w:r>
        <w:rPr>
          <w:shd w:val="clear" w:color="auto" w:fill="auto"/>
        </w:rPr>
        <w:t xml:space="preserve">о проведении аукциона. </w:t>
      </w:r>
      <w:r/>
    </w:p>
    <w:p>
      <w:pPr>
        <w:pStyle w:val="645"/>
        <w:jc w:val="center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45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обязан:  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widowControl w:val="off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64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 </w:t>
      </w:r>
      <w:r>
        <w:rPr>
          <w:shd w:val="clear" w:color="auto" w:fill="auto"/>
        </w:rPr>
        <w:t xml:space="preserve"> и на электронной площадке в течение трех дней со дня принятия данного решения.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случае отказа от проведения аукциона организатором (в т. ч. одного или нескольких лотов),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>
        <w:rPr>
          <w:highlight w:val="none"/>
          <w:shd w:val="clear" w:color="auto" w:fill="auto"/>
        </w:rPr>
      </w:r>
    </w:p>
    <w:p>
      <w:pPr>
        <w:pStyle w:val="645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45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rFonts w:eastAsia="Courier New"/>
          <w:b/>
          <w:shd w:val="clear" w:color="auto" w:fill="auto"/>
          <w:lang w:bidi="ru-RU"/>
        </w:rPr>
        <w:t xml:space="preserve">Порядок регистрации на электронной площадке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709"/>
        <w:jc w:val="both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4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08.05.2025 по 03.06.2025 с 9.00 до 18.00 по местному времени (7:00 – 16:00 МСК). </w:t>
      </w:r>
      <w:r>
        <w:rPr>
          <w:highlight w:val="none"/>
          <w:shd w:val="clear" w:color="auto" w:fill="auto"/>
        </w:rPr>
      </w:r>
    </w:p>
    <w:p>
      <w:pPr>
        <w:pStyle w:val="775"/>
        <w:jc w:val="center"/>
        <w:rPr>
          <w:highlight w:val="none"/>
          <w:shd w:val="clear" w:color="auto" w:fill="auto"/>
        </w:rPr>
      </w:pPr>
      <w:r>
        <w:rPr>
          <w:b/>
          <w:color w:val="000000"/>
          <w:shd w:val="clear" w:color="auto" w:fill="auto"/>
        </w:rPr>
        <w:t xml:space="preserve">Разъяснение положений извещения о проведении аукциона</w:t>
      </w:r>
      <w:r>
        <w:rPr>
          <w:highlight w:val="none"/>
          <w:shd w:val="clear" w:color="auto" w:fill="auto"/>
        </w:rPr>
      </w:r>
    </w:p>
    <w:p>
      <w:pPr>
        <w:pStyle w:val="74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shd w:val="clear" w:color="auto" w:fill="auto"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highlight w:val="none"/>
          <w:shd w:val="clear" w:color="auto" w:fill="auto"/>
        </w:rPr>
      </w:r>
    </w:p>
    <w:p>
      <w:pPr>
        <w:pStyle w:val="74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709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45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Требования к содержанию и составу заявки на участие в аукционе</w:t>
      </w:r>
      <w:r>
        <w:rPr>
          <w:highlight w:val="none"/>
          <w:shd w:val="clear" w:color="auto" w:fill="auto"/>
        </w:rPr>
      </w:r>
    </w:p>
    <w:p>
      <w:pPr>
        <w:pStyle w:val="645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45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shd w:val="clear" w:color="auto" w:fill="auto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Courier New"/>
          <w:shd w:val="clear" w:color="auto" w:fill="auto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val="clear" w:color="auto" w:fill="auto"/>
          <w:lang w:bidi="ru-RU"/>
        </w:rPr>
        <w:br w:type="textWrapping" w:clear="all"/>
      </w:r>
      <w:r>
        <w:rPr>
          <w:rFonts w:eastAsia="Courier New"/>
          <w:shd w:val="clear" w:color="auto" w:fill="auto"/>
          <w:lang w:bidi="ru-RU"/>
        </w:rPr>
        <w:t xml:space="preserve">о проведении аукциона срок следующие документы: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r>
        <w:rPr>
          <w:highlight w:val="none"/>
          <w:shd w:val="clear" w:color="auto" w:fill="auto"/>
        </w:rPr>
      </w:r>
    </w:p>
    <w:p>
      <w:pPr>
        <w:pStyle w:val="645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копии документов, удостоверяющих личность заявителя (для граждан), всех страниц;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highlight w:val="none"/>
          <w:shd w:val="clear" w:color="auto" w:fill="auto"/>
        </w:rPr>
      </w:r>
    </w:p>
    <w:p>
      <w:pPr>
        <w:pStyle w:val="645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4) документы, подтверждающие внесение задатка.</w:t>
      </w:r>
      <w:r>
        <w:rPr>
          <w:highlight w:val="none"/>
          <w:shd w:val="clear" w:color="auto" w:fill="auto"/>
        </w:rPr>
      </w:r>
    </w:p>
    <w:p>
      <w:pPr>
        <w:pStyle w:val="645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45"/>
        <w:ind w:firstLine="708"/>
        <w:jc w:val="center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Инструкция по заполнению и подаче заявки, порядок приема заявки</w:t>
      </w:r>
      <w:r>
        <w:rPr>
          <w:highlight w:val="none"/>
          <w:shd w:val="clear" w:color="auto" w:fill="auto"/>
        </w:rPr>
      </w:r>
    </w:p>
    <w:p>
      <w:pPr>
        <w:pStyle w:val="645"/>
        <w:ind w:firstLine="708"/>
        <w:jc w:val="center"/>
        <w:rPr>
          <w:b/>
          <w:highlight w:val="none"/>
          <w:shd w:val="clear" w:color="auto" w:fill="auto"/>
        </w:rPr>
      </w:pPr>
      <w:r>
        <w:rPr>
          <w:b/>
          <w:shd w:val="clear" w:color="auto" w:fill="auto"/>
        </w:rPr>
      </w:r>
      <w:r>
        <w:rPr>
          <w:b/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rPr>
          <w:shd w:val="clear" w:color="auto" w:fill="auto"/>
        </w:rP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Подача заявки осуществляется заявителем, зарегистрированным в торговой секции,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вправе подать заявку в любое время с момента размещения извещения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 до предусмотренных указанным извещением даты и времени окончания срока подачи заявок.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Один заявитель вправе подать только одну заявку на участие в аукционе в отношении каждого лота.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Участие в аукционе возможно при наличии на лицевом счете заявителя денежных средств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Все документы, входящие в состав заявки, должны иметь четко читаемый текст.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предоставляется организатору аукциона через Оператора.</w:t>
      </w:r>
      <w:r>
        <w:rPr>
          <w:highlight w:val="none"/>
          <w:shd w:val="clear" w:color="auto" w:fill="auto"/>
        </w:rPr>
      </w:r>
    </w:p>
    <w:p>
      <w:pPr>
        <w:pStyle w:val="645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Заявка не может быть принята Оператором в случае:</w:t>
      </w:r>
      <w:r>
        <w:rPr>
          <w:highlight w:val="none"/>
          <w:shd w:val="clear" w:color="auto" w:fill="auto"/>
        </w:rPr>
      </w:r>
    </w:p>
    <w:p>
      <w:pPr>
        <w:pStyle w:val="645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в размере задатка;</w:t>
      </w:r>
      <w:r>
        <w:rPr>
          <w:highlight w:val="none"/>
          <w:shd w:val="clear" w:color="auto" w:fill="auto"/>
        </w:rPr>
      </w:r>
    </w:p>
    <w:p>
      <w:pPr>
        <w:pStyle w:val="645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highlight w:val="none"/>
          <w:shd w:val="clear" w:color="auto" w:fill="auto"/>
        </w:rPr>
      </w:r>
    </w:p>
    <w:p>
      <w:pPr>
        <w:pStyle w:val="645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в) подачи заявки по истечении установленного срока подачи заявок;</w:t>
      </w:r>
      <w:r>
        <w:rPr>
          <w:highlight w:val="none"/>
          <w:shd w:val="clear" w:color="auto" w:fill="auto"/>
        </w:rPr>
      </w:r>
    </w:p>
    <w:p>
      <w:pPr>
        <w:pStyle w:val="645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highlight w:val="none"/>
          <w:shd w:val="clear" w:color="auto" w:fill="auto"/>
        </w:rPr>
      </w:r>
    </w:p>
    <w:p>
      <w:pPr>
        <w:pStyle w:val="645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Заявителям, признанным участниками аукциона, и зая</w:t>
      </w:r>
      <w:r>
        <w:rPr>
          <w:bCs/>
          <w:shd w:val="clear" w:color="auto" w:fill="auto"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</w:p>
    <w:p>
      <w:pPr>
        <w:pStyle w:val="645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</w:r>
      <w:r>
        <w:rPr>
          <w:bCs/>
          <w:highlight w:val="none"/>
          <w:shd w:val="clear" w:color="auto" w:fill="auto"/>
        </w:rPr>
      </w:r>
    </w:p>
    <w:p>
      <w:pPr>
        <w:pStyle w:val="645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  <w:lang w:bidi="ru-RU"/>
        </w:rPr>
        <w:t xml:space="preserve">Порядок и срок изменения, отзыва заявки на участие в аукционе</w:t>
      </w:r>
      <w:r>
        <w:rPr>
          <w:highlight w:val="none"/>
          <w:shd w:val="clear" w:color="auto" w:fill="auto"/>
        </w:rPr>
      </w:r>
    </w:p>
    <w:p>
      <w:pPr>
        <w:pStyle w:val="645"/>
        <w:ind w:left="502"/>
        <w:widowControl w:val="off"/>
        <w:rPr>
          <w:b/>
          <w:bCs/>
          <w:highlight w:val="none"/>
          <w:shd w:val="clear" w:color="auto" w:fill="auto"/>
          <w:lang w:bidi="ru-RU"/>
        </w:rPr>
      </w:pPr>
      <w:r>
        <w:rPr>
          <w:b/>
          <w:bCs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</w:p>
    <w:p>
      <w:pPr>
        <w:pStyle w:val="64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имеет право отозвать принятую организатором аукциона заявку на участие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аукционе до дня окончания срока приема заявок, путем направлен</w:t>
      </w:r>
      <w:r>
        <w:rPr>
          <w:shd w:val="clear" w:color="auto" w:fill="auto"/>
        </w:rP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rPr>
          <w:shd w:val="clear" w:color="auto" w:fill="auto"/>
        </w:rP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45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Определение участников аукциона</w:t>
      </w:r>
      <w:r>
        <w:rPr>
          <w:highlight w:val="none"/>
          <w:shd w:val="clear" w:color="auto" w:fill="auto"/>
        </w:rPr>
      </w:r>
    </w:p>
    <w:p>
      <w:pPr>
        <w:pStyle w:val="645"/>
        <w:jc w:val="center"/>
        <w:rPr>
          <w:b/>
          <w:bCs/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к участию в аукционе или об отказе в допуске к участию в аукционе.</w:t>
      </w:r>
      <w:r>
        <w:rPr>
          <w:highlight w:val="none"/>
          <w:shd w:val="clear" w:color="auto" w:fill="auto"/>
        </w:rPr>
      </w:r>
    </w:p>
    <w:p>
      <w:pPr>
        <w:pStyle w:val="645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не допускается к участию в аукционе в следующих случаях: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z w:val="20"/>
          <w:shd w:val="clear" w:color="auto" w:fill="auto"/>
        </w:rPr>
        <w:t xml:space="preserve">1) </w:t>
      </w:r>
      <w:r>
        <w:rPr>
          <w:shd w:val="clear" w:color="auto" w:fill="auto"/>
        </w:rPr>
        <w:t xml:space="preserve">непредставление необходимых для участия в аукционе документов или представление недостоверных сведений;</w:t>
      </w:r>
      <w:r>
        <w:rPr>
          <w:highlight w:val="none"/>
          <w:shd w:val="clear" w:color="auto" w:fill="auto"/>
        </w:rPr>
      </w:r>
    </w:p>
    <w:p>
      <w:pPr>
        <w:pStyle w:val="645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2) непоступление задатка на дату рассмотрения заявок на участие в аукционе;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3) подача заяв</w:t>
      </w:r>
      <w:r>
        <w:rPr>
          <w:shd w:val="clear" w:color="auto" w:fill="auto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4) наличие свед</w:t>
      </w:r>
      <w:r>
        <w:rPr>
          <w:shd w:val="clear" w:color="auto" w:fill="auto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день при</w:t>
      </w:r>
      <w:r>
        <w:rPr>
          <w:shd w:val="clear" w:color="auto" w:fill="auto"/>
        </w:rP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приобретает статус участника аукциона с момента подписания протокола рассмотрения заявок.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Не позднее следующего рабочего дня </w:t>
      </w:r>
      <w:r>
        <w:rPr>
          <w:shd w:val="clear" w:color="auto" w:fill="auto"/>
        </w:rPr>
        <w:t xml:space="preserve">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  <w:r>
        <w:rPr>
          <w:highlight w:val="none"/>
          <w:shd w:val="clear" w:color="auto" w:fill="auto"/>
        </w:rPr>
      </w:r>
    </w:p>
    <w:p>
      <w:pPr>
        <w:pStyle w:val="73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spacing w:line="276" w:lineRule="auto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45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Порядок проведения аукциона</w:t>
      </w:r>
      <w:r>
        <w:rPr>
          <w:highlight w:val="none"/>
          <w:shd w:val="clear" w:color="auto" w:fill="auto"/>
        </w:rPr>
      </w:r>
    </w:p>
    <w:p>
      <w:pPr>
        <w:pStyle w:val="645"/>
        <w:ind w:left="502"/>
        <w:jc w:val="center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5% от начальной цены предмета аукциона</w:t>
      </w:r>
      <w:r>
        <w:rPr>
          <w:rFonts w:eastAsia="Calibri"/>
          <w:shd w:val="clear" w:color="auto" w:fill="auto"/>
        </w:rPr>
        <w:t xml:space="preserve">, и не изменяется в течение всего времени подачи предложений о цене.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цене предмета аукциона на величину «шага аукциона»;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для подачи предложений о цене аукциона определяется в следующем порядке: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10 (десять) минут. При поступлении предложения участн</w:t>
      </w:r>
      <w:r>
        <w:rPr>
          <w:rFonts w:eastAsia="Calibri"/>
          <w:shd w:val="clear" w:color="auto" w:fill="auto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</w:t>
      </w:r>
      <w:r>
        <w:rPr>
          <w:rFonts w:eastAsia="Calibri"/>
          <w:shd w:val="clear" w:color="auto" w:fill="auto"/>
        </w:rPr>
        <w:t xml:space="preserve">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 xml:space="preserve">а так же как время, оставшееся до окончания торгов в минутах.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ниже начальной цены;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равно нулю;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за земельный участок.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45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Порядок и срок заключения договора</w:t>
      </w:r>
      <w:r>
        <w:rPr>
          <w:b/>
          <w:bCs/>
          <w:shd w:val="clear" w:color="auto" w:fill="auto"/>
        </w:rPr>
        <w:br w:type="textWrapping" w:clear="all"/>
      </w:r>
      <w:r>
        <w:rPr>
          <w:highlight w:val="none"/>
          <w:shd w:val="clear" w:color="auto" w:fill="auto"/>
        </w:rPr>
      </w:r>
    </w:p>
    <w:p>
      <w:pPr>
        <w:pStyle w:val="645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</w:t>
      </w:r>
      <w:r>
        <w:rPr>
          <w:bCs/>
          <w:shd w:val="clear" w:color="auto" w:fill="auto"/>
        </w:rPr>
        <w:t xml:space="preserve">ения аукциона не допускается заключение договора купли-продажи земельного участка,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ли аукцион признан несостоявшимся, либо протокола о результатах аукциона на официальных сайтах www.torgi.gov.ru,  www.gorodperm.ru.</w:t>
      </w:r>
      <w:r>
        <w:rPr>
          <w:highlight w:val="none"/>
          <w:shd w:val="clear" w:color="auto" w:fill="auto"/>
        </w:rPr>
      </w:r>
    </w:p>
    <w:p>
      <w:pPr>
        <w:pStyle w:val="645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Департамент земельных отношений администрации города Перми обязан в течение п</w:t>
      </w:r>
      <w:r>
        <w:rPr>
          <w:bCs/>
          <w:shd w:val="clear" w:color="auto" w:fill="auto"/>
        </w:rPr>
        <w:t xml:space="preserve">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</w:t>
      </w:r>
      <w:r>
        <w:rPr>
          <w:bCs/>
          <w:shd w:val="clear" w:color="auto" w:fill="auto"/>
        </w:rPr>
        <w:t xml:space="preserve">й Федерации заключается договор купли-продажи земельного участка, находящегося </w:t>
        <w:br/>
        <w:t xml:space="preserve">в государственной или муниципальной собственности, подписанный проект договора купли-продажи земельного участка, находящегося в государственной или муниципальной собственности.</w:t>
      </w:r>
      <w:r>
        <w:rPr>
          <w:highlight w:val="none"/>
          <w:shd w:val="clear" w:color="auto" w:fill="auto"/>
        </w:rPr>
      </w:r>
    </w:p>
    <w:p>
      <w:pPr>
        <w:pStyle w:val="645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</w:t>
      </w:r>
      <w:r>
        <w:rPr>
          <w:bCs/>
          <w:shd w:val="clear" w:color="auto" w:fill="auto"/>
        </w:rPr>
        <w:t xml:space="preserve">езультатам проведения аукциона договор купли-продажи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Проект договора является частью извещения и представлен в Приложении 2  к настоящему извещению.</w:t>
        <w:tab/>
      </w:r>
      <w:r>
        <w:rPr>
          <w:highlight w:val="none"/>
          <w:shd w:val="clear" w:color="auto" w:fill="auto"/>
        </w:rPr>
      </w:r>
    </w:p>
    <w:p>
      <w:pPr>
        <w:pStyle w:val="645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Если договор купли-продажи  в течение десяти рабочих дней со дня направления победителю аукциона проекта указанного договора не был им подп</w:t>
      </w:r>
      <w:r>
        <w:rPr>
          <w:bCs/>
          <w:shd w:val="clear" w:color="auto" w:fill="auto"/>
        </w:rPr>
        <w:t xml:space="preserve">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</w:t>
      </w:r>
      <w:r>
        <w:rPr>
          <w:b w:val="0"/>
          <w:bCs/>
          <w:shd w:val="clear" w:color="auto" w:fill="auto"/>
        </w:rPr>
        <w:t xml:space="preserve">для их заключения по цене, предложенной таким участником аукциона.</w:t>
      </w:r>
      <w:r>
        <w:rPr>
          <w:highlight w:val="none"/>
          <w:shd w:val="clear" w:color="auto" w:fill="auto"/>
        </w:rPr>
      </w:r>
    </w:p>
    <w:p>
      <w:pPr>
        <w:pStyle w:val="645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rFonts w:eastAsia="Courier New"/>
          <w:shd w:val="clear" w:color="auto" w:fill="auto"/>
          <w:lang w:bidi="ru-RU"/>
        </w:rPr>
        <w:t xml:space="preserve">Сведения о победителях аукционов, уклонившихся от заключения договора купли-продажи, являющегося предметом а</w:t>
      </w:r>
      <w:r>
        <w:rPr>
          <w:rFonts w:eastAsia="Courier New"/>
          <w:shd w:val="clear" w:color="auto" w:fill="auto"/>
          <w:lang w:bidi="ru-RU"/>
        </w:rPr>
        <w:t xml:space="preserve">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  <w:r>
        <w:rPr>
          <w:highlight w:val="none"/>
          <w:shd w:val="clear" w:color="auto" w:fill="auto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 xml:space="preserve">15</w:t>
    </w:r>
    <w:r>
      <w:rPr>
        <w:sz w:val="20"/>
        <w:szCs w:val="28"/>
      </w:rPr>
      <w:fldChar w:fldCharType="end"/>
    </w:r>
    <w:r>
      <w:rPr>
        <w:sz w:val="20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5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5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646">
    <w:name w:val="Heading 1"/>
    <w:basedOn w:val="645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647">
    <w:name w:val="Heading 2"/>
    <w:basedOn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8">
    <w:name w:val="Heading 3"/>
    <w:basedOn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9">
    <w:name w:val="Heading 4"/>
    <w:basedOn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1">
    <w:name w:val="Heading 6"/>
    <w:basedOn w:val="645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52">
    <w:name w:val="Heading 7"/>
    <w:basedOn w:val="6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3">
    <w:name w:val="Heading 8"/>
    <w:basedOn w:val="6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6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1 Char"/>
    <w:basedOn w:val="672"/>
    <w:uiPriority w:val="9"/>
    <w:qFormat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672"/>
    <w:uiPriority w:val="9"/>
    <w:qFormat/>
    <w:rPr>
      <w:rFonts w:ascii="Arial" w:hAnsi="Arial" w:eastAsia="Arial" w:cs="Arial"/>
      <w:sz w:val="34"/>
    </w:rPr>
  </w:style>
  <w:style w:type="character" w:styleId="657">
    <w:name w:val="Heading 3 Char"/>
    <w:basedOn w:val="672"/>
    <w:uiPriority w:val="9"/>
    <w:qFormat/>
    <w:rPr>
      <w:rFonts w:ascii="Arial" w:hAnsi="Arial" w:eastAsia="Arial" w:cs="Arial"/>
      <w:sz w:val="30"/>
      <w:szCs w:val="30"/>
    </w:rPr>
  </w:style>
  <w:style w:type="character" w:styleId="658">
    <w:name w:val="Heading 4 Char"/>
    <w:basedOn w:val="67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59">
    <w:name w:val="Heading 5 Char"/>
    <w:basedOn w:val="67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0">
    <w:name w:val="Heading 6 Char"/>
    <w:basedOn w:val="67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61">
    <w:name w:val="Heading 7 Char"/>
    <w:basedOn w:val="67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62">
    <w:name w:val="Heading 8 Char"/>
    <w:basedOn w:val="67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63">
    <w:name w:val="Heading 9 Char"/>
    <w:basedOn w:val="67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64">
    <w:name w:val="Title Char"/>
    <w:basedOn w:val="672"/>
    <w:uiPriority w:val="10"/>
    <w:qFormat/>
    <w:rPr>
      <w:sz w:val="48"/>
      <w:szCs w:val="48"/>
    </w:rPr>
  </w:style>
  <w:style w:type="character" w:styleId="665">
    <w:name w:val="Subtitle Char"/>
    <w:basedOn w:val="672"/>
    <w:uiPriority w:val="11"/>
    <w:qFormat/>
    <w:rPr>
      <w:sz w:val="24"/>
      <w:szCs w:val="24"/>
    </w:rPr>
  </w:style>
  <w:style w:type="character" w:styleId="666">
    <w:name w:val="Quote Char"/>
    <w:uiPriority w:val="29"/>
    <w:qFormat/>
    <w:rPr>
      <w:i/>
    </w:rPr>
  </w:style>
  <w:style w:type="character" w:styleId="667">
    <w:name w:val="Intense Quote Char"/>
    <w:uiPriority w:val="30"/>
    <w:qFormat/>
    <w:rPr>
      <w:i/>
    </w:rPr>
  </w:style>
  <w:style w:type="character" w:styleId="668">
    <w:name w:val="Header Char"/>
    <w:basedOn w:val="672"/>
    <w:uiPriority w:val="99"/>
    <w:qFormat/>
  </w:style>
  <w:style w:type="character" w:styleId="669">
    <w:name w:val="Caption Char"/>
    <w:uiPriority w:val="99"/>
    <w:qFormat/>
  </w:style>
  <w:style w:type="character" w:styleId="670">
    <w:name w:val="Footnote Text Char"/>
    <w:uiPriority w:val="99"/>
    <w:qFormat/>
    <w:rPr>
      <w:sz w:val="18"/>
    </w:rPr>
  </w:style>
  <w:style w:type="character" w:styleId="671">
    <w:name w:val="Endnote Text Char"/>
    <w:uiPriority w:val="99"/>
    <w:qFormat/>
    <w:rPr>
      <w:sz w:val="20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74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75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76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Заголовок Знак1"/>
    <w:uiPriority w:val="10"/>
    <w:qFormat/>
    <w:rPr>
      <w:sz w:val="48"/>
      <w:szCs w:val="48"/>
    </w:rPr>
  </w:style>
  <w:style w:type="character" w:styleId="683" w:customStyle="1">
    <w:name w:val="Подзаголовок Знак"/>
    <w:uiPriority w:val="11"/>
    <w:qFormat/>
    <w:rPr>
      <w:sz w:val="24"/>
      <w:szCs w:val="24"/>
    </w:rPr>
  </w:style>
  <w:style w:type="character" w:styleId="684" w:customStyle="1">
    <w:name w:val="Цитата 2 Знак"/>
    <w:uiPriority w:val="29"/>
    <w:qFormat/>
    <w:rPr>
      <w:i/>
    </w:rPr>
  </w:style>
  <w:style w:type="character" w:styleId="685" w:customStyle="1">
    <w:name w:val="Выделенная цитата Знак"/>
    <w:uiPriority w:val="30"/>
    <w:qFormat/>
    <w:rPr>
      <w:i/>
    </w:rPr>
  </w:style>
  <w:style w:type="character" w:styleId="686" w:customStyle="1">
    <w:name w:val="Верхний колонтитул Знак1"/>
    <w:uiPriority w:val="99"/>
    <w:qFormat/>
  </w:style>
  <w:style w:type="character" w:styleId="687" w:customStyle="1">
    <w:name w:val="Footer Char"/>
    <w:uiPriority w:val="99"/>
    <w:qFormat/>
  </w:style>
  <w:style w:type="character" w:styleId="688" w:customStyle="1">
    <w:name w:val="Нижний колонтитул Знак1"/>
    <w:uiPriority w:val="99"/>
    <w:qFormat/>
  </w:style>
  <w:style w:type="character" w:styleId="689" w:customStyle="1">
    <w:name w:val="Текст сноски Знак"/>
    <w:uiPriority w:val="99"/>
    <w:qFormat/>
    <w:rPr>
      <w:sz w:val="18"/>
    </w:rPr>
  </w:style>
  <w:style w:type="character" w:styleId="690">
    <w:name w:val="Символ сноски"/>
    <w:uiPriority w:val="99"/>
    <w:unhideWhenUsed/>
    <w:qFormat/>
    <w:rPr>
      <w:vertAlign w:val="superscript"/>
    </w:rPr>
  </w:style>
  <w:style w:type="character" w:styleId="691">
    <w:name w:val="footnote reference"/>
    <w:rPr>
      <w:vertAlign w:val="superscript"/>
    </w:rPr>
  </w:style>
  <w:style w:type="character" w:styleId="692" w:customStyle="1">
    <w:name w:val="Текст концевой сноски Знак"/>
    <w:uiPriority w:val="99"/>
    <w:qFormat/>
    <w:rPr>
      <w:sz w:val="20"/>
    </w:rPr>
  </w:style>
  <w:style w:type="character" w:styleId="69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4">
    <w:name w:val="endnote reference"/>
    <w:rPr>
      <w:vertAlign w:val="superscript"/>
    </w:rPr>
  </w:style>
  <w:style w:type="character" w:styleId="695" w:customStyle="1">
    <w:name w:val="WW8Num2z0"/>
    <w:qFormat/>
    <w:rPr>
      <w:rFonts w:ascii="Symbol" w:hAnsi="Symbol" w:cs="Symbol"/>
    </w:rPr>
  </w:style>
  <w:style w:type="character" w:styleId="696" w:customStyle="1">
    <w:name w:val="WW8Num3z0"/>
    <w:qFormat/>
  </w:style>
  <w:style w:type="character" w:styleId="697" w:customStyle="1">
    <w:name w:val="WW8Num4z0"/>
    <w:qFormat/>
  </w:style>
  <w:style w:type="character" w:styleId="698" w:customStyle="1">
    <w:name w:val="WW8Num5z0"/>
    <w:qFormat/>
    <w:rPr>
      <w:sz w:val="16"/>
      <w:szCs w:val="16"/>
    </w:rPr>
  </w:style>
  <w:style w:type="character" w:styleId="699" w:customStyle="1">
    <w:name w:val="WW8Num6z0"/>
    <w:qFormat/>
  </w:style>
  <w:style w:type="character" w:styleId="700" w:customStyle="1">
    <w:name w:val="WW8Num7z0"/>
    <w:qFormat/>
  </w:style>
  <w:style w:type="character" w:styleId="701" w:customStyle="1">
    <w:name w:val="WW8Num8z0"/>
    <w:qFormat/>
  </w:style>
  <w:style w:type="character" w:styleId="702" w:customStyle="1">
    <w:name w:val="WW8Num9z0"/>
    <w:qFormat/>
  </w:style>
  <w:style w:type="character" w:styleId="703" w:customStyle="1">
    <w:name w:val="WW8Num10z0"/>
    <w:qFormat/>
  </w:style>
  <w:style w:type="character" w:styleId="704" w:customStyle="1">
    <w:name w:val="WW8Num11z0"/>
    <w:qFormat/>
  </w:style>
  <w:style w:type="character" w:styleId="705" w:customStyle="1">
    <w:name w:val="WW8Num12z0"/>
    <w:qFormat/>
  </w:style>
  <w:style w:type="character" w:styleId="706" w:customStyle="1">
    <w:name w:val="WW8Num13z0"/>
    <w:qFormat/>
  </w:style>
  <w:style w:type="character" w:styleId="707" w:customStyle="1">
    <w:name w:val="WW8Num14z0"/>
    <w:qFormat/>
  </w:style>
  <w:style w:type="character" w:styleId="708" w:customStyle="1">
    <w:name w:val="WW8Num15z0"/>
    <w:qFormat/>
  </w:style>
  <w:style w:type="character" w:styleId="709" w:customStyle="1">
    <w:name w:val="WW8Num18z0"/>
    <w:qFormat/>
  </w:style>
  <w:style w:type="character" w:styleId="710" w:customStyle="1">
    <w:name w:val="WW8Num19z0"/>
    <w:qFormat/>
  </w:style>
  <w:style w:type="character" w:styleId="711" w:customStyle="1">
    <w:name w:val="WW8Num20z0"/>
    <w:qFormat/>
  </w:style>
  <w:style w:type="character" w:styleId="712" w:customStyle="1">
    <w:name w:val="WW8Num21z0"/>
    <w:qFormat/>
  </w:style>
  <w:style w:type="character" w:styleId="713" w:customStyle="1">
    <w:name w:val="WW8Num22z0"/>
    <w:qFormat/>
  </w:style>
  <w:style w:type="character" w:styleId="714" w:customStyle="1">
    <w:name w:val="WW8Num23z0"/>
    <w:qFormat/>
  </w:style>
  <w:style w:type="character" w:styleId="715" w:customStyle="1">
    <w:name w:val="WW8Num25z0"/>
    <w:qFormat/>
  </w:style>
  <w:style w:type="character" w:styleId="716" w:customStyle="1">
    <w:name w:val="WW8Num26z0"/>
    <w:qFormat/>
  </w:style>
  <w:style w:type="character" w:styleId="717" w:customStyle="1">
    <w:name w:val="WW8Num27z0"/>
    <w:qFormat/>
  </w:style>
  <w:style w:type="character" w:styleId="718" w:customStyle="1">
    <w:name w:val="WW8Num29z0"/>
    <w:qFormat/>
    <w:rPr>
      <w:rFonts w:ascii="Symbol" w:hAnsi="Symbol" w:cs="Symbol"/>
    </w:rPr>
  </w:style>
  <w:style w:type="character" w:styleId="719" w:customStyle="1">
    <w:name w:val="WW8Num30z0"/>
    <w:qFormat/>
  </w:style>
  <w:style w:type="character" w:styleId="720" w:customStyle="1">
    <w:name w:val="WW8Num31z0"/>
    <w:qFormat/>
  </w:style>
  <w:style w:type="character" w:styleId="721" w:customStyle="1">
    <w:name w:val="WW8Num32z0"/>
    <w:qFormat/>
  </w:style>
  <w:style w:type="character" w:styleId="722" w:customStyle="1">
    <w:name w:val="WW8Num33z0"/>
    <w:qFormat/>
  </w:style>
  <w:style w:type="character" w:styleId="723" w:customStyle="1">
    <w:name w:val="WW8Num34z0"/>
    <w:qFormat/>
  </w:style>
  <w:style w:type="character" w:styleId="724">
    <w:name w:val="page number"/>
    <w:basedOn w:val="672"/>
    <w:qFormat/>
  </w:style>
  <w:style w:type="character" w:styleId="725" w:customStyle="1">
    <w:name w:val="Текст Знак"/>
    <w:qFormat/>
    <w:rPr>
      <w:rFonts w:ascii="Courier New" w:hAnsi="Courier New" w:cs="Courier New"/>
    </w:rPr>
  </w:style>
  <w:style w:type="character" w:styleId="726" w:customStyle="1">
    <w:name w:val="Верхний колонтитул Знак"/>
    <w:qFormat/>
    <w:rPr>
      <w:sz w:val="16"/>
      <w:lang w:val="ru-RU" w:bidi="ar-SA"/>
    </w:rPr>
  </w:style>
  <w:style w:type="character" w:styleId="727" w:customStyle="1">
    <w:name w:val="Основной текст с отступом 3 Знак"/>
    <w:qFormat/>
    <w:rPr>
      <w:sz w:val="16"/>
      <w:szCs w:val="16"/>
    </w:rPr>
  </w:style>
  <w:style w:type="character" w:styleId="728">
    <w:name w:val="Hyperlink"/>
    <w:rPr>
      <w:color w:val="0563c1"/>
      <w:u w:val="single"/>
    </w:rPr>
  </w:style>
  <w:style w:type="character" w:styleId="729" w:customStyle="1">
    <w:name w:val="Абзац списка Знак"/>
    <w:qFormat/>
    <w:rPr>
      <w:sz w:val="24"/>
      <w:szCs w:val="24"/>
    </w:rPr>
  </w:style>
  <w:style w:type="character" w:styleId="730" w:customStyle="1">
    <w:name w:val="Заголовок 6 Знак"/>
    <w:qFormat/>
    <w:rPr>
      <w:b/>
      <w:bCs/>
      <w:sz w:val="22"/>
      <w:szCs w:val="22"/>
    </w:rPr>
  </w:style>
  <w:style w:type="character" w:styleId="731" w:customStyle="1">
    <w:name w:val="Название Знак"/>
    <w:qFormat/>
    <w:rPr>
      <w:sz w:val="28"/>
      <w:lang w:val="ru-RU" w:bidi="ar-SA"/>
    </w:rPr>
  </w:style>
  <w:style w:type="character" w:styleId="732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33" w:customStyle="1">
    <w:name w:val="Нижний колонтитул Знак"/>
    <w:qFormat/>
  </w:style>
  <w:style w:type="character" w:styleId="734">
    <w:name w:val="FollowedHyperlink"/>
    <w:rPr>
      <w:color w:val="954f72"/>
      <w:u w:val="single"/>
    </w:rPr>
  </w:style>
  <w:style w:type="character" w:styleId="735" w:customStyle="1">
    <w:name w:val="Гиперссылка"/>
    <w:qFormat/>
    <w:rPr>
      <w:color w:val="0000ff"/>
      <w:u w:val="single"/>
    </w:rPr>
  </w:style>
  <w:style w:type="character" w:styleId="736">
    <w:name w:val="Символ нумерации"/>
    <w:qFormat/>
  </w:style>
  <w:style w:type="paragraph" w:styleId="737">
    <w:name w:val="Заголовок"/>
    <w:basedOn w:val="645"/>
    <w:next w:val="738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38">
    <w:name w:val="Body Text"/>
    <w:basedOn w:val="645"/>
    <w:pPr>
      <w:jc w:val="right"/>
    </w:pPr>
    <w:rPr>
      <w:sz w:val="28"/>
    </w:rPr>
  </w:style>
  <w:style w:type="paragraph" w:styleId="739">
    <w:name w:val="List"/>
    <w:basedOn w:val="738"/>
    <w:rPr>
      <w:rFonts w:cs="Lohit Devanagari"/>
    </w:rPr>
  </w:style>
  <w:style w:type="paragraph" w:styleId="740">
    <w:name w:val="Caption"/>
    <w:basedOn w:val="645"/>
    <w:qFormat/>
    <w:pPr>
      <w:spacing w:before="120" w:after="120"/>
      <w:suppressLineNumbers/>
    </w:pPr>
    <w:rPr>
      <w:rFonts w:cs="Lohit Devanagari"/>
      <w:i/>
      <w:iCs/>
    </w:rPr>
  </w:style>
  <w:style w:type="paragraph" w:styleId="741">
    <w:name w:val="Указатель"/>
    <w:basedOn w:val="645"/>
    <w:qFormat/>
    <w:pPr>
      <w:suppressLineNumbers/>
    </w:pPr>
    <w:rPr>
      <w:rFonts w:cs="Lohit Devanagari"/>
    </w:rPr>
  </w:style>
  <w:style w:type="paragraph" w:styleId="742">
    <w:name w:val="List Paragraph"/>
    <w:basedOn w:val="645"/>
    <w:qFormat/>
    <w:pPr>
      <w:ind w:left="708"/>
    </w:pPr>
  </w:style>
  <w:style w:type="paragraph" w:styleId="743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44">
    <w:name w:val="Title"/>
    <w:basedOn w:val="645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745">
    <w:name w:val="Subtitle"/>
    <w:basedOn w:val="645"/>
    <w:uiPriority w:val="11"/>
    <w:qFormat/>
    <w:pPr>
      <w:spacing w:before="200" w:after="200"/>
    </w:pPr>
  </w:style>
  <w:style w:type="paragraph" w:styleId="746">
    <w:name w:val="Quote"/>
    <w:basedOn w:val="645"/>
    <w:uiPriority w:val="29"/>
    <w:qFormat/>
    <w:pPr>
      <w:ind w:left="720" w:right="720"/>
    </w:pPr>
    <w:rPr>
      <w:i/>
    </w:rPr>
  </w:style>
  <w:style w:type="paragraph" w:styleId="747">
    <w:name w:val="Intense Quote"/>
    <w:basedOn w:val="6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8">
    <w:name w:val="footnote text"/>
    <w:basedOn w:val="645"/>
    <w:uiPriority w:val="99"/>
    <w:semiHidden/>
    <w:unhideWhenUsed/>
    <w:pPr>
      <w:spacing w:before="0" w:after="40"/>
    </w:pPr>
    <w:rPr>
      <w:sz w:val="18"/>
    </w:rPr>
  </w:style>
  <w:style w:type="paragraph" w:styleId="749">
    <w:name w:val="endnote text"/>
    <w:basedOn w:val="645"/>
    <w:uiPriority w:val="99"/>
    <w:semiHidden/>
    <w:unhideWhenUsed/>
    <w:rPr>
      <w:sz w:val="20"/>
    </w:rPr>
  </w:style>
  <w:style w:type="paragraph" w:styleId="750">
    <w:name w:val="toc 1"/>
    <w:basedOn w:val="645"/>
    <w:uiPriority w:val="39"/>
    <w:unhideWhenUsed/>
    <w:pPr>
      <w:spacing w:before="0" w:after="57"/>
    </w:pPr>
  </w:style>
  <w:style w:type="paragraph" w:styleId="751">
    <w:name w:val="toc 2"/>
    <w:basedOn w:val="645"/>
    <w:uiPriority w:val="39"/>
    <w:unhideWhenUsed/>
    <w:pPr>
      <w:ind w:left="283"/>
      <w:spacing w:before="0" w:after="57"/>
    </w:pPr>
  </w:style>
  <w:style w:type="paragraph" w:styleId="752">
    <w:name w:val="toc 3"/>
    <w:basedOn w:val="645"/>
    <w:uiPriority w:val="39"/>
    <w:unhideWhenUsed/>
    <w:pPr>
      <w:ind w:left="567"/>
      <w:spacing w:before="0" w:after="57"/>
    </w:pPr>
  </w:style>
  <w:style w:type="paragraph" w:styleId="753">
    <w:name w:val="toc 4"/>
    <w:basedOn w:val="645"/>
    <w:uiPriority w:val="39"/>
    <w:unhideWhenUsed/>
    <w:pPr>
      <w:ind w:left="850"/>
      <w:spacing w:before="0" w:after="57"/>
    </w:pPr>
  </w:style>
  <w:style w:type="paragraph" w:styleId="754">
    <w:name w:val="toc 5"/>
    <w:basedOn w:val="645"/>
    <w:uiPriority w:val="39"/>
    <w:unhideWhenUsed/>
    <w:pPr>
      <w:ind w:left="1134"/>
      <w:spacing w:before="0" w:after="57"/>
    </w:pPr>
  </w:style>
  <w:style w:type="paragraph" w:styleId="755">
    <w:name w:val="toc 6"/>
    <w:basedOn w:val="645"/>
    <w:uiPriority w:val="39"/>
    <w:unhideWhenUsed/>
    <w:pPr>
      <w:ind w:left="1417"/>
      <w:spacing w:before="0" w:after="57"/>
    </w:pPr>
  </w:style>
  <w:style w:type="paragraph" w:styleId="756">
    <w:name w:val="toc 7"/>
    <w:basedOn w:val="645"/>
    <w:uiPriority w:val="39"/>
    <w:unhideWhenUsed/>
    <w:pPr>
      <w:ind w:left="1701"/>
      <w:spacing w:before="0" w:after="57"/>
    </w:pPr>
  </w:style>
  <w:style w:type="paragraph" w:styleId="757">
    <w:name w:val="toc 8"/>
    <w:basedOn w:val="645"/>
    <w:uiPriority w:val="39"/>
    <w:unhideWhenUsed/>
    <w:pPr>
      <w:ind w:left="1984"/>
      <w:spacing w:before="0" w:after="57"/>
    </w:pPr>
  </w:style>
  <w:style w:type="paragraph" w:styleId="758">
    <w:name w:val="toc 9"/>
    <w:basedOn w:val="645"/>
    <w:uiPriority w:val="39"/>
    <w:unhideWhenUsed/>
    <w:pPr>
      <w:ind w:left="2268"/>
      <w:spacing w:before="0" w:after="57"/>
    </w:pPr>
  </w:style>
  <w:style w:type="paragraph" w:styleId="759">
    <w:name w:val="Index Heading"/>
    <w:basedOn w:val="737"/>
  </w:style>
  <w:style w:type="paragraph" w:styleId="760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61">
    <w:name w:val="table of figures"/>
    <w:basedOn w:val="645"/>
    <w:uiPriority w:val="99"/>
    <w:unhideWhenUsed/>
  </w:style>
  <w:style w:type="paragraph" w:styleId="762">
    <w:name w:val="index heading1"/>
    <w:basedOn w:val="645"/>
    <w:qFormat/>
    <w:pPr>
      <w:suppressLineNumbers/>
    </w:pPr>
    <w:rPr>
      <w:rFonts w:cs="Lohit Devanagari"/>
    </w:rPr>
  </w:style>
  <w:style w:type="paragraph" w:styleId="763" w:customStyle="1">
    <w:name w:val="Caption1"/>
    <w:basedOn w:val="645"/>
    <w:qFormat/>
    <w:pPr>
      <w:spacing w:before="120" w:after="120"/>
      <w:suppressLineNumbers/>
    </w:pPr>
    <w:rPr>
      <w:rFonts w:cs="Lohit Devanagari"/>
      <w:i/>
      <w:iCs/>
    </w:rPr>
  </w:style>
  <w:style w:type="paragraph" w:styleId="764">
    <w:name w:val="Plain Text"/>
    <w:basedOn w:val="645"/>
    <w:qFormat/>
    <w:rPr>
      <w:rFonts w:ascii="Courier New" w:hAnsi="Courier New" w:cs="Courier New"/>
      <w:sz w:val="20"/>
      <w:szCs w:val="20"/>
      <w:lang w:val="en-US"/>
    </w:rPr>
  </w:style>
  <w:style w:type="paragraph" w:styleId="765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766">
    <w:name w:val="Body Text 2"/>
    <w:basedOn w:val="645"/>
    <w:qFormat/>
    <w:pPr>
      <w:spacing w:before="0" w:after="120" w:line="480" w:lineRule="auto"/>
    </w:pPr>
  </w:style>
  <w:style w:type="paragraph" w:styleId="767">
    <w:name w:val="Body Text 3"/>
    <w:basedOn w:val="645"/>
    <w:qFormat/>
    <w:pPr>
      <w:spacing w:before="0" w:after="120"/>
    </w:pPr>
    <w:rPr>
      <w:sz w:val="16"/>
      <w:szCs w:val="16"/>
    </w:rPr>
  </w:style>
  <w:style w:type="paragraph" w:styleId="768" w:customStyle="1">
    <w:name w:val="Колонтитул"/>
    <w:basedOn w:val="645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69">
    <w:name w:val="Footer"/>
    <w:basedOn w:val="645"/>
    <w:pPr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770">
    <w:name w:val="Balloon Text"/>
    <w:basedOn w:val="645"/>
    <w:qFormat/>
    <w:rPr>
      <w:rFonts w:ascii="Tahoma" w:hAnsi="Tahoma" w:cs="Tahoma"/>
      <w:sz w:val="16"/>
      <w:szCs w:val="16"/>
    </w:rPr>
  </w:style>
  <w:style w:type="paragraph" w:styleId="771" w:customStyle="1">
    <w:name w:val="Знак Знак Знак Знак Знак Знак Знак Знак Знак Знак Знак Знак"/>
    <w:basedOn w:val="645"/>
    <w:qFormat/>
    <w:rPr>
      <w:rFonts w:ascii="Verdana" w:hAnsi="Verdana" w:cs="Verdana"/>
      <w:sz w:val="20"/>
      <w:szCs w:val="20"/>
      <w:lang w:val="en-US"/>
    </w:rPr>
  </w:style>
  <w:style w:type="paragraph" w:styleId="772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773">
    <w:name w:val="Header"/>
    <w:pPr>
      <w:jc w:val="center"/>
      <w:spacing w:before="0" w:after="0"/>
      <w:widowControl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774">
    <w:name w:val="Body Text Indent 3"/>
    <w:basedOn w:val="645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775">
    <w:name w:val="Normal (Web)"/>
    <w:basedOn w:val="645"/>
    <w:qFormat/>
    <w:pPr>
      <w:spacing w:before="280" w:after="280"/>
    </w:pPr>
  </w:style>
  <w:style w:type="paragraph" w:styleId="776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777" w:customStyle="1">
    <w:name w:val="Содержимое таблицы"/>
    <w:basedOn w:val="645"/>
    <w:qFormat/>
    <w:pPr>
      <w:widowControl w:val="off"/>
      <w:suppressLineNumbers/>
    </w:pPr>
  </w:style>
  <w:style w:type="paragraph" w:styleId="778" w:customStyle="1">
    <w:name w:val="Заголовок таблицы"/>
    <w:basedOn w:val="777"/>
    <w:qFormat/>
    <w:pPr>
      <w:jc w:val="center"/>
    </w:pPr>
    <w:rPr>
      <w:b/>
      <w:bCs/>
    </w:rPr>
  </w:style>
  <w:style w:type="numbering" w:styleId="779" w:default="1">
    <w:name w:val="No List"/>
    <w:uiPriority w:val="99"/>
    <w:semiHidden/>
    <w:unhideWhenUsed/>
    <w:qFormat/>
  </w:style>
  <w:style w:type="table" w:styleId="78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8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8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8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8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1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1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1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2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5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5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86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87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88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89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90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91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92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93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94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95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96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97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98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9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0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s://login.consultant.ru/link/?req=doc&amp;demo=1&amp;base=STR&amp;n=30822&amp;date=23.01.2024" TargetMode="External"/><Relationship Id="rId20" Type="http://schemas.openxmlformats.org/officeDocument/2006/relationships/hyperlink" Target="http://www.gorodperm.ru/" TargetMode="External"/><Relationship Id="rId21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271</cp:revision>
  <dcterms:created xsi:type="dcterms:W3CDTF">2023-10-30T09:15:00Z</dcterms:created>
  <dcterms:modified xsi:type="dcterms:W3CDTF">2025-05-06T11:30:36Z</dcterms:modified>
</cp:coreProperties>
</file>