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аренды земельного участка, приобретаемого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торгах в форме аукциона, для строительства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37"/>
        <w:gridCol w:w="453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«___» _____________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Департамент земельных отношений администрации города Перми, именуемый в дальнейшем Арендодатель,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лице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____________, действующего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основании __________, с одной стороны,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_______________, именуемый в дальнейшем Арендатор, с другой стороны,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совместно именуемые «Стороны», на основании протокола о результатах электронных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аукционов на право заключения договоров аренды земельных участков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 (далее – протокол) по лоту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№ _________, заключили настоящий договор о следующем.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I. Предмет договора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07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59:01:3812825:169, площадью 834 кв.м, расположенный на землях населенных пункто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и находящийся по адресу: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Пермский край, городской округ Пермский, город Пермь,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улица Кизеловская, з/у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(далее - земельный участок), для индивидуального жилищного строительства, в границах, сведения о которых содержатся в Едином государственном реестре недвижимости, и в качественн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ом состоянии как он есть согласно приложению 1 к настоящему договору.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Земельный участок расположен в территориальной зоне индивидуальной жилой застройки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(Ж-4).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Земельный участок расположен в зоне с особым условием использования территории 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приаэродромная территория аэродрома аэропорта Большое Савино.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836"/>
              <w:ind w:left="0" w:right="0" w:firstLine="567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 границах земельного участка расположено три объекта некапитального строительства.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Арендатор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не имеет претензий 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Арендодателю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 связи с наличием на земельном участке объектов некапитального строительства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Земельный 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часток огорожен по периметру частично деревянным забором, частично ограждение в виде сетки рабицы.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36"/>
              <w:ind w:left="0" w:right="0" w:firstLine="567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Арендатор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вправе осуществить демонтаж указанных объектов некапитального строительства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за счет собственных средств без отнесения соответствующих расходов на территориальный орган администрации города Перми, департамент земельных отношений администрации города Перми или иной функциональный орган или подразделение администрации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1.2. Разрешенное использование - для индивидуального жилищного строительства.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830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1.3.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Проектирование и строительство необходимо вести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с пунктом 4.5 СП 55.13330.2016 Свода Правил. Дома жилые одноквартирные. СНиП 31-02-2001, утвержденным и введенным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 действие Приказом Министерства строительства и жилищно-коммунального хозяйства Российской Федерации от 20.10.2016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725/пр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(ред. от 17.05.2023)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должен включать жилые комнаты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одну или несколько (общую комнату или гостиную, спальню),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борную) или совмещенный санузел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переднюю.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общей комнаты в доме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с числом комнат две и более - 16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спальни - 8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(на двух человек - 10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); кухни - 8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кухонной зоны в кухне-столовой - 6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 домах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Согласно пункту 6.2 СП 55.13330.2016 высота (от пола до потолка) ком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антресолей должна составлять не менее 2,1 м,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а высота пути эвакуации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не менее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2,2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до потолка), относительно нормируемой на площади, не превышающей 50%.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Согласно информации, содержащейся в градостроительно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м плане земельного участка от 22.01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РФ-59-2-03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-0-00-2025-0075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-0, предельная высота з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даний, строений не более 10,5 м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, согласно документации по планировке территории, утвержденной постановлением администрации города Перми от 23.12.2015 № 1102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830"/>
              <w:ind w:firstLine="31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Минимальный отступ от границ земельного участка до места допустимого размещени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зданий, строений, сооружений </w:t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(за исключе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830"/>
              <w:ind w:firstLine="31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Максимальный выступ за красную линию нависающих частей здания наземных уровней, выступающих из плоскости наружной стены фасада здани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830"/>
              <w:ind w:firstLine="31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Максимальный процент застройки в границах земельного участка – 30%.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II. Права и обязанности Арендодателя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 Арендодатель имеет право: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участка;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2.1.2. взыскать в установленном порядке не внесенную в срок арендную плату, а также неустойку за просрочку исполнения обязательств;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2.1.3. требовать досрочного расторжения договора в случаях, предусмотренных действующим законодательством и настоящим договором;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2.1.5. осуществлять осмотр арендованного земельного участка без предварительного уведомления Арендатора.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2.2. Арендодатель обязан: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2.2.1. выполнять в полном объеме все условия настоящего договора;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2.2.2. передать Арендатору земельный участок по акту приема-передачи;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III. Права и обязанности Арендатора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3.1. Арендатор имеет право: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3.1.1. использовать земельный участок в соответствии с условиями настоящего договора;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за исключением сооружений, которые могут размещаться на таких земельных участках на основании серв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итута, публичного сервитута или в соответствии со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статьей 39.36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емельного кодекса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3.2. Арендатор обязан: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3.2.1.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своевременно приступить к использованию земельного участка;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3.2.2.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выполнять в полном объеме все условия настоящего договора;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3.2.3.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использовать земельный участок в границах, сведения о которых содержатся в Едином государственном реестре недвижимости, в соответствии с целевым назначением и видом разрешенного использования, указанными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пунктах 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договора. Арендатор не вправе изменять целевое назначение и вид разрешенного использования земельного участка;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3.2.4.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3.2.5. своевременно вносить арендную плату;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охранной зоне линейного объекта;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3.2.8.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3.2.9. не допускать строительства на земельном участке до получения разрешения на строительство в установленном порядке, в случае если получение такого разрешения предусмотрено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 допускать строительства на земельном участке до получения уведомления в соответствии с Градостроительным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кодексом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Российской Федерации в случае строительства на земельном участке объектов индивидуального жилищного строительства или садового дома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Направить Арендодателю копию уведомления в соответствии с абзацем вторым настоящего пункта в течение 10 дней со дня его получения;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(договоры залога, внесение права на аренду участка или его части в уставны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пункта, совершенные без письменного согласия Арендо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Арендатор не вправе уступать права и осуществлять перевод долга по обязательствам, возникшим из договора аренды;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3.2.11.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договора;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3.2.12. при расторжении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прекращении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договора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вернуть Арендодателю земельный участок в надлежащем состоянии в пятидневный срок с момента расторжения,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прекращения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договора по акту приема-передачи земельного участка;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3.2.13. в случае изменения адреса или иных реквизитов Арендатора в пятидневный срок направить Арендодателю письменное уведомление.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неисполнения Арендатором этого условия,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3.2.14.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3.2.15.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3.2.16.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3.2.17. не допускать загрязнение, истощение, деградацию, порчу, уничтожение земель и почв и иное негативное воздействие на земли и почвы;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3.2.18. соблюдать требования к параметрам объекта недвижимости, предполагаемого к возведению, указанные в аукционной документации;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3.2.19. соблюдать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Правила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благоустройства территории города Перми, утвержденные решением Пермской городской Думы от 15 декабря 2020 г. № 277 «Об утверждении Правил благоустройства территории города Перми»;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3.2.20. </w:t>
      </w:r>
      <w:r>
        <w:rPr>
          <w:rFonts w:ascii="Times New Roman" w:hAnsi="Times New Roman"/>
          <w:sz w:val="28"/>
          <w:szCs w:val="28"/>
        </w:rPr>
        <w:t xml:space="preserve">при планировании и размещении объектов на земельном участке соблюдать нормы и требования</w:t>
      </w:r>
      <w:r>
        <w:rPr>
          <w:rFonts w:ascii="Times New Roman" w:hAnsi="Times New Roman"/>
          <w:sz w:val="28"/>
          <w:szCs w:val="28"/>
        </w:rPr>
        <w:t xml:space="preserve"> действующего законодательства: </w:t>
      </w:r>
      <w:r>
        <w:rPr>
          <w:rFonts w:ascii="Times New Roman" w:hAnsi="Times New Roman"/>
          <w:sz w:val="28"/>
          <w:szCs w:val="28"/>
        </w:rPr>
        <w:t xml:space="preserve">Федеральных законов от 21 декабря 1994 г. № 69-ФЗ «О пожарной безопасности» и от 22 июля 2008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123-ФЗ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«Технический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пожарной безопасности»,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Свода</w:t>
      </w:r>
      <w:r>
        <w:rPr>
          <w:rFonts w:ascii="Times New Roman" w:hAnsi="Times New Roman"/>
          <w:sz w:val="28"/>
          <w:szCs w:val="28"/>
        </w:rPr>
        <w:t xml:space="preserve"> правил </w:t>
      </w:r>
      <w:r>
        <w:rPr>
          <w:rFonts w:ascii="Times New Roman" w:hAnsi="Times New Roman"/>
          <w:sz w:val="28"/>
          <w:szCs w:val="28"/>
        </w:rPr>
        <w:t xml:space="preserve">8.13130.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«Системы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противопожарной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защиты. Источники наружного противопожарного водоснабжения. Требования пожарной безопасности», утвержденных приказом МЧС России от 30.03.2020 </w:t>
      </w:r>
      <w:r>
        <w:rPr>
          <w:rFonts w:ascii="Times New Roman" w:hAnsi="Times New Roman"/>
          <w:sz w:val="28"/>
          <w:szCs w:val="28"/>
        </w:rPr>
        <w:t xml:space="preserve">№ 225, Свода правил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4.13130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«Системы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противопожарной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защиты.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Ограничение распространения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пожара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объектах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защиты.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 объемно-</w:t>
      </w:r>
      <w:r>
        <w:rPr>
          <w:rFonts w:ascii="Times New Roman" w:hAnsi="Times New Roman"/>
          <w:sz w:val="28"/>
          <w:szCs w:val="28"/>
        </w:rPr>
        <w:t xml:space="preserve">планировочным и конструктивным решениям», утвержденных Приказом МЧС России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24.04.2013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288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иной документации, касающейся норм противопожарной безопасност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3.2.20. проектом строительства предусмотреть следующие мероприятия по охране окружающей среды: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нанесение существующих деревьев на стройгенплан.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земельном участке произрастает 6 деревьев пород: ель 1 шт., лиственница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 шт., тополь 1 шт., клен 1 шт., береза 2 шт;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168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снос деревьев, попадающих под пятно застройки, вести на основании акта комиссионного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обследования зеленых насаждений в соответствии с решением Пермской городской Думы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15.12.2020 г. № 277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 утверждении Правил благоустройства территории города Перми»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Указанный акт должен быть составлен на основании проектной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документации. Остальные деревья сохранить;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восстановление зеленых насаждений вести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 решением Пермской городской Думы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15.12.2020 г. № 277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 утверждении Правил благоустройства территории города Перми»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сбор и отвод ливневых вод осуществлять с использованием вариантов решений в зависимости от: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наличия централизованной системы ливневой канализации;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площади водосбора с учетом транзитных вод с прилегающей территории;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угла наклона рельефа, включающий прилегающие территории;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применения иных решений равномерного отвода поверхностного стока с запрашиваемой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территории на прилегающие территории;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определение видов образующихся отходов и мест их размещения на период эксплуатации;</w:t>
      </w:r>
      <w:r/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проведение мероприятий по охране окружающей среды на период строительства, включая: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установку временного защитного ограждения строительной площадки;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ограждение существующих зеленых насаждений, не попадающих под пятно застройки;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прокладку коммуникаций осуществлять на расстоянии не менее 2 м от ствола дерева,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чтобы не повредить корневую систему;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не использовать приствольные круги существующих деревьев (ø 1м) под складирование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материалов и установки временных сооружений;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систематический вывоз отходов;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недопущение загрязнения атмосферы, почвы и подземных вод;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предотвращение выноса грязи автотранспортом, выезжающим со строительной площадки;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07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3.2.21. соблюдать ограничения при использовании земельного участка, расположенного в границах зоны с особыми условиями использования территорий, установленные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Прав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ительства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11.03.2010 № 138 «Об утверждении Федеральных правил использования воздушного пространства Российской Федерации»;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540"/>
              <w:jc w:val="both"/>
              <w:spacing w:before="168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3.2.22. соблюдать иные требования, предусмотренные Земельным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none"/>
              </w:rPr>
              <w:t xml:space="preserve">кодексом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Российс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кой Федерации, федеральными законами;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IV. Срок аренды и арендная плата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07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4.1. Срок аренды земельного участка устанавливается с «__» _________ по «__» __________.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4.2. Ежегодный размер арендной платы составляет _____________________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(сумма прописью)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Реквизиты платежа: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Получатель: __________________________________________;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ИНН _____________; БИК ____________; КПП ____________;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Р/с __________________________________________________;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погашения платежей: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КБК _________________________________________________;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Назначение платежа: 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ОКТМО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4.3. Арендатор обязан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 подписания настоящего договора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уплатить ежегодный размер арендной платы, указанный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4.2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предоставления земельного участка на условиях аренды для индивидуального жилищного строительства арендатор обязан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 подписания настоящего договора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уп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латить ежегодный размер арендной платы, указанный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4.2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стоящего договора (за вычетом задатка, внесенного для участия в аукционе), за 1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досрочном расторжении договора, в том числе в связи с выкупом земельного участка, в соответствии с действующим законодательством ежегодная арендная плата за первый год использования по настоящему договору не возвращается.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4.4. Арендная плата исчисляется помесячно с «___» ______ 20__ г. и вносится в следующем порядке: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 I и II кварталы до 05 февраля, за III квартал до 05 июня, за IV квартал до 05 сентября текущего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4.5. В случае возникновения у Арендатора права собственности на земельный участок 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арендная плата начисляется за весь текущий месяц.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4.6. Неиспользование участка Арендатором не может служить основанием для невнесения арендной платы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V. Ответственность сторон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5.1. За просрочку исполнения обязательства по внесению арендной платы,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нарушение срока возврата земельного участка,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установленного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пункте 3.2.12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договора, Арендатор уплачивает Арендодателю пени в размере 0,03% от суммы задолженности по арендной плате за каждый день просрочки.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5.2. Если Арендатор не возвратил земельный участок 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ибо возвратил его несвоевременно арендная плата начисляется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4.4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договора и вносится Арендатором за все время просрочки.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5.3. Во всем остальном, что не предусмотрено настоящим договором, стороны руководствуются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в настоящем договоре.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VI. Порядок заключения договора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6.1. Арендатор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 подписания нас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тоящего договора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оплачивает арендную плату в размере и порядке, установленных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4.3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щего договора.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6.3. После подписания Арендатором проекта договора Арендодатель в течение 5 дней направляет Арендатору подписанный акт приема-передачи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земельного участка.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6.4. В случае отсутствия оплаты в размере и порядке, предусмотренных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4.3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нарушения срока, установленного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6.1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договора, Арендатор уплачивает Арендодателю неустойку в размере 0,03% от суммы, указанной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4.2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договора, за каждый день просрочки.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VII. Расторжение, прекращение договора и заключение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 на новый срок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7.1. Настоящий договор может быть расторгнут по письменному соглашению сторон, по требованию одно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й из сторон в судебном порядке в случаях, предусмотренных Гражданским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кодексом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Российской Федерации, Земельным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кодексом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Российской Федерации и настоящим договором, а также в случаях,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7.5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4.4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договора, независимо от ее последующего внесения;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использовании участка (в целом или частично) с нарушением вида разрешенного использования и (или) цели предоставления;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использовании земельного участка с нарушением границ, сведения о которых содержатся в Едином государственном реестре недвижимости.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7.3. Арендодатель вправе требовать досрочного расторжения настоящего договора после направления Аренд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атору письменного предупреждения об устранении нарушения, предусмотренного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7.2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7.4. Настоящий договор прекращается по истечении срока его действия, а также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действия.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7.5. Арендодатель имеет право в одностороннем внесудебном порядке отказаться от договора аренды земельного участка в случаях: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7.5.1. неиспользование земельного участка, предназначенного для строительства, в том числе жилищного, в указанных целях в течении трех лет, если более длительный срок не установлен федеральным законом.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7.5.2. неустранения в установленный срок последствий совершенного земельного правонарушения;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7.5.3. изъятия земельного участка для государственных или муниципальных нужд в соответствии с действующим законодательством;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7.5.4. при создании или возведении на земельном участке самовольной постройки либо невыполнении обязанности, предусмотренной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1 части 11 статьи 55.32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в сроки, установленные решением о сносе самовольной постройки, в порядке, установленном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статьей 46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Федерации, за исключением случая, указанного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пунктах 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7 статьи 46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7.5.5. по иным основаниям, предусмотренным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 считается расторгнутым по истечении 15 дней с даты направления уведомления Арендатору.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VIII. Предоставление земельного участка в субаренду,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заключение соглашения об установлении сервитута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8.1. Арендатор вправе передать земельный участок (его часть) в субаренду на срок, 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учаев, установленных законом.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Арендатор уведомляет Арендодателя о передаче земельного участка (его части) в субаренду в течение 10 дней со дня заключения указанного договора (в случаях заключения настоящего договора на срок более пяти лет).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8.2. Арендатор вправе заключить соглашение об установлении сервитута в отношении земельного участка (его части) на срок, не превышающий срока действия настоящего договора, с письменного согласия Арендодателя, за исключением случаев, установленных законом.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8.3. При досрочном прекращении действия настоящего договора соглашение об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енды на земельный участок, находившийся в его пользовании в соответствии с договором субаренды.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IX. Особые обстоятельства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ение этих обязательств.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твенным органом.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X. Вступление договора в силу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10.1. Настоящий договор считается заключенным с момента подписания Сторонами.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Неотъемлемой частью настоящего договора являются приложения: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акт приема-передачи земельного участка (приложение 1);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Оплата за земельный участок в размере, установленном в соответствии с абзацем первым (вторым)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 4.3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договора, произведена полностью. Реквизиты документа(ов), подтверждающего(их) перечисление денежных средств Арендодателю 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XI. Адреса, реквизиты и подписи сторон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37"/>
        <w:gridCol w:w="453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Арендодатель: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Арендатор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земельных отношений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Место нахождения (адрес): 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почтовый адрес: 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электронная почта: 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тел. 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ИНН 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614000, г. Пермь, ул. Сибирская, 15,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тел. 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Арендодатель: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Арендатор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земельных отношений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(ФИО, дата рождения)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614015, г. Пермь, ул. Сибирская, 15,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тел. 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Адрес регистрации: 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адрес фактического проживания: 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паспорт гражданина Российской Федерации: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выдан: 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дата выдачи: 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электронная почта: 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тел. 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ИНН 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СНИЛС 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37"/>
        <w:gridCol w:w="453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Арендодатель: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Арендатор: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--------------------------------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Носит рекомендательный характер до 01 марта 2031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Для арендатора - юридического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Для арендатора - физического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modified xsi:type="dcterms:W3CDTF">2025-05-06T09:57:29Z</dcterms:modified>
</cp:coreProperties>
</file>