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12.05.2025 № 059-19-01-11-43</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19.06.2025 электронного аукциона на право заключения договора аренды 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на право заключения договора аренды земельного участка </w:t>
        <w:br/>
        <w:t xml:space="preserve">(далее – аукцион) проводятся в соответствии со статьями 39.11, 39.12, 39.13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w:t>
        <w:br/>
        <w:t xml:space="preserve">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w:t>
        <w:br/>
        <w:t xml:space="preserve">в муниципальной собственности города Перми, и участках, собственность на которые  </w:t>
        <w:br/>
        <w:t xml:space="preserve">не разграничена, или на право заключения договоров аренды земельных участков, находящихся </w:t>
        <w:br/>
        <w:t xml:space="preserve">в муниципальной собственности города Перми, </w:t>
      </w:r>
      <w:r>
        <w:rPr>
          <w:rFonts w:eastAsia="Droid Sans Fallback" w:cs="Lohit Devanagari"/>
          <w:color w:val="000000"/>
          <w:sz w:val="24"/>
          <w:szCs w:val="24"/>
          <w:shd w:fill="FFFFFF" w:val="clear"/>
          <w:lang w:val="ru-RU" w:eastAsia="zh-CN" w:bidi="ar-SA"/>
        </w:rPr>
        <w:t xml:space="preserve">и участков, собственность на которые </w:t>
        <w:br/>
        <w:t>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12.05.2025 № 059-19-01-11-43.</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от 12 февраля 2025 г. № 21-01-03-1247 </w:t>
              <w:br/>
              <w:t>«О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Кизеловская, з/у 12б</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834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59:01:3812825:169</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w:t>
            </w:r>
            <w:r>
              <w:rPr>
                <w:color w:val="auto"/>
                <w:sz w:val="24"/>
                <w:szCs w:val="24"/>
              </w:rPr>
              <w:t xml:space="preserve">05.05.2025г. </w:t>
              <w:br/>
              <w:t>№ КУВИ-001/2025-100210608 (далее – ЕГРН)</w:t>
            </w:r>
            <w:r>
              <w:rPr>
                <w:sz w:val="24"/>
                <w:szCs w:val="24"/>
              </w:rPr>
              <w:t>;</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 xml:space="preserve">от </w:t>
            </w:r>
            <w:r>
              <w:rPr>
                <w:color w:val="auto"/>
                <w:sz w:val="24"/>
                <w:szCs w:val="24"/>
              </w:rPr>
              <w:t xml:space="preserve">22.01.2025 № РФ-59-2-03-0-00-2025-0075-0 </w:t>
              <w:br/>
              <w:t>(далее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В соответствии со сведениями из ЕГРН в границах Участка объекты капитального строительства отсутствуют.</w:t>
            </w:r>
          </w:p>
          <w:p>
            <w:pPr>
              <w:pStyle w:val="Normal"/>
              <w:spacing w:lineRule="auto" w:line="240" w:before="0" w:after="0"/>
              <w:ind w:firstLine="317"/>
              <w:jc w:val="both"/>
              <w:rPr>
                <w:rFonts w:ascii="Times New Roman" w:hAnsi="Times New Roman"/>
                <w:sz w:val="24"/>
                <w:szCs w:val="24"/>
              </w:rPr>
            </w:pPr>
            <w:r>
              <w:rPr>
                <w:sz w:val="24"/>
                <w:szCs w:val="24"/>
              </w:rPr>
              <w:t>По данным копии планшета М 1:500 (требующего корректуры) на Участке расположен забор.</w:t>
            </w:r>
          </w:p>
          <w:p>
            <w:pPr>
              <w:pStyle w:val="BodyText"/>
              <w:ind w:firstLine="312"/>
              <w:jc w:val="both"/>
              <w:rPr>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Состояние рельефа земельного участка ровное. Доступ на Участок ограничен, огорожен по периметру деревянным забором. На Участке возведены объекты некапитального строительства, предположительно теплицы, в количестве 3 штук, на части Участка установлено ограждение в виде сетки рабицы.</w:t>
            </w:r>
          </w:p>
          <w:p>
            <w:pPr>
              <w:pStyle w:val="Normal"/>
              <w:spacing w:lineRule="auto" w:line="240" w:before="0" w:after="0"/>
              <w:ind w:firstLine="317"/>
              <w:jc w:val="both"/>
              <w:rPr>
                <w:rFonts w:ascii="Times New Roman" w:hAnsi="Times New Roman"/>
                <w:sz w:val="24"/>
                <w:szCs w:val="24"/>
              </w:rPr>
            </w:pPr>
            <w:r>
              <w:rPr>
                <w:sz w:val="24"/>
                <w:szCs w:val="24"/>
              </w:rPr>
              <w:t xml:space="preserve">Определить расположение границ Участка </w:t>
              <w:br/>
              <w:t>на местности и точное расположение объектов относительно установленных границ, в отсутствие высокоточных приборов, не представляется возможным.</w:t>
            </w:r>
          </w:p>
          <w:p>
            <w:pPr>
              <w:pStyle w:val="Normal"/>
              <w:spacing w:lineRule="auto" w:line="240" w:before="0" w:after="0"/>
              <w:ind w:firstLine="317"/>
              <w:jc w:val="both"/>
              <w:rPr>
                <w:rFonts w:ascii="Times New Roman" w:hAnsi="Times New Roman"/>
                <w:sz w:val="24"/>
                <w:szCs w:val="24"/>
              </w:rPr>
            </w:pPr>
            <w:r>
              <w:rPr>
                <w:sz w:val="24"/>
                <w:szCs w:val="24"/>
              </w:rPr>
              <w:t xml:space="preserve">Таким образом, пользование Участком осуществляется </w:t>
              <w:br/>
              <w:t>без оформленных в установленном порядке правоустанвливающих и правоудостоверяющих документов, что является нарушением ст. 25, 26 Земельного кодекса Российской Федерации, ответственность за которое предусмотрено ст. 7.1 КоАП РФ, т.е. использование земельного участка лицом, не имеющим предусмотренных законодательством РФ прав на указанный Участок.</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sz w:val="24"/>
                <w:szCs w:val="24"/>
              </w:rPr>
              <w:t xml:space="preserve"> 24.12.2024 № 059-37-01-32/3-5524, акте обследования от 19.12.2024 № 333</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Согласно сведениям, соде</w:t>
            </w:r>
            <w:r>
              <w:rPr>
                <w:sz w:val="24"/>
                <w:szCs w:val="24"/>
                <w:highlight w:val="white"/>
              </w:rPr>
              <w:t xml:space="preserve">ржащимся в ГПЗУ, ЕГРН </w:t>
              <w:br/>
              <w:t>и справке по градостроительным условиям от 05.05.2025 630688, Участок расположен в границах зон с особыми условиями использования терр</w:t>
            </w:r>
            <w:r>
              <w:rPr>
                <w:sz w:val="24"/>
                <w:szCs w:val="24"/>
              </w:rPr>
              <w:t>итории:</w:t>
            </w:r>
          </w:p>
          <w:p>
            <w:pPr>
              <w:pStyle w:val="Normal"/>
              <w:spacing w:lineRule="auto" w:line="240" w:before="0" w:after="0"/>
              <w:ind w:firstLine="317"/>
              <w:jc w:val="both"/>
              <w:rPr>
                <w:rFonts w:ascii="Times New Roman" w:hAnsi="Times New Roman"/>
                <w:sz w:val="24"/>
                <w:szCs w:val="24"/>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 xml:space="preserve">в соответствии с постановлением Правительства Российской Федерации от 11.03.2010 № 138 </w:t>
              <w:br/>
              <w:t>«Об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pacing w:val="-4"/>
                <w:sz w:val="24"/>
                <w:szCs w:val="24"/>
              </w:rPr>
            </w:pPr>
            <w:r>
              <w:rPr>
                <w:sz w:val="24"/>
                <w:szCs w:val="24"/>
              </w:rPr>
              <w:t xml:space="preserve">На Участке произрастает 6 деревьев пород: </w:t>
            </w:r>
            <w:r>
              <w:rPr>
                <w:spacing w:val="-4"/>
                <w:sz w:val="24"/>
                <w:szCs w:val="24"/>
              </w:rPr>
              <w:t>ель - 1 шт., лиственница - 1 шт., тополь - 1 шт., клен - 1 шт., береза - 2 шт.</w:t>
            </w:r>
          </w:p>
          <w:p>
            <w:pPr>
              <w:pStyle w:val="Normal"/>
              <w:spacing w:lineRule="auto" w:line="240" w:before="0" w:after="0"/>
              <w:ind w:firstLine="317"/>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17"/>
              <w:jc w:val="both"/>
              <w:rPr>
                <w:rFonts w:ascii="Times New Roman" w:hAnsi="Times New Roman"/>
                <w:sz w:val="24"/>
                <w:szCs w:val="24"/>
              </w:rPr>
            </w:pPr>
            <w:r>
              <w:rPr>
                <w:sz w:val="24"/>
                <w:szCs w:val="24"/>
              </w:rPr>
              <w:t xml:space="preserve">Победителю аукциона при проектировании </w:t>
              <w:br/>
              <w:t>и строительстве необходимо предусмотреть условия, указанные в письме (прилагается).</w:t>
            </w:r>
          </w:p>
          <w:p>
            <w:pPr>
              <w:pStyle w:val="BodyText"/>
              <w:spacing w:before="0" w:after="0"/>
              <w:ind w:firstLine="311" w:left="0" w:right="0"/>
              <w:jc w:val="both"/>
              <w:rPr/>
            </w:pPr>
            <w:r>
              <w:rPr>
                <w:color w:val="000000"/>
                <w:sz w:val="24"/>
              </w:rPr>
              <w:t>(Аналогичная информация отражена в письме  у</w:t>
            </w:r>
            <w:r>
              <w:rPr>
                <w:b/>
                <w:color w:val="000000"/>
                <w:sz w:val="24"/>
              </w:rPr>
              <w:t>правления по экологии и природопользованию администрации города Перми</w:t>
            </w:r>
            <w:r>
              <w:rPr>
                <w:color w:val="000000"/>
                <w:sz w:val="24"/>
              </w:rPr>
              <w:t xml:space="preserve"> от </w:t>
            </w:r>
            <w:r>
              <w:rPr>
                <w:sz w:val="24"/>
                <w:szCs w:val="24"/>
              </w:rPr>
              <w:t>13.01.2025 № 059-33-01-10/3-16</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sz w:val="24"/>
                <w:szCs w:val="24"/>
              </w:rPr>
              <w:t xml:space="preserve">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w:t>
              <w:br/>
              <w:t xml:space="preserve">до 2028 года предусмотрено </w:t>
            </w:r>
            <w:r>
              <w:rPr>
                <w:spacing w:val="-2"/>
                <w:sz w:val="24"/>
                <w:szCs w:val="24"/>
              </w:rPr>
              <w:t>строительство сетей водоснабжения и водоотведения в мкр. Чапаевский,</w:t>
            </w:r>
            <w:r>
              <w:rPr>
                <w:sz w:val="24"/>
                <w:szCs w:val="24"/>
              </w:rPr>
              <w:t xml:space="preserve"> мероприятие финансированием не обеспечено.</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 xml:space="preserve">от </w:t>
            </w:r>
            <w:r>
              <w:rPr>
                <w:sz w:val="24"/>
                <w:szCs w:val="24"/>
              </w:rPr>
              <w:t xml:space="preserve">09.01.2025 </w:t>
              <w:br/>
              <w:t>№ 059-04-17/3-1-ри</w:t>
            </w:r>
            <w:r>
              <w:rPr>
                <w:color w:val="000000"/>
                <w:sz w:val="24"/>
              </w:rPr>
              <w:t>).</w:t>
            </w:r>
          </w:p>
          <w:p>
            <w:pPr>
              <w:pStyle w:val="BodyText"/>
              <w:spacing w:before="0" w:after="0"/>
              <w:ind w:firstLine="311" w:left="0" w:right="0"/>
              <w:jc w:val="both"/>
              <w:rPr/>
            </w:pPr>
            <w:r>
              <w:rPr/>
            </w:r>
          </w:p>
          <w:p>
            <w:pPr>
              <w:pStyle w:val="Normal"/>
              <w:spacing w:lineRule="auto" w:line="240" w:before="0" w:after="0"/>
              <w:ind w:firstLine="317"/>
              <w:jc w:val="both"/>
              <w:rPr>
                <w:rFonts w:ascii="Times New Roman" w:hAnsi="Times New Roman"/>
                <w:sz w:val="24"/>
                <w:szCs w:val="24"/>
              </w:rPr>
            </w:pPr>
            <w:r>
              <w:rPr>
                <w:sz w:val="24"/>
                <w:szCs w:val="24"/>
              </w:rPr>
              <w:t xml:space="preserve">Бюджетом города Перми на период 2025-2029 годы мероприятия по строительству, реконструкции, капитальному ремонту улично-дорожной сети </w:t>
              <w:br/>
              <w:t>на рассматриваемой территории не предусмотрены.</w:t>
            </w:r>
          </w:p>
          <w:p>
            <w:pPr>
              <w:pStyle w:val="Normal"/>
              <w:spacing w:lineRule="auto" w:line="240" w:before="0" w:after="0"/>
              <w:ind w:firstLine="317"/>
              <w:jc w:val="both"/>
              <w:rPr>
                <w:rFonts w:ascii="Times New Roman" w:hAnsi="Times New Roman"/>
                <w:sz w:val="24"/>
                <w:szCs w:val="24"/>
              </w:rPr>
            </w:pPr>
            <w:r>
              <w:rPr>
                <w:sz w:val="24"/>
                <w:szCs w:val="24"/>
              </w:rPr>
              <w:t xml:space="preserve">Постановлением администрации города Перми </w:t>
              <w:br/>
              <w:t xml:space="preserve">от 22.12.2017 № 1178, в отношении рассматриваемой территории утверждены проект планировки территории </w:t>
              <w:br/>
              <w:t>и проект межевания территории.</w:t>
            </w:r>
          </w:p>
          <w:p>
            <w:pPr>
              <w:pStyle w:val="Normal"/>
              <w:spacing w:lineRule="auto" w:line="240" w:before="0" w:after="0"/>
              <w:ind w:firstLine="317"/>
              <w:jc w:val="both"/>
              <w:rPr>
                <w:rFonts w:ascii="Times New Roman" w:hAnsi="Times New Roman"/>
                <w:sz w:val="24"/>
                <w:szCs w:val="24"/>
              </w:rPr>
            </w:pPr>
            <w:r>
              <w:rPr>
                <w:sz w:val="24"/>
                <w:szCs w:val="24"/>
              </w:rPr>
              <w:t>Проектом планировки территории не предусмотрено установление красных линий, обозначающих территории общего пользования (улицы, проезды), для обеспечения доступа к Земельному участку.</w:t>
            </w:r>
          </w:p>
          <w:p>
            <w:pPr>
              <w:pStyle w:val="Normal"/>
              <w:spacing w:lineRule="auto" w:line="240" w:before="0" w:after="0"/>
              <w:ind w:firstLine="317"/>
              <w:jc w:val="both"/>
              <w:rPr>
                <w:rFonts w:ascii="Times New Roman" w:hAnsi="Times New Roman"/>
                <w:b/>
                <w:sz w:val="24"/>
                <w:szCs w:val="24"/>
              </w:rPr>
            </w:pPr>
            <w:r>
              <w:rPr>
                <w:b/>
                <w:sz w:val="24"/>
                <w:szCs w:val="24"/>
              </w:rPr>
              <w:t>На сегодняшний день условия примыкания Земельного участка к улично-дорожной сети города Перми отсутствуют.</w:t>
            </w:r>
          </w:p>
          <w:p>
            <w:pPr>
              <w:pStyle w:val="BodyText"/>
              <w:spacing w:before="0" w:after="0"/>
              <w:ind w:firstLine="311" w:left="0" w:right="0"/>
              <w:jc w:val="both"/>
              <w:rPr/>
            </w:pPr>
            <w:r>
              <w:rPr>
                <w:b w:val="false"/>
                <w:bCs w:val="false"/>
                <w:color w:val="000000"/>
                <w:sz w:val="24"/>
              </w:rPr>
              <w:t xml:space="preserve">(Аналогичная информация отражена в письме </w:t>
            </w:r>
            <w:r>
              <w:rPr>
                <w:b/>
                <w:color w:val="000000"/>
                <w:sz w:val="24"/>
              </w:rPr>
              <w:t xml:space="preserve">департамента дорог и благоустройства администрации города Перми </w:t>
            </w:r>
            <w:r>
              <w:rPr>
                <w:b w:val="false"/>
                <w:bCs w:val="false"/>
                <w:color w:val="000000"/>
                <w:sz w:val="24"/>
              </w:rPr>
              <w:t xml:space="preserve">от </w:t>
            </w:r>
            <w:r>
              <w:rPr>
                <w:spacing w:val="-4"/>
                <w:sz w:val="24"/>
                <w:szCs w:val="24"/>
              </w:rPr>
              <w:t>13.01.2025 № 059-24-01-36/3-41</w:t>
            </w:r>
            <w:r>
              <w:rPr>
                <w:b w:val="false"/>
                <w:bCs w:val="false"/>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 xml:space="preserve">Ближайшее подразделение пожарной охраны расположено по адресу: ул. Волховская, 37 (ПСЧ-57 </w:t>
              <w:br/>
              <w:t>10-ПСО).</w:t>
            </w:r>
          </w:p>
          <w:p>
            <w:pPr>
              <w:pStyle w:val="Normal"/>
              <w:spacing w:lineRule="auto" w:line="240" w:before="0" w:after="0"/>
              <w:ind w:firstLine="317"/>
              <w:jc w:val="both"/>
              <w:rPr>
                <w:rFonts w:ascii="Times New Roman" w:hAnsi="Times New Roman"/>
                <w:sz w:val="24"/>
                <w:szCs w:val="24"/>
              </w:rPr>
            </w:pPr>
            <w:r>
              <w:rPr>
                <w:sz w:val="24"/>
                <w:szCs w:val="24"/>
              </w:rPr>
              <w:t>На указанной территории источники противопожарного водоснабжения отсутствуют.</w:t>
            </w:r>
          </w:p>
          <w:p>
            <w:pPr>
              <w:pStyle w:val="Normal"/>
              <w:spacing w:lineRule="auto" w:line="240" w:before="0" w:after="0"/>
              <w:ind w:firstLine="317"/>
              <w:jc w:val="both"/>
              <w:rPr>
                <w:rFonts w:ascii="Times New Roman" w:hAnsi="Times New Roman"/>
                <w:sz w:val="24"/>
                <w:szCs w:val="24"/>
              </w:rPr>
            </w:pPr>
            <w:r>
              <w:rPr>
                <w:sz w:val="24"/>
                <w:szCs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w:t>
              <w:br/>
              <w:t xml:space="preserve">от 21 декабря 1994 г. № 69-ФЗ «О пожарной безопасности» и от 22 июля 2008 г. № 123-ФЗ «Технический регламент </w:t>
              <w:br/>
              <w:t xml:space="preserve">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 Ограничение распространения пожара на объектах защиты. Требования </w:t>
              <w:br/>
              <w:t xml:space="preserve">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 (предусмотрев и запроектировав соответствующее расстояние между строений для обеспечения подъезда и разворота пожарной техники, </w:t>
              <w:br/>
              <w:t xml:space="preserve">а также источники противопожарного водоснабжения </w:t>
              <w:br/>
              <w:t xml:space="preserve">с пожарными гидрантами, которые надлежит размещать </w:t>
              <w:br/>
              <w:t xml:space="preserve">из условия обслуживания ими зданий, находящихся </w:t>
              <w:br/>
              <w:t xml:space="preserve">в радиусе 200 м. Ширина проездов для пожарной техники </w:t>
              <w:br/>
              <w:t>в зависимости от высоты зданий или сооружений должна составлять не менее: 3,5 метров - при высоте зданий или сооружения до 13,0 метров включительно; 4,2 метра - при высоте здания от 13,0 метров до 46,0 метров включительно; 6,0 метров - при высоте здания более 46 метров).</w:t>
            </w:r>
          </w:p>
          <w:p>
            <w:pPr>
              <w:pStyle w:val="Normal"/>
              <w:spacing w:lineRule="auto" w:line="240" w:before="0" w:after="0"/>
              <w:ind w:firstLine="317"/>
              <w:jc w:val="both"/>
              <w:rPr>
                <w:rFonts w:ascii="Times New Roman" w:hAnsi="Times New Roman"/>
                <w:sz w:val="24"/>
                <w:szCs w:val="24"/>
              </w:rPr>
            </w:pPr>
            <w:r>
              <w:rPr>
                <w:sz w:val="24"/>
                <w:szCs w:val="24"/>
              </w:rPr>
              <w:t xml:space="preserve">Помещения для аварийно-спасательных формирований </w:t>
              <w:br/>
              <w:t xml:space="preserve">на указанной территории отсутствуют. В настоящее время потребность в обеспечении служебными помещениями </w:t>
              <w:br/>
              <w:t>для аварийно-спасательных формирований в указанном микрорайоне отсутствует.</w:t>
            </w:r>
          </w:p>
          <w:p>
            <w:pPr>
              <w:pStyle w:val="Normal"/>
              <w:spacing w:lineRule="auto" w:line="240" w:before="0" w:after="0"/>
              <w:ind w:firstLine="317"/>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(Чапаева) отсутствуют. Ближайший участковый пункт расположен по адресу: </w:t>
              <w:br/>
              <w:t xml:space="preserve">г. Пермь, ул. Талицкий переулок, д. 8, (микрорайон Кислотные Дачи, Орджоникидзевского района). </w:t>
              <w:br/>
              <w:t xml:space="preserve">В настоящее время в указанном микрорайоне строительство (приобретение) участковых пунктов полиции </w:t>
              <w:br/>
              <w:t>не планируется.</w:t>
            </w:r>
          </w:p>
          <w:p>
            <w:pPr>
              <w:pStyle w:val="Normal"/>
              <w:spacing w:lineRule="auto" w:line="240" w:before="0" w:after="0"/>
              <w:ind w:firstLine="317"/>
              <w:jc w:val="both"/>
              <w:rPr>
                <w:rFonts w:ascii="Times New Roman" w:hAnsi="Times New Roman"/>
                <w:sz w:val="24"/>
                <w:szCs w:val="24"/>
              </w:rPr>
            </w:pPr>
            <w:r>
              <w:rPr>
                <w:sz w:val="24"/>
                <w:szCs w:val="24"/>
              </w:rPr>
              <w:t xml:space="preserve">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w:t>
              <w:br/>
              <w:t>в особый период.</w:t>
            </w:r>
          </w:p>
          <w:p>
            <w:pPr>
              <w:pStyle w:val="Normal"/>
              <w:spacing w:lineRule="auto" w:line="240" w:before="0" w:after="0"/>
              <w:ind w:firstLine="317"/>
              <w:jc w:val="both"/>
              <w:rPr>
                <w:rFonts w:ascii="Times New Roman" w:hAnsi="Times New Roman"/>
                <w:sz w:val="24"/>
                <w:szCs w:val="24"/>
              </w:rPr>
            </w:pPr>
            <w:r>
              <w:rPr>
                <w:sz w:val="24"/>
                <w:szCs w:val="24"/>
              </w:rPr>
              <w:t xml:space="preserve">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1-й Еловский переулок, </w:t>
              <w:br/>
              <w:t>д. 22 – 600 метров.</w:t>
            </w:r>
          </w:p>
          <w:p>
            <w:pPr>
              <w:pStyle w:val="BodyText"/>
              <w:spacing w:before="0" w:after="0"/>
              <w:ind w:firstLine="311" w:left="0" w:right="0"/>
              <w:jc w:val="both"/>
              <w:rPr/>
            </w:pPr>
            <w:r>
              <w:rPr>
                <w:sz w:val="24"/>
                <w:szCs w:val="24"/>
              </w:rPr>
              <w:t>(Аналогичная информация отражена в письме</w:t>
            </w:r>
            <w:r>
              <w:rPr/>
              <w:t xml:space="preserve">  </w:t>
            </w:r>
            <w:r>
              <w:rPr>
                <w:b/>
                <w:color w:val="000000"/>
                <w:sz w:val="24"/>
              </w:rPr>
              <w:t>департамента общественной безопасности администрации города Перми</w:t>
            </w:r>
            <w:r>
              <w:rPr>
                <w:color w:val="000000"/>
              </w:rPr>
              <w:t xml:space="preserve"> </w:t>
            </w:r>
            <w:r>
              <w:rPr>
                <w:sz w:val="24"/>
                <w:szCs w:val="24"/>
              </w:rPr>
              <w:t>14.01.2025 № 059-10-01-27/3-71</w:t>
            </w:r>
            <w:r>
              <w:rPr>
                <w:color w:val="000000"/>
                <w:sz w:val="24"/>
              </w:rPr>
              <w:t>).</w:t>
            </w:r>
          </w:p>
          <w:p>
            <w:pPr>
              <w:pStyle w:val="BodyText"/>
              <w:ind w:firstLine="312"/>
              <w:jc w:val="both"/>
              <w:rPr>
                <w:color w:val="000000"/>
                <w:sz w:val="24"/>
              </w:rPr>
            </w:pPr>
            <w:r>
              <w:rPr>
                <w:color w:val="000000"/>
                <w:sz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ind w:firstLine="362"/>
              <w:jc w:val="both"/>
              <w:rPr>
                <w:color w:val="auto"/>
                <w:sz w:val="24"/>
                <w:szCs w:val="24"/>
              </w:rPr>
            </w:pPr>
            <w:r>
              <w:rPr>
                <w:color w:val="auto"/>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 xml:space="preserve">или гостиную, спальню), а также вспомогательные помещения: переднюю, кухню (в том числе кухню-столовую и (или) кухню-нишу), ванные комнаты </w:t>
              <w:br/>
              <w:t>и (или) душевые, туалет (уборную) или совмещенный санузел, переднюю.</w:t>
            </w:r>
          </w:p>
          <w:p>
            <w:pPr>
              <w:pStyle w:val="Normal"/>
              <w:ind w:firstLine="362"/>
              <w:jc w:val="both"/>
              <w:rPr>
                <w:color w:val="auto"/>
                <w:sz w:val="24"/>
                <w:szCs w:val="24"/>
              </w:rPr>
            </w:pPr>
            <w:r>
              <w:rPr>
                <w:color w:val="auto"/>
                <w:sz w:val="24"/>
                <w:szCs w:val="24"/>
              </w:rPr>
              <w:t xml:space="preserve">Согласно пункту 6.1 СП 55.13330.2016 площади помещений строящихся и реконструируемых жилых домов должны быть не менее: общей комнаты </w:t>
              <w:br/>
              <w:t xml:space="preserve">в однокомнатном доме – 14 м2, общей комнаты в доме </w:t>
              <w:br/>
              <w:t xml:space="preserve">с числом комнат две и более – 16 м2, спальни – 8 м2 </w:t>
              <w:br/>
              <w:t xml:space="preserve">(на двух человек – 10 м2); кухни – 8 м2; кухонной зоны </w:t>
              <w:br/>
              <w:t xml:space="preserve">в кухне-столовой – 6 м2. В домах с одной комнатой допускается проектировать кухни или кухни-ниши площадью не менее 5 м2. Площадь спальни и кухни </w:t>
              <w:br/>
              <w:t xml:space="preserve">в мансардном этаже (или этаже с наклонными ограждающими конструкциями) допускается не менее </w:t>
              <w:br/>
              <w:t>7 м2 при условии, что общая жилая комната имеет площадь не менее 16 м2.</w:t>
            </w:r>
          </w:p>
          <w:p>
            <w:pPr>
              <w:pStyle w:val="Normal"/>
              <w:ind w:firstLine="362"/>
              <w:jc w:val="both"/>
              <w:rPr>
                <w:color w:val="auto"/>
                <w:sz w:val="24"/>
                <w:szCs w:val="24"/>
              </w:rPr>
            </w:pPr>
            <w:r>
              <w:rPr>
                <w:color w:val="auto"/>
                <w:sz w:val="24"/>
                <w:szCs w:val="24"/>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w:t>
              <w:br/>
              <w:t>не менее 2,5 м. Высота внутридомовых коридоров, холлов, передних, антресолей должна составлять не менее 2,1 м,</w:t>
              <w:br/>
              <w:t xml:space="preserve"> а высота пути эвакуации – не менее 2,2 м.</w:t>
            </w:r>
          </w:p>
          <w:p>
            <w:pPr>
              <w:pStyle w:val="Normal"/>
              <w:ind w:firstLine="362"/>
              <w:jc w:val="both"/>
              <w:rPr>
                <w:color w:val="auto"/>
                <w:sz w:val="24"/>
                <w:szCs w:val="24"/>
              </w:rPr>
            </w:pPr>
            <w:r>
              <w:rPr>
                <w:color w:val="auto"/>
                <w:sz w:val="24"/>
                <w:szCs w:val="24"/>
              </w:rPr>
              <w:t xml:space="preserve">В жилых комнатах и кухнях, расположенных в этажах </w:t>
              <w:br/>
              <w:t xml:space="preserve">с наклонными ограждающими конструкциями </w:t>
              <w:b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ind w:firstLine="362"/>
              <w:jc w:val="both"/>
              <w:rPr>
                <w:color w:val="auto"/>
                <w:sz w:val="24"/>
                <w:szCs w:val="24"/>
              </w:rPr>
            </w:pPr>
            <w:r>
              <w:rPr>
                <w:color w:val="auto"/>
                <w:sz w:val="24"/>
                <w:szCs w:val="24"/>
              </w:rPr>
              <w:t>Согласно информации, содержащейся</w:t>
              <w:br/>
              <w:t xml:space="preserve">в ГПЗУ, предельная высота зданий, строений  не более </w:t>
              <w:br/>
              <w:t>10,5 м (документация по планировке территории, утвержденная постановлением администрации города Перми от 23.12.2015 № 1102).</w:t>
            </w:r>
          </w:p>
          <w:p>
            <w:pPr>
              <w:pStyle w:val="Normal"/>
              <w:ind w:firstLine="362"/>
              <w:jc w:val="both"/>
              <w:rPr>
                <w:color w:val="auto"/>
                <w:sz w:val="24"/>
                <w:szCs w:val="24"/>
              </w:rPr>
            </w:pPr>
            <w:r>
              <w:rPr>
                <w:color w:val="auto"/>
                <w:sz w:val="24"/>
                <w:szCs w:val="24"/>
              </w:rPr>
              <w:t xml:space="preserve">Минимальный отступ от границ земельного участка </w:t>
              <w:br/>
              <w:t xml:space="preserve">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ind w:firstLine="362"/>
              <w:jc w:val="both"/>
              <w:rPr>
                <w:color w:val="auto"/>
                <w:sz w:val="24"/>
                <w:szCs w:val="24"/>
              </w:rPr>
            </w:pPr>
            <w:r>
              <w:rPr>
                <w:color w:val="auto"/>
                <w:sz w:val="24"/>
                <w:szCs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 xml:space="preserve">не менее 4,5 м над территорией общего пользования, составляет не более 1,2 м от красной линии. В случаях, когда линия регулирования застройки отличается </w:t>
              <w:br/>
              <w:t>от красной линии, указанный выступ может быть произведен за линию регулирования застройки.</w:t>
            </w:r>
          </w:p>
          <w:p>
            <w:pPr>
              <w:pStyle w:val="Normal"/>
              <w:ind w:firstLine="362"/>
              <w:jc w:val="both"/>
              <w:rPr>
                <w:color w:val="auto"/>
                <w:sz w:val="24"/>
                <w:szCs w:val="24"/>
              </w:rPr>
            </w:pPr>
            <w:r>
              <w:rPr>
                <w:color w:val="auto"/>
                <w:sz w:val="24"/>
                <w:szCs w:val="24"/>
              </w:rPr>
              <w:t xml:space="preserve">Максимальный процент застройки в границах </w:t>
              <w:br/>
              <w:t>Участка – 30%.</w:t>
            </w:r>
          </w:p>
          <w:p>
            <w:pPr>
              <w:pStyle w:val="Normal"/>
              <w:ind w:firstLine="362"/>
              <w:jc w:val="both"/>
              <w:rPr>
                <w:color w:val="auto"/>
                <w:sz w:val="24"/>
                <w:szCs w:val="24"/>
              </w:rPr>
            </w:pPr>
            <w:r>
              <w:rPr>
                <w:color w:val="auto"/>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11" w:left="0" w:right="0"/>
              <w:jc w:val="both"/>
              <w:rPr>
                <w:color w:val="000000"/>
                <w:sz w:val="24"/>
                <w:szCs w:val="24"/>
              </w:rPr>
            </w:pPr>
            <w:r>
              <w:rPr>
                <w:sz w:val="24"/>
                <w:szCs w:val="24"/>
              </w:rPr>
              <w:t xml:space="preserve">О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rPr>
            </w:pPr>
            <w:r>
              <w:rPr>
                <w:sz w:val="24"/>
                <w:szCs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rPr>
            </w:pPr>
            <w:r>
              <w:rPr>
                <w:sz w:val="24"/>
                <w:szCs w:val="24"/>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317"/>
              <w:jc w:val="both"/>
              <w:rPr>
                <w:rFonts w:ascii="Times New Roman" w:hAnsi="Times New Roman"/>
                <w:sz w:val="24"/>
              </w:rPr>
            </w:pPr>
            <w:r>
              <w:rPr>
                <w:sz w:val="24"/>
                <w:szCs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rPr>
            </w:pPr>
            <w:r>
              <w:rPr>
                <w:sz w:val="24"/>
                <w:szCs w:val="24"/>
              </w:rPr>
              <w:t xml:space="preserve">Подать заявку на технологическое присоединение возможно через единый федеральный портал электросетевых услуг группы </w:t>
            </w:r>
            <w:r>
              <w:rPr>
                <w:spacing w:val="-2"/>
                <w:sz w:val="24"/>
                <w:szCs w:val="24"/>
              </w:rPr>
              <w:t xml:space="preserve">компаний «Россети» </w:t>
              <w:br/>
              <w:t xml:space="preserve">на сайте: </w:t>
            </w:r>
            <w:hyperlink r:id="rId10">
              <w:r>
                <w:rPr>
                  <w:rStyle w:val="ListLabel37"/>
                  <w:color w:val="000000"/>
                  <w:spacing w:val="-2"/>
                  <w:sz w:val="24"/>
                  <w:szCs w:val="24"/>
                  <w:u w:val="single"/>
                  <w:lang w:val="en-US"/>
                </w:rPr>
                <w:t>https</w:t>
              </w:r>
              <w:r>
                <w:rPr>
                  <w:rStyle w:val="ListLabel37"/>
                  <w:color w:val="000000"/>
                  <w:spacing w:val="-2"/>
                  <w:sz w:val="24"/>
                  <w:szCs w:val="24"/>
                  <w:u w:val="single"/>
                </w:rPr>
                <w:t>://портал-тп.рф</w:t>
              </w:r>
            </w:hyperlink>
            <w:r>
              <w:rPr>
                <w:spacing w:val="-2"/>
                <w:sz w:val="24"/>
                <w:szCs w:val="24"/>
              </w:rPr>
              <w:t xml:space="preserve"> или через Мобильное</w:t>
            </w:r>
            <w:r>
              <w:rPr>
                <w:sz w:val="24"/>
                <w:szCs w:val="24"/>
              </w:rPr>
              <w:t xml:space="preserve"> приложение ПАО «Россети».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 xml:space="preserve">от </w:t>
            </w:r>
            <w:r>
              <w:rPr>
                <w:sz w:val="24"/>
                <w:szCs w:val="24"/>
              </w:rPr>
              <w:t xml:space="preserve">24.01.2025 </w:t>
              <w:br/>
              <w:t>№ ПЭ/ПГЭС/01/22/676</w:t>
            </w:r>
            <w:r>
              <w:rPr>
                <w:color w:val="000000"/>
                <w:sz w:val="24"/>
                <w:szCs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szCs w:val="24"/>
                <w:vertAlign w:val="superscript"/>
              </w:rPr>
              <w:t>3</w:t>
            </w:r>
            <w:r>
              <w:rPr>
                <w:sz w:val="24"/>
                <w:szCs w:val="24"/>
              </w:rPr>
              <w:t xml:space="preserve">/час </w:t>
              <w:br/>
              <w:t>к существующим сетям газораспределения имеется.</w:t>
            </w:r>
          </w:p>
          <w:p>
            <w:pPr>
              <w:pStyle w:val="Normal"/>
              <w:spacing w:lineRule="auto" w:line="240" w:before="0" w:after="0"/>
              <w:ind w:firstLine="317"/>
              <w:jc w:val="both"/>
              <w:rPr>
                <w:rFonts w:ascii="Times New Roman" w:hAnsi="Times New Roman"/>
                <w:sz w:val="24"/>
                <w:szCs w:val="24"/>
              </w:rPr>
            </w:pPr>
            <w:r>
              <w:rPr>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в адрес филиала </w:t>
              <w:br/>
              <w:t xml:space="preserve">в г. Пермь АО «Газпром газораспределение Пермь» </w:t>
              <w:br/>
              <w:t xml:space="preserve">(на электронную почту post@pf.ugaz.ru, либо почтовым отправлением по адресу: г. Пермь, ул. Уральская, 104, через Единый центр предоставления услуг по адресу: </w:t>
              <w:br/>
              <w:t xml:space="preserve">г. Пермь, ул. Уральская, д. 104, каб. 101) Заявку </w:t>
              <w:br/>
              <w:t xml:space="preserve">о заключении договора о подключении (технологическом присоединении) по типовой форме с пакетом документов </w:t>
              <w:br/>
              <w:t xml:space="preserve">в соответствии с п.11,16 постановления Правительства Российской Федерации от 13.09.2021 № 1547 </w:t>
              <w:br/>
              <w:t xml:space="preserve">«Об утверждении Правил подключения газоиспользующего оборудования и объектов капитального строительства </w:t>
              <w:br/>
              <w:t>к сетям газораспределения и о признании утратившим силу некоторых актов Правительства Российской Федерации».</w:t>
            </w:r>
          </w:p>
          <w:p>
            <w:pPr>
              <w:pStyle w:val="BodyText"/>
              <w:spacing w:before="0" w:after="0"/>
              <w:ind w:firstLine="311" w:left="0" w:right="0"/>
              <w:jc w:val="both"/>
              <w:rPr/>
            </w:pPr>
            <w:r>
              <w:rPr>
                <w:color w:val="000000"/>
                <w:sz w:val="24"/>
              </w:rPr>
              <w:t xml:space="preserve">(Аналогичная информация отражена в письме  </w:t>
              <w:br/>
            </w:r>
            <w:r>
              <w:rPr>
                <w:b/>
                <w:color w:val="000000"/>
                <w:sz w:val="24"/>
              </w:rPr>
              <w:t>АО «Газпром газораспределение Пермь»</w:t>
            </w:r>
            <w:r>
              <w:rPr>
                <w:color w:val="000000"/>
                <w:sz w:val="24"/>
              </w:rPr>
              <w:t xml:space="preserve"> </w:t>
            </w:r>
            <w:r>
              <w:rPr>
                <w:sz w:val="24"/>
                <w:szCs w:val="24"/>
              </w:rPr>
              <w:t xml:space="preserve">10.01.2025 </w:t>
              <w:br/>
              <w:t>№ ПФ-20</w:t>
            </w:r>
            <w:r>
              <w:rPr>
                <w:color w:val="000000"/>
                <w:sz w:val="24"/>
              </w:rPr>
              <w:t>).</w:t>
            </w:r>
          </w:p>
          <w:p>
            <w:pPr>
              <w:pStyle w:val="BodyText"/>
              <w:spacing w:before="0" w:after="0"/>
              <w:ind w:hanging="0"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Ближайшей точкой подключения к сетям водоснабжения, эксплуатируемой ООО «НОВОГОР-Прикамье», является водовод Д-1000 мм по ул. Чапаева, внутри квартала.</w:t>
            </w:r>
          </w:p>
          <w:p>
            <w:pPr>
              <w:pStyle w:val="Normal"/>
              <w:spacing w:lineRule="auto" w:line="240" w:before="0" w:after="0"/>
              <w:ind w:firstLine="317"/>
              <w:jc w:val="both"/>
              <w:rPr>
                <w:rFonts w:ascii="Times New Roman" w:hAnsi="Times New Roman"/>
                <w:sz w:val="24"/>
                <w:szCs w:val="24"/>
              </w:rPr>
            </w:pPr>
            <w:r>
              <w:rPr>
                <w:sz w:val="24"/>
                <w:szCs w:val="24"/>
              </w:rPr>
              <w:t>Ближайшей точкой подключения к сетям водоотведения, эксплуатируемой ООО «НОВОГОР-Прикамье», является сеть канализации Д-200 мм по ул. Липовая.</w:t>
            </w:r>
          </w:p>
          <w:p>
            <w:pPr>
              <w:pStyle w:val="Normal"/>
              <w:spacing w:lineRule="auto" w:line="240" w:before="0" w:after="0"/>
              <w:ind w:firstLine="317"/>
              <w:jc w:val="both"/>
              <w:rPr>
                <w:rFonts w:ascii="Times New Roman" w:hAnsi="Times New Roman"/>
                <w:sz w:val="24"/>
                <w:szCs w:val="24"/>
              </w:rPr>
            </w:pPr>
            <w:r>
              <w:rPr>
                <w:sz w:val="24"/>
                <w:szCs w:val="24"/>
              </w:rPr>
              <w:t xml:space="preserve">Для сведения сообщаем, что в границах вышеуказанного земельного участка отсутствуют сети водопровода </w:t>
              <w:br/>
              <w:t>и канализации, эксплуатируемые ООО «НОВОГОР-Прикамье».</w:t>
            </w:r>
          </w:p>
          <w:p>
            <w:pPr>
              <w:pStyle w:val="Normal"/>
              <w:spacing w:lineRule="auto" w:line="240" w:before="0" w:after="0"/>
              <w:ind w:firstLine="317"/>
              <w:jc w:val="both"/>
              <w:rPr>
                <w:rFonts w:ascii="Times New Roman" w:hAnsi="Times New Roman"/>
                <w:sz w:val="24"/>
                <w:szCs w:val="24"/>
              </w:rPr>
            </w:pPr>
            <w:r>
              <w:rPr>
                <w:sz w:val="24"/>
                <w:szCs w:val="24"/>
              </w:rPr>
              <w:t xml:space="preserve">При этом обращаем Ваше внимание, размещение объекта необходимо предусматривать строго за пределами охранных зон сетей водопровода и канализации </w:t>
              <w:br/>
              <w:t xml:space="preserve">в соответствии норм CП, в том числе </w:t>
              <w:br/>
              <w:t xml:space="preserve">в соответствии таблицы 12.5 CП 42.13330.2016 «Градостроительство. Планировка и настройка городских </w:t>
              <w:br/>
              <w:t>и сельских поселений».</w:t>
            </w:r>
          </w:p>
          <w:p>
            <w:pPr>
              <w:pStyle w:val="BodyText"/>
              <w:spacing w:before="0" w:after="0"/>
              <w:ind w:firstLine="311" w:left="0" w:right="0"/>
              <w:jc w:val="both"/>
              <w:rPr/>
            </w:pPr>
            <w:r>
              <w:rPr>
                <w:color w:val="000000"/>
                <w:sz w:val="24"/>
              </w:rPr>
              <w:t xml:space="preserve">(Аналогичная информация отражена в письме  </w:t>
              <w:br/>
            </w:r>
            <w:r>
              <w:rPr>
                <w:b/>
                <w:color w:val="000000"/>
                <w:sz w:val="24"/>
              </w:rPr>
              <w:t xml:space="preserve">ООО «НОВОГОР-Прикамье» </w:t>
            </w:r>
            <w:r>
              <w:rPr>
                <w:sz w:val="24"/>
                <w:szCs w:val="24"/>
              </w:rPr>
              <w:t>от 16.01.2025 № 110-0435</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 xml:space="preserve">Участок находится вне зоны теплоснабжения ПАО  </w:t>
              <w:br/>
              <w:t>«Т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w:t>
            </w:r>
            <w:r>
              <w:rPr>
                <w:sz w:val="24"/>
                <w:szCs w:val="24"/>
              </w:rPr>
              <w:t>от 22.01.2025 № 51000-32-00131</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sz w:val="24"/>
                <w:szCs w:val="24"/>
              </w:rPr>
              <w:t>Техническая возможность подключения объекта капитального строительства к сетям теплоснабжения отсутствует. Рекомендовано рассмотреть альтернативные источники теплоснабжения – газ, пеллеты, дрова и иные источники теплоснабжения.</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епартамента жилищно-коммунального хозяйства</w:t>
            </w:r>
            <w:r>
              <w:rPr>
                <w:color w:val="000000"/>
                <w:sz w:val="24"/>
              </w:rPr>
              <w:t xml:space="preserve">  </w:t>
            </w:r>
            <w:r>
              <w:rPr>
                <w:sz w:val="24"/>
                <w:szCs w:val="24"/>
              </w:rPr>
              <w:t>07.02.2025 № 059-04-25/3-23-ри</w:t>
            </w:r>
            <w:r>
              <w:rPr>
                <w:color w:val="000000"/>
                <w:sz w:val="24"/>
              </w:rPr>
              <w:t>).</w:t>
            </w:r>
          </w:p>
          <w:p>
            <w:pPr>
              <w:pStyle w:val="BodyText"/>
              <w:spacing w:before="0" w:after="0"/>
              <w:ind w:firstLine="452" w:left="0" w:right="0"/>
              <w:jc w:val="both"/>
              <w:rPr/>
            </w:pPr>
            <w:r>
              <w:rPr/>
            </w:r>
          </w:p>
          <w:p>
            <w:pPr>
              <w:pStyle w:val="Normal"/>
              <w:spacing w:lineRule="auto" w:line="240" w:before="0" w:after="0"/>
              <w:ind w:firstLine="317"/>
              <w:jc w:val="both"/>
              <w:rPr>
                <w:rFonts w:ascii="Times New Roman" w:hAnsi="Times New Roman"/>
                <w:sz w:val="24"/>
              </w:rPr>
            </w:pPr>
            <w:r>
              <w:rPr>
                <w:sz w:val="24"/>
                <w:szCs w:val="24"/>
              </w:rPr>
              <w:t xml:space="preserve">Технологическое присоединение к сетям связи </w:t>
              <w:br/>
            </w:r>
            <w:r>
              <w:rPr>
                <w:b/>
                <w:bCs/>
                <w:sz w:val="24"/>
                <w:szCs w:val="24"/>
              </w:rPr>
              <w:t xml:space="preserve">ПАО «Ростелеком» </w:t>
            </w:r>
            <w:r>
              <w:rPr>
                <w:sz w:val="24"/>
                <w:szCs w:val="24"/>
              </w:rPr>
              <w:t>может быть произведено в точке подключения узел ВОЛС (г. Пермь, ул. Кронита, 8), максимальную нагрузку в точке подключения (технологического подключения) определить на стадии проектирования. В границах Участка сети ПАО «Ростелеком» отсутствуют.</w:t>
            </w:r>
          </w:p>
          <w:p>
            <w:pPr>
              <w:pStyle w:val="Normal"/>
              <w:spacing w:lineRule="auto" w:line="240" w:before="0" w:after="0"/>
              <w:ind w:firstLine="317"/>
              <w:jc w:val="both"/>
              <w:rPr>
                <w:rFonts w:ascii="Times New Roman" w:hAnsi="Times New Roman"/>
                <w:sz w:val="24"/>
                <w:szCs w:val="24"/>
              </w:rPr>
            </w:pPr>
            <w:r>
              <w:rPr>
                <w:sz w:val="24"/>
                <w:szCs w:val="24"/>
              </w:rPr>
              <w:t xml:space="preserve">Для подключения (технологического присоединения) вышеуказанного объекта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w:t>
              <w:br/>
            </w:r>
            <w:r>
              <w:rPr>
                <w:spacing w:val="-6"/>
                <w:sz w:val="24"/>
                <w:szCs w:val="24"/>
              </w:rPr>
              <w:t>о подключении в порядке, определенном действующим законодательством.</w:t>
            </w:r>
          </w:p>
          <w:p>
            <w:pPr>
              <w:pStyle w:val="Normal"/>
              <w:spacing w:lineRule="auto" w:line="240" w:before="0" w:after="0"/>
              <w:ind w:firstLine="317"/>
              <w:jc w:val="both"/>
              <w:rPr>
                <w:rFonts w:ascii="Times New Roman" w:hAnsi="Times New Roman"/>
                <w:spacing w:val="-2"/>
                <w:sz w:val="24"/>
                <w:szCs w:val="24"/>
              </w:rPr>
            </w:pPr>
            <w:r>
              <w:rPr>
                <w:spacing w:val="-2"/>
                <w:sz w:val="24"/>
                <w:szCs w:val="24"/>
              </w:rPr>
              <w:t xml:space="preserve">Срок действия технических условий составляет 3 года </w:t>
              <w:br/>
              <w:t>со дня выдачи.</w:t>
            </w:r>
          </w:p>
          <w:p>
            <w:pPr>
              <w:pStyle w:val="Normal"/>
              <w:spacing w:lineRule="auto" w:line="240" w:before="0" w:after="0"/>
              <w:ind w:firstLine="317"/>
              <w:jc w:val="both"/>
              <w:rPr>
                <w:rFonts w:ascii="Times New Roman" w:hAnsi="Times New Roman"/>
                <w:sz w:val="24"/>
                <w:szCs w:val="24"/>
              </w:rPr>
            </w:pPr>
            <w:r>
              <w:rPr>
                <w:sz w:val="24"/>
                <w:szCs w:val="24"/>
              </w:rPr>
              <w:t xml:space="preserve">В случае, если в течении 1 года (при комплексном развитии территории – 3 лет) со дня выдачи технических условий заявителем не будет подана заявка </w:t>
              <w:br/>
              <w:t xml:space="preserve">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w:t>
              <w:br/>
              <w:t>к сетям электросвязи», утвержденные постановлением Правительства РФ от 01.07.2022 № 1196).</w:t>
            </w:r>
          </w:p>
          <w:p>
            <w:pPr>
              <w:pStyle w:val="Normal"/>
              <w:spacing w:lineRule="auto" w:line="240" w:before="0" w:after="0"/>
              <w:ind w:firstLine="317"/>
              <w:jc w:val="both"/>
              <w:rPr>
                <w:rFonts w:ascii="Times New Roman" w:hAnsi="Times New Roman"/>
                <w:color w:val="auto"/>
                <w:sz w:val="24"/>
                <w:szCs w:val="24"/>
              </w:rPr>
            </w:pPr>
            <w:r>
              <w:rPr>
                <w:sz w:val="24"/>
                <w:szCs w:val="24"/>
              </w:rPr>
              <w:t xml:space="preserve">Для получения ТУ на подключение к сетям связи </w:t>
              <w:br/>
              <w:t xml:space="preserve">ПАО «Ростелеком» необходимо обратиться в Отдел продаж и обслуживания по адресу: г. Пермь, </w:t>
              <w:br/>
              <w:t>ул. Крупской, 2, тел.: +7 (342) 235-57-34 или направить запро</w:t>
            </w:r>
            <w:r>
              <w:rPr>
                <w:color w:val="auto"/>
                <w:sz w:val="24"/>
                <w:szCs w:val="24"/>
              </w:rPr>
              <w:t xml:space="preserve">с на </w:t>
            </w:r>
            <w:hyperlink r:id="rId11">
              <w:r>
                <w:rPr>
                  <w:rStyle w:val="ListLabel38"/>
                  <w:color w:val="auto"/>
                  <w:sz w:val="24"/>
                  <w:szCs w:val="24"/>
                  <w:u w:val="single"/>
                </w:rPr>
                <w:t>perm-mail@ural.rt.ru.</w:t>
              </w:r>
            </w:hyperlink>
          </w:p>
          <w:p>
            <w:pPr>
              <w:pStyle w:val="BodyText"/>
              <w:spacing w:before="0" w:after="0"/>
              <w:ind w:firstLine="311" w:left="0" w:right="0"/>
              <w:jc w:val="both"/>
              <w:rPr>
                <w:u w:val="none"/>
              </w:rPr>
            </w:pPr>
            <w:r>
              <w:rPr>
                <w:color w:val="000000"/>
                <w:sz w:val="24"/>
                <w:u w:val="none"/>
              </w:rPr>
              <w:t xml:space="preserve">(Аналогичная информация отражена в письме </w:t>
            </w:r>
            <w:r>
              <w:rPr>
                <w:b/>
                <w:color w:val="000000"/>
                <w:sz w:val="24"/>
                <w:u w:val="none"/>
              </w:rPr>
              <w:t xml:space="preserve">ПАО «Ростелеком»   </w:t>
            </w:r>
            <w:r>
              <w:rPr>
                <w:sz w:val="24"/>
                <w:szCs w:val="24"/>
              </w:rPr>
              <w:t>16.01.2025 № 01/05/4851/25</w:t>
            </w:r>
            <w:r>
              <w:rPr>
                <w:b w:val="false"/>
                <w:bCs w:val="false"/>
                <w:color w:val="000000"/>
                <w:sz w:val="24"/>
                <w:u w:val="none"/>
              </w:rPr>
              <w:t>).</w:t>
            </w:r>
          </w:p>
          <w:p>
            <w:pPr>
              <w:pStyle w:val="BodyText"/>
              <w:spacing w:before="0" w:after="0"/>
              <w:ind w:firstLine="311" w:left="0" w:right="0"/>
              <w:jc w:val="both"/>
              <w:rPr>
                <w:color w:val="000000"/>
                <w:sz w:val="24"/>
                <w:szCs w:val="24"/>
                <w:u w:val="none"/>
              </w:rPr>
            </w:pPr>
            <w:r>
              <w:rPr>
                <w:color w:val="000000"/>
                <w:sz w:val="24"/>
                <w:szCs w:val="24"/>
                <w:u w:val="none"/>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2 к настоящему извещению)</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211 000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10 550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2"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rPr>
            </w:pPr>
            <w:r>
              <w:rPr>
                <w:b/>
                <w:color w:val="000000"/>
                <w:sz w:val="24"/>
                <w:szCs w:val="24"/>
              </w:rPr>
              <w:t xml:space="preserve">Решение о проведении аукциона принято </w:t>
              <w:br/>
              <w:t xml:space="preserve">в соответствии со статьей 39.11 Земельного кодекса Российской Федерации. Аукцион является открытым </w:t>
              <w:br/>
              <w:t>по составу участников.</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105 500 руб.</w:t>
            </w:r>
          </w:p>
          <w:p>
            <w:pPr>
              <w:pStyle w:val="Normal"/>
              <w:jc w:val="both"/>
              <w:rPr>
                <w:sz w:val="24"/>
                <w:szCs w:val="24"/>
              </w:rPr>
            </w:pPr>
            <w:r>
              <w:rPr>
                <w:sz w:val="24"/>
                <w:szCs w:val="24"/>
              </w:rPr>
            </w:r>
          </w:p>
        </w:tc>
      </w:tr>
      <w:tr>
        <w:trPr>
          <w:trHeight w:val="236" w:hRule="atLeast"/>
        </w:trPr>
        <w:tc>
          <w:tcPr>
            <w:tcW w:w="358"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13.05.2025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17.06.2025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18.06.2025.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19.06</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3"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13.05.2025 по 17.06.2025.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13.05.2025 по 17.06.2025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 договоров является частью извещения и представлен в Приложении 2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14"/>
      <w:headerReference w:type="first" r:id="rId15"/>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16</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82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2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2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2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2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2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2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3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3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3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3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3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3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3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3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3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3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4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4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4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5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5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5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5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5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5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5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5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5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5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6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6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6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6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6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6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6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6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6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6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7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7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7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7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7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7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7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7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7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7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8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8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8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8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8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8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8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8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8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8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9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9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9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9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9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9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9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9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0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0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0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0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0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0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0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0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0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1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1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1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1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1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1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1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1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1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1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2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2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2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2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2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2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2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2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2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2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3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3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3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3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4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4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4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4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4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4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4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s://&#1087;&#1086;&#1088;&#1090;&#1072;&#1083;-&#1090;&#1087;.&#1088;&#1092;" TargetMode="External"/><Relationship Id="rId11" Type="http://schemas.openxmlformats.org/officeDocument/2006/relationships/hyperlink" Target="mailto:perm-mail@ural.rt.ru" TargetMode="External"/><Relationship Id="rId12" Type="http://schemas.openxmlformats.org/officeDocument/2006/relationships/hyperlink" Target="http://www.torgi.gov.ru/" TargetMode="External"/><Relationship Id="rId13" Type="http://schemas.openxmlformats.org/officeDocument/2006/relationships/hyperlink" Target="http://utp.sberbank-ast.ru/AP/Notice/653/Requisit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Application>LibreOffice/7.6.7.2$Linux_X86_64 LibreOffice_project/60$Build-2</Application>
  <AppVersion>15.0000</AppVersion>
  <Pages>16</Pages>
  <Words>5378</Words>
  <Characters>37536</Characters>
  <CharactersWithSpaces>42865</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2025-05-12T18:00:26Z</dcterms:modified>
  <cp:revision>214</cp:revision>
  <dc:subject/>
  <dc:title>Департамент имущественных отношений администрации города Перми</dc:title>
</cp:coreProperties>
</file>