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14.05.2025 № 059-19-01-11-45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19.06.2025 электронного аукциона на право заключения договора аренды 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на право заключения договора аренды земельного участка (далее – аукцион) проводится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14.05.2025 № 059-19-01-11-45.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08 ноября 2024 г. № 21-01-03-9807 «О проведении аукциона на право заключения договора аренды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Бахаревская, з/у 53в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59:01:4411473:212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склады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29.04.2025г.                 № КУВИ-001/2025-98263240;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№ РФ-59-2-03-0-00-2024-2135-0 (далее – ГПЗУ).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самовольно возведенных объектов капитального строительства не выявлено. По южной границе Участок имеет ограждение, выполненное из железобетонных плит, в западной части Участка имеется преграждающий забор из профилированного листа, отгораживающий около 1/3 части указанного земельного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Расположение близлежащих источников противопожарного водоснабжения, относительно испрашиваемого земельного участка: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ул. Пристанционная, 37, собственник: Женский монастырь, 25 куб. м,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железо/бетонный резервуар;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ул. Пристанционная, 37, собственник Женский монастырь, 16 куб. м, водонапорная башня;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ул. Пристанционная, 38, собственник Женский монастырь, 170 куб. м, железо/бетонный резервуар.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 администрации Свердловского района города Перми от 18.10.2024 № 059-39-01-29/3-774, в акте выездного обследования от 10.10.2024 № 44).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копией планшета М 1:500 </w:t>
              <w:br/>
              <w:t> от 11.09.2024 (требуется корректура топографической съемки) в границах Участка объекты капитального строительства отсутствуют, частично в границах Участка расположено асфальтобетоное замощение.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Согласно сведениям ЕГРН в границах Участка отсутствуют объекты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ЕГРН, ГПЗУ и справке по градостроительным условиям участка  от 29.04.2025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630507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расположенв ЗОУИТ: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границах зон: Санитарно-защитных зон предприятий Бахаревский элеватор, ООО Тикондегора, Алиев Э.В. (Постановление администрации города Перми от 22.11.2005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2735 «Об утверждении перечней и проектов границ общих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индивидуальных санитарно-защитных зон промышленных предприятий и объектов, расположенных на территории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города Перми»);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полостью в границах зоны охранной зоны транспорта «Зона с особыми условиями использования – Приаэродромная территория аэродрома аэропорта Большое Савино», реестровый номер 59:32-6.553 (Постановление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частично площадью 1528 кв. м в границах зоны санитарной охраны водозаборной скважины № 1усл. железнодорожной станции Бахаревка Пермского территориального участка Свердловской дирекции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по тепловодоснабжению (Свердловский район г. Пермь) (3 пояс), реестровый номер границы 59:01-6.8452.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и строительстве вести в соответствии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Постановлением Главного государственного санитарного врача РФ от 14 марта 2002 г.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2.1.4.1110-02», Приказом Министерства природных ресурсов, лесного хозяйства и экологии Пермского края от 27.08.2015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 xml:space="preserve">СЭД-30-01-02-1122 </w:t>
              <w:br/>
              <w:t> «Об утверждении проекта зон санитарной охраны»; СанПиН 2.1.4.1110-02 «Зоны санитарной охраны источников водоснабжения и водопроводов питьевого назначения» 3.2.2. Мероприятия по третьему поясу 3.2.2.3. Запрещение закачки отработанных вод в подземные горизонты, подземного складирования твердых отходов и разработки недр земли. 3.2.2.4.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указанные  в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9 деревьев породы «тополь». Восстановительную стоимость посчитать  не представляется возможным, так как неизвестно пятно застройки и количество сносимых зеленых насаждений. Средняя стоимость в ценах 2024 г. одного дерева лиственной породы от 17 тыс. руб., а хвойной –  от 20 тыс. руб.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управления по экологии  и природопользованию администрации города Перми  </w:t>
            </w:r>
            <w:r>
              <w:rPr>
                <w:color w:val="000000"/>
                <w:sz w:val="24"/>
              </w:rPr>
              <w:t>от 03.10.2024 № 059-33-01-10/2-270).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 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рассматриваемой территории не запланировано.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примыкания земельного участка к улично-дорожной сети города Перми необходимо выполнить мероприятия, указанные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указывается необходимость соблюдать Правила благоустройства территории города Перми, утвержденные решением Пермской городской Думы от 15.12.2020 № 277, при строительстве объектов недвижимости на земельных участках, предоставленных на торгах, указанные в данном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сообщается, что в соответствии  с Федеральным законом от 08.11.2007 № 257-ФЗ  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о дорожной деятельности в Российской Федерации и о внесении изменений  в отдельные законодательные акты Российской Федерации» расходы на строительство, реконструкцию, капитальный ремонт, ремонт пересечений и примыканий,  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департамента дорог и благоустройства администрации города Перми от </w:t>
            </w:r>
            <w:r>
              <w:rPr>
                <w:color w:val="000000"/>
                <w:sz w:val="24"/>
              </w:rPr>
              <w:t>03.10.2024 № 059-24-01-36/3-3599).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Ближайшие подразделения пожарной охраны расположены по адресу: ул. Белинского, 52, (ПСЧ-5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 В настоящее время потребность в обеспечении служебными помещениями для аварийно-спасательных формирований в указанном 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указанной территории источники противопожарного водоснабжения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рамках мероприятий муниципальной программы «Безопасный город», утвержденной постановлением администрации города Перми от 20.10.2021 № 921, запланировано строительство пожарного водоема по ул. 1-я Бахаревская/ул. Пристационная на земельном участке с кадастровым номером 59:01:4411491:360.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 к объектам полиции (участковые пункты полиции) в данном микрорайоне (Бахаревка)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Ближайший участковый пункт расположен по адресу: г. Пермь, ул. Е. Ярославского, д. 10/1, (микрорайон Крохалева, Свердловского района). В настоящее времяв указанном микрорайоне,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 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01.10.2024 № 059-10-01-27/3-1593).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 в Пермском крае от 16.03.2022 №74-гс </w:t>
            </w:r>
            <w:r>
              <w:rPr>
                <w:color w:val="000000"/>
                <w:sz w:val="24"/>
              </w:rPr>
              <w:t>для строительства объектов городской инфраструктуры (парков, скверов, торгово-развлекательных комплексов, иных зданий и сооружений) обязательным является условие по установке камер видеонаблюдения.</w:t>
            </w:r>
          </w:p>
          <w:p>
            <w:pPr>
              <w:pStyle w:val="BodyText"/>
              <w:ind w:firstLine="31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и (или) минимально допустимые параметры разрешенного строительства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информации, содержащейся в градостроительном плане от 10.10.2024 № РФ-59-2-03-0-00-2024-2135-0 (далее – ГПЗУ) 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 если в границах территориальной зоны предусматривается осуществление деятельности  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 социальной инфраструктур и расчет  показателей максимально допустимого уровня территориальной доступности указанных объектов для населения осуществляются в соответствии  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класс опасности (в соответствии с санитарно-эпидемиологическими правилами) объектов капитального строительства, размещаемых на земельных участках, – IV.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 –0 м. Предельное количество этажей и (или) предельная высота зданий, строений – без ограничений. 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редакцияСНиП 2.07.01-89* коэффициент плотности застройки земельного участка в промышленной зоне составляет 1,8.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Таким образом, предельные параметры разрешенного строительства на земельном участке составляют  3812,4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(2118 кв. м х 1,8).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приложением Г «Площадь и размеры земельных участков складов» СП 42.13330.2016. Свод правил. Градостроительство. Планировка и застройка городских и сельских поселений. Актуализированная редакция СНиП 2.07.01-89* минимальная площадь склада на Участке составляет 621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одноэтажных объектов капитального строительства, 938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многоэтажных объектов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 соответствии с пунктом 2.1.34. Решения Пермской городской Думы от 15.12.2020 № 277 «Об утверждении Правил благоустройства территории города Перми» при проектировании и строительстве объекта капитального строительства необходимо соблюдать требования </w:t>
              <w:br/>
              <w:t> по разработке паспорта внешнего облика объекта капитального строительства (колерный паспорт).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Колерный паспорт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 xml:space="preserve">документ, разрабатываемый </w:t>
              <w:br/>
              <w:t> 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 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 и номерами домов (зданий)), рекламных конструкций,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 также мест для размещения, вида, цветового решения архитектурно-художественной подсветки.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Колерный паспорт подлежит согласованию  с функциональным органом администрации города Перми, осуществляющим функции управления в сфере градостроительства.</w:t>
            </w:r>
          </w:p>
          <w:p>
            <w:pPr>
              <w:pStyle w:val="BodyText"/>
              <w:ind w:hanging="0"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</w:rPr>
              <w:t>Техническая возможность подключения объекта капитального строительства с планируемым объемом потребления газа 8 куб.м/час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</w:rPr>
              <w:t xml:space="preserve">(Аналогичная информация отражена в письме                   </w:t>
            </w:r>
            <w:r>
              <w:rPr>
                <w:b/>
                <w:bCs w:val="false"/>
                <w:color w:val="000000"/>
                <w:sz w:val="24"/>
                <w:szCs w:val="24"/>
                <w:u w:val="none"/>
              </w:rPr>
              <w:t xml:space="preserve">АО «Газпром газораспределение Пермь» </w:t>
            </w: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</w:rPr>
              <w:t>от 04.10.2024 № ПФ-6501).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подключения планируемого к строительству объекта на Участке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планируемой величиной подключаемой нагрузки – 1,22 м3/сут, расходом воды на наружное пожаротушение 30 л/сек, сообщается, что 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наличия технической возможности подключения объекта к централизованной системе водоснабжения необходимо запроектировать и выполнить мероприятия, указанные в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Подключение конкурсной площадки к сетям водоснабжения и водоотведения будет возможно только после выполнения вышеуказанных мероприятий.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03.10.2024 № 110-16294).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b/>
                <w:color w:val="000000"/>
                <w:sz w:val="24"/>
              </w:rPr>
              <w:t xml:space="preserve">Пермские тепловые сети Филиал ПАО «Т Плюс» </w:t>
            </w:r>
            <w:r>
              <w:rPr>
                <w:color w:val="000000"/>
                <w:sz w:val="24"/>
              </w:rPr>
              <w:t>письмом от 07.10.2024 № 51030-01-06502 сообщает, что возможность технологического присоединения к тепловым сетям имеется с возможной присоединяемой нагрузкой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0,03 Гкал/час.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 к сетям связи ПАО «Ростелеком» планируемых к строительству объектов в границах Участка может быть произведено в точке подключения узел ВОЛС (г. Пермь, ул. Солдатова, д. 29а),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07.10.2024  № 01/05/149860/24).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righ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2 к настоящему извещению), победитель аукциона, иное лицо, с которым договор заключается в соответствии с п.13, п.14, п. 20 или п. 25 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однократно за первые 3 года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 xml:space="preserve">тел. 212-61-90 (отдел договоров), </w:t>
            </w:r>
            <w:r>
              <w:rPr>
                <w:b w:val="false"/>
                <w:bCs w:val="false"/>
                <w:sz w:val="24"/>
                <w:szCs w:val="24"/>
                <w:shd w:fill="auto" w:val="clear"/>
              </w:rPr>
              <w:t>реквизиты которого указаны в проекте договора аренды земельного участка (Приложение 2 к настоящему извещению)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529 500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26 475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0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Федерации. Аукцион является открытым по составу участников.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fill="auto" w:val="clear"/>
              </w:rPr>
              <w:t>предмета аукциона)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264 750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10 месяцев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15.05.2025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17.06.2025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18.06.2025.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19.06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15.05.2025 по 17.06.2025.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15.05.2025 по 17.06.2025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>
          <w:rFonts w:ascii="Times New Roman" w:hAnsi="Times New Roman" w:eastAsia="Droid Sans Fallback" w:cs="Lohit Devanagari"/>
          <w:color w:val="auto"/>
          <w:kern w:val="0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Droid Sans Fallback" w:cs="Lohit Devanagari"/>
          <w:color w:val="000000"/>
          <w:kern w:val="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в соответствии 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2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аренды земельного участка </w:t>
      </w:r>
      <w:r>
        <w:rPr>
          <w:b w:val="false"/>
          <w:bCs/>
          <w:shd w:fill="auto" w:val="clear"/>
        </w:rPr>
        <w:t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15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u w:val="none"/>
        <w:szCs w:val="24"/>
        <w:color w:val="000000"/>
        <w:lang w:val="ru-RU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bidi="ru-RU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eastAsia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bCs/>
        <w:lang w:eastAsia="en-US" w:bidi="ru-RU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81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4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2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2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3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Application>LibreOffice/7.6.7.2$Linux_X86_64 LibreOffice_project/60$Build-2</Application>
  <AppVersion>15.0000</AppVersion>
  <Pages>15</Pages>
  <Words>5064</Words>
  <Characters>36175</Characters>
  <CharactersWithSpaces>41149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cp:lastPrinted>2025-03-06T12:24:45Z</cp:lastPrinted>
  <dcterms:modified xsi:type="dcterms:W3CDTF">2025-05-14T17:49:40Z</dcterms:modified>
  <cp:revision>214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