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строенные нежилые помещения общей площадью 37,7 кв. м (кадастровый номер 59:01:3810268:744)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72 500,00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37,3 кв. м (кадастровый номер 59:01:3810268:749)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71 500,00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31,2 кв. м (кадастровый номер 59:01:3810268:746)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18,2 кв. м (кадастровый номер 59:01:3810268:743)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9,1 кв. м (кадастровый номер 59:01:3810268:747)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18 500,00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6,8 кв. м (кадастровый номер 59:01:3810268:748)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137 000,00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Встроенные нежилые помещения общей площадью 44,2 кв. м (кадастровый номер 59:01:4413680:768) в подвале 5-этажного многоквартирного дома. Адрес: Пермский край, г. Пермь, Свердловский р-н, ул. Кузбасская, д. 24, пом. 1-3.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Встроенные нежилые помещения общей площадью 32,0 кв. м (кадастровый номер 59:01:0000000:76273) на первом этаже нежилого здания. Адрес: Пермский край, г. Пермь, Свердловский район, ГСК № 38, по ул. Маршрутная, бокс 26.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247,2 кв. м (кадастровый номер 59:01:4311001:2703) в подвале 5-этажного многоквартирного дома. Адрес: Российская Федерация, Пермский край, </w:t>
            </w:r>
            <w:proofErr w:type="spellStart"/>
            <w:r w:rsidRPr="008931F5">
              <w:rPr>
                <w:rFonts w:ascii="Times New Roman" w:hAnsi="Times New Roman" w:cs="Times New Roman"/>
              </w:rPr>
              <w:t>г.о</w:t>
            </w:r>
            <w:proofErr w:type="spellEnd"/>
            <w:r w:rsidRPr="008931F5">
              <w:rPr>
                <w:rFonts w:ascii="Times New Roman" w:hAnsi="Times New Roman" w:cs="Times New Roman"/>
              </w:rPr>
              <w:t>. Пермский, г. Пермь, ул. Студенческая, д. 26, пом. 2.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1 350 000,00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135 000,00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r w:rsidRPr="0037283F">
              <w:rPr>
                <w:rFonts w:ascii="Times New Roman" w:hAnsi="Times New Roman" w:cs="Times New Roman"/>
                <w:color w:val="000000"/>
              </w:rPr>
              <w:t>20.01.2025</w:t>
            </w:r>
            <w:r>
              <w:rPr>
                <w:rFonts w:ascii="Times New Roman" w:hAnsi="Times New Roman" w:cs="Times New Roman"/>
                <w:color w:val="000000"/>
              </w:rPr>
              <w:t>, 25.02.2025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147,2 кв. м (кадастровый номер 59:01:4410222:1055) в подвале многоквартирного дома.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Адрес: Пермский край, г. Пермь, Дзержинский р-н, ул. Ленина, д. 102, пом. 57-58; 60-68.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8 550 000,00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8931F5" w:rsidRPr="0037283F" w:rsidRDefault="008931F5" w:rsidP="008931F5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30.05.2025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24.06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30.06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30.05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8931F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24.06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8931F5">
        <w:rPr>
          <w:b/>
          <w:sz w:val="24"/>
          <w:szCs w:val="24"/>
        </w:rPr>
        <w:t>30.05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931F5">
        <w:rPr>
          <w:rFonts w:eastAsiaTheme="majorEastAsia"/>
          <w:b/>
          <w:bCs/>
          <w:sz w:val="24"/>
          <w:szCs w:val="24"/>
          <w:lang w:bidi="ru-RU"/>
        </w:rPr>
        <w:t>30.06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D2BF-C2BD-4FD7-89C7-D84BFC43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10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179</cp:revision>
  <cp:lastPrinted>2024-03-22T09:24:00Z</cp:lastPrinted>
  <dcterms:created xsi:type="dcterms:W3CDTF">2017-09-25T05:00:00Z</dcterms:created>
  <dcterms:modified xsi:type="dcterms:W3CDTF">2025-05-28T11:42:00Z</dcterms:modified>
</cp:coreProperties>
</file>