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9125A" w:rsidRPr="00135BEF">
        <w:rPr>
          <w:rFonts w:eastAsia="Courier New"/>
          <w:color w:val="000000"/>
          <w:sz w:val="24"/>
          <w:szCs w:val="24"/>
          <w:lang w:bidi="ru-RU"/>
        </w:rPr>
        <w:t>05.03.2025 № 059-19-01-10-277</w:t>
      </w:r>
      <w:r w:rsidR="0019125A" w:rsidRPr="0037283F">
        <w:rPr>
          <w:rFonts w:eastAsia="Courier New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19125A" w:rsidRPr="0037283F" w:rsidTr="006C5D97">
        <w:tc>
          <w:tcPr>
            <w:tcW w:w="717" w:type="dxa"/>
          </w:tcPr>
          <w:p w:rsidR="0019125A" w:rsidRPr="0037283F" w:rsidRDefault="0019125A" w:rsidP="0019125A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19125A" w:rsidRDefault="0019125A" w:rsidP="0019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площадью 225,3 кв. 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19125A" w:rsidRDefault="0019125A" w:rsidP="0019125A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1 345 000,00</w:t>
            </w:r>
          </w:p>
        </w:tc>
        <w:tc>
          <w:tcPr>
            <w:tcW w:w="1718" w:type="dxa"/>
          </w:tcPr>
          <w:p w:rsidR="0019125A" w:rsidRDefault="0019125A" w:rsidP="0019125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134 500,00</w:t>
            </w:r>
          </w:p>
        </w:tc>
        <w:tc>
          <w:tcPr>
            <w:tcW w:w="3714" w:type="dxa"/>
          </w:tcPr>
          <w:p w:rsidR="0019125A" w:rsidRDefault="0019125A" w:rsidP="0019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02.05.2024, 13.08.2024, 16.10.2024, 14.04.2025, 26.05.2025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2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31.05</w:t>
      </w:r>
      <w:r w:rsidR="009478B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2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2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02.07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912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03.07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19125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31.05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19125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26.06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19125A">
        <w:rPr>
          <w:b/>
          <w:sz w:val="24"/>
          <w:szCs w:val="24"/>
        </w:rPr>
        <w:t>31.05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9125A">
        <w:rPr>
          <w:rFonts w:eastAsiaTheme="majorEastAsia"/>
          <w:b/>
          <w:bCs/>
          <w:sz w:val="24"/>
          <w:szCs w:val="24"/>
          <w:lang w:bidi="ru-RU"/>
        </w:rPr>
        <w:t>02.07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125A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1385-1FA0-4009-8100-0D4F5BC3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9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179</cp:revision>
  <cp:lastPrinted>2024-03-22T09:24:00Z</cp:lastPrinted>
  <dcterms:created xsi:type="dcterms:W3CDTF">2017-09-25T05:00:00Z</dcterms:created>
  <dcterms:modified xsi:type="dcterms:W3CDTF">2025-05-30T05:14:00Z</dcterms:modified>
</cp:coreProperties>
</file>