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от 30.05.2025 № 059-19-01-11-54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26.06.2025 электронного аукциона по продаже 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Электронный аукцион по продаже земельного участка (далее – аукцион) проводится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30.05.2025 № 059-19-01-11-54.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06 марта 2025 г. № 21-01-03-1879 «О проведении аукциона по продаже земельного участка  в Индустриальном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г.о. Пермский, г. Пермь, ул. 3-я Кордонная, зу 15а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59:01:4416032:216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22.05.2025г.            № КУВИ-001/2025-109895649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28.12.2023 № РФ-59-2-03-0-00-2023-2584-0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сведениями из ЕГРН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копией планшета М 1:500 (требующего корректуры)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границах Участка объекты капитального строительства отсутствуют.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визуальном осмотре установлено, доступ </w:t>
              <w:br/>
              <w:t>на территорию Участка ограничен, возведены оградительные конструкции (железный забор), произрастает древесно-кустарниковая растительность, Участок не используется, на Участке расположены объекты движимого имущества. Выявлены признаки нарушения требований земельного законодательства.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Ближайший источник противопожарного водоснабжения относительно обследуемого земельного участка расположен по адресам: г. Пермь, Индустриальный район, ул. 4-ая Кордонная, 4, 2 -пожарный гидрант Т-250. Собственник (гарантирующая организация)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(Аналогичная информация отражена в  акте обследования территории</w:t>
            </w:r>
            <w:r>
              <w:rPr>
                <w:b/>
                <w:sz w:val="24"/>
                <w:szCs w:val="24"/>
              </w:rPr>
              <w:t xml:space="preserve"> администрации Индустриального района города Перми </w:t>
            </w:r>
            <w:r>
              <w:rPr>
                <w:sz w:val="24"/>
                <w:szCs w:val="24"/>
              </w:rPr>
              <w:t>от 30.01.2025 № 6).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>и справке по градостроительным условиям от 22.0</w:t>
            </w:r>
            <w:r>
              <w:rPr>
                <w:sz w:val="24"/>
                <w:szCs w:val="24"/>
                <w:highlight w:val="white"/>
              </w:rPr>
              <w:t>5.2025 № 6</w:t>
            </w:r>
            <w:r>
              <w:rPr>
                <w:sz w:val="24"/>
                <w:szCs w:val="24"/>
              </w:rPr>
              <w:t xml:space="preserve">32478, Участок расположен в границах зон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вести </w:t>
              <w:br/>
              <w:t>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зоне санитарной охраны водозаборной скважины №20712 (III пояс),  реестровый номер границы 59:00-6.2018.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строительство вести в соответствии с постановлением Главного государственного санитарного врача РФ от 14.03.2002 №10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2.1.4.1110-02».;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охранной зоне тепловывода по ул. Промышленная </w:t>
              <w:br/>
              <w:t>с тепломагистралями от ТЭЦ-9 по ул. Подлесная, Свиязева до разводящих сетей города,  реестровый номер границы 59:01-6.2044. Площадь пересечения – 43 кв.м.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строительство вести в соответствии с правилами охраны коммунальных тепловых сетей №197, утвержденные министерством архитектуры, строительства и ЖКХ от 17 августа 1992 года.;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зоне публичного сервитута для размещения линейного объекта: Тепловывод по ул. Промышленная с тепломагистралями от ТЭЦ-9 по ул. Подлесная, Свиязева до разводящих сетей города, реестровый номер границы 59:01-6.7919. Площадь пересечения – 43 кв.м.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произрастает 6 деревьев породы «клен».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11.01.2024 № 3 (прилагается).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11.01.2024 № 059-33-01-10/3-13.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территории, где расположен Участок, на период до 2028 года схемами не предусмотрено 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20.12.2023 № 059-04-17/3-1266-ри).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Бюджетом города Перми на 2024 год и плановый период 2025-2026 годов мероприятия по строительству, реконструкции, капитальному ремонту улично-дорожной сети на Участке не запланировано.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имеет возможность присоединения к автомобильной дороге по ул. 3-я Кордонная. Данная дорога входит в Перечень дорог общего пользования местного значения, утвержденного постановлением администрации города Перми от 02.06.2009 № 298.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направляется информация о необходимости соблюдения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от 27.12.2023 № 059-24-01-36/3-4758.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Ближайшее подразделение пожарной охраны расположено по адресу: ул. Беляева, 29 (ПСЧ-2 10-ПСО);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общественной безопасности, отнесенные</w:t>
              <w:br/>
              <w:t xml:space="preserve"> к объектам полиции (участковые пункты полиции) </w:t>
              <w:br/>
              <w:t xml:space="preserve">в данном микрорайоне (Верхние Муллы) отсутствуют. Ближайший участковый пункт расположен по адресу: </w:t>
              <w:br/>
              <w:t>г. Пермь, ул. Экскаваторная, д. 57 (микрорайон Нагорный, Индустриальный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/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sz w:val="24"/>
                <w:szCs w:val="24"/>
              </w:rPr>
              <w:t xml:space="preserve"> от 25.12.2023  № 059-10-01-27/3-2096.</w:t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Проектирование и строительство необходимо вести </w:t>
              <w:br/>
              <w:t xml:space="preserve">в cоответствии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</w:t>
              <w:br/>
              <w:t xml:space="preserve">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>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 (на двух человек - 10 м2); кухни - 8 м2; кухонной зоны </w:t>
              <w:br/>
              <w:t>в кухне-столовой - 6 м2. В домах с одной комнатой допускается проектировать кухни или кухни-ниши площадью не менее 5 м2. Площадь спальни и кухни в мансардном этаже (или этаже с наклонными ограждающими конструкциями) допускается не менее 7 м2 при условии, что общая жилая комната имеет площадь не менее 16 м2.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Согласно информации, содержащейся в градостроительном плане земельного участка от 28.12.2023 № РФ-59-2-03-0-00-2023-2584-0 (далее – ГПЗУ), предельная высота зданий, строений 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0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 xml:space="preserve">илиала ПАО «Россети Урал» - «Пермэнерго» </w:t>
            </w:r>
            <w:r>
              <w:rPr>
                <w:sz w:val="24"/>
                <w:szCs w:val="24"/>
              </w:rPr>
              <w:t>(ранее – ОАО «МРСК Урала – филиал Пермэнерго») от 29.12.2023                                     № ПЭ/ПГЭС/22/656</w:t>
            </w:r>
            <w:r>
              <w:rPr>
                <w:b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Согласно письму </w:t>
            </w:r>
            <w:r>
              <w:rPr>
                <w:b/>
                <w:sz w:val="24"/>
                <w:szCs w:val="24"/>
              </w:rPr>
              <w:t>АО «Газпром газораспределение Пермь»</w:t>
            </w:r>
            <w:r>
              <w:rPr>
                <w:sz w:val="24"/>
              </w:rPr>
              <w:t xml:space="preserve"> от 22.12.2023 № ПФ-8596 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АО «Газпром газораспределение Пермь»</w:t>
            </w:r>
            <w:r>
              <w:rPr>
                <w:sz w:val="24"/>
                <w:szCs w:val="24"/>
              </w:rPr>
              <w:t xml:space="preserve"> от 22.12.2023 № ПФ-8596.</w:t>
            </w:r>
          </w:p>
          <w:p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Ближайшей точкой подключения к сетям водоснабжения, эксплуатируемой ООО «НОВОГОР-Прикамье» является сеть водопровода Д-50 мм по ул. 3-я Кордонная, ориентировочное расстояние от Участка – 32 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Ближайшие сети водоотведения, эксплуатируемые ООО «НОВОГОР-Прикамье», располагаются по ул. 5-я Ипподромная ориентировочно на расстоянии – 825 м. от Участка.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>от 25.12.2023 № 110-21489.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имеется. Возможные точки присоединения на существующих тепловых трассах: К-838 на М2-09 2Ду600мм. Источник теплоснабжения: ТЭЦ-9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Филиала «Пермский ПАО «Т Плюс»</w:t>
            </w:r>
            <w:r>
              <w:rPr>
                <w:sz w:val="24"/>
                <w:szCs w:val="24"/>
              </w:rPr>
              <w:t xml:space="preserve"> от 26.12.2023 № 51030-01-09335.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2-я Красавинская, д. 79),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ПАО «Ростелеком»</w:t>
            </w:r>
            <w:r>
              <w:rPr>
                <w:color w:val="000000"/>
                <w:sz w:val="24"/>
                <w:szCs w:val="24"/>
              </w:rPr>
              <w:t xml:space="preserve"> от 04.06.2024 № 01/05/79735/24.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аукциона, для строительства (Приложение 2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3 038 000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151 900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1 519 000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19.01.2024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07.06.2025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24.06.2025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25.06.2025.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26.06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07.06.2025 по 24.06.2025.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07.06.2025 по 24.06.2025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2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false"/>
          <w:bCs/>
          <w:shd w:fill="auto" w:val="clear"/>
        </w:rPr>
        <w:t>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купли-продажи,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2"/>
      <w:headerReference w:type="first" r:id="rId13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14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8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8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utp.sberbank-ast.ru/AP/Notice/653/Requisite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LibreOffice/7.6.7.2$Linux_X86_64 LibreOffice_project/60$Build-2</Application>
  <AppVersion>15.0000</AppVersion>
  <Pages>14</Pages>
  <Words>4983</Words>
  <Characters>34929</Characters>
  <CharactersWithSpaces>39830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2025-06-02T09:09:58Z</dcterms:modified>
  <cp:revision>267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