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 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04.06.2025 № 059-19-01-11-56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Извещение о проведении 24.07.2025 электронных аукционов по продаже </w:t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по продаже земельных участков (далее – аукцион) проводятся в соответствии со статьями 39.11, 39.12, 39.13, 39.18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и участков, собственность на которые не разграничена» (далее – комиссия), 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  <w:sz w:val="24"/>
          <w:szCs w:val="24"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/>
          <w:bCs/>
        </w:rPr>
        <w:t xml:space="preserve"> </w:t>
      </w:r>
      <w:r>
        <w:rPr>
          <w:sz w:val="24"/>
          <w:szCs w:val="24"/>
          <w:lang w:val="en-US"/>
        </w:rPr>
        <w:t>dio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perm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permkrai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sz w:val="24"/>
          <w:szCs w:val="24"/>
        </w:rPr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0"/>
          <w:szCs w:val="24"/>
        </w:rPr>
        <w:t xml:space="preserve"> </w:t>
      </w:r>
      <w:r>
        <w:rPr>
          <w:bCs/>
          <w:sz w:val="24"/>
          <w:szCs w:val="28"/>
        </w:rPr>
        <w:t>04.06.2025 № 059-19-01-11-56.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на официальном сайте Российской Федерации для размещения информации о проведении торгов </w:t>
      </w:r>
      <w:hyperlink r:id="rId2" w:tgtFrame="http://www.torgi.gov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torgi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gov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color w:val="000000"/>
          <w:sz w:val="24"/>
          <w:szCs w:val="24"/>
          <w:u w:val="none"/>
        </w:rPr>
        <w:t xml:space="preserve"> (далее – ГИС Торги)</w:t>
      </w:r>
      <w:r>
        <w:rPr>
          <w:b/>
          <w:sz w:val="24"/>
          <w:szCs w:val="24"/>
          <w:lang w:val="ru-RU"/>
        </w:rPr>
        <w:t>,</w:t>
      </w:r>
      <w:r>
        <w:rPr>
          <w:b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3" w:tgtFrame="http://www.gorodperm.ru/">
        <w:r>
          <w:rPr>
            <w:rStyle w:val="Hyperlink"/>
            <w:color w:val="000000"/>
            <w:sz w:val="24"/>
            <w:szCs w:val="24"/>
            <w:u w:val="none"/>
          </w:rPr>
          <w:t>www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gorodperm</w:t>
        </w:r>
        <w:r>
          <w:rPr>
            <w:rStyle w:val="Hyperlink"/>
            <w:color w:val="000000"/>
            <w:sz w:val="24"/>
            <w:szCs w:val="24"/>
            <w:u w:val="none"/>
            <w:lang w:val="ru-RU"/>
          </w:rPr>
          <w:t>.</w:t>
        </w:r>
        <w:r>
          <w:rPr>
            <w:rStyle w:val="Hyperlink"/>
            <w:color w:val="000000"/>
            <w:sz w:val="24"/>
            <w:szCs w:val="24"/>
            <w:u w:val="non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br w:type="textWrapping" w:clear="all"/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rFonts w:eastAsia="Courier New"/>
          <w:lang w:bidi="ru-RU"/>
        </w:rPr>
        <w:br w:type="textWrapping" w:clear="all"/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highlight w:val="none"/>
        </w:rPr>
      </w:pPr>
      <w:r>
        <w:rPr>
          <w:rFonts w:eastAsia="Droid Sans Fallback" w:cs="Lohit Devanagari"/>
          <w:b/>
          <w:bCs/>
          <w:color w:val="000000"/>
          <w:sz w:val="24"/>
          <w:szCs w:val="24"/>
          <w:shd w:fill="FFFFFF" w:val="clear"/>
          <w:lang w:val="ru-RU" w:eastAsia="zh-CN" w:bidi="ar-SA"/>
        </w:rPr>
        <w:t xml:space="preserve">Орган, уполномоченный на заключение договора купли-продажи земельного участка: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 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en-US" w:eastAsia="zh-CN" w:bidi="ar-SA"/>
        </w:rPr>
        <w:t>dzo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ru-RU" w:eastAsia="zh-CN" w:bidi="ar-SA"/>
        </w:rPr>
        <w:t>@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en-US" w:eastAsia="zh-CN" w:bidi="ar-SA"/>
        </w:rPr>
        <w:t>perm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ru-RU" w:eastAsia="zh-CN" w:bidi="ar-SA"/>
        </w:rPr>
        <w:t>.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en-US" w:eastAsia="zh-CN" w:bidi="ar-SA"/>
        </w:rPr>
        <w:t>permkrai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ru-RU" w:eastAsia="zh-CN" w:bidi="ar-SA"/>
        </w:rPr>
        <w:t>.</w:t>
      </w:r>
      <w:r>
        <w:rPr>
          <w:rStyle w:val="Hyperlink"/>
          <w:rFonts w:eastAsia="Droid Sans Fallback" w:cs="Lohit Devanagari"/>
          <w:sz w:val="24"/>
          <w:szCs w:val="24"/>
          <w:shd w:fill="FFFFFF" w:val="clear"/>
          <w:lang w:val="en-US" w:eastAsia="zh-CN" w:bidi="ar-SA"/>
        </w:rPr>
        <w:t>ru.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1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заместителя главы администрации города Перми — начальника департамента земельных отношений  администрации города Перми от 23 марта  2020 г. № 21-01-03-403 «О проведении аукциона по продаже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Бахаревская, з/у 30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59:01:4411069:565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340" w:left="850" w:right="113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340" w:left="850" w:right="113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340" w:left="850" w:right="113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340" w:left="850" w:right="113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4"/>
                <w:szCs w:val="24"/>
                <w:lang w:val="ru-RU" w:eastAsia="zh-CN" w:bidi="ar-SA"/>
              </w:rPr>
              <w:t>ограничение прав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03.03.2025г.                  № КУВИ-001/2025-55572859;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04.10.2023 № РФ-59-2-03-0-00-2023-1947-0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>
              <w:rPr/>
              <w:t xml:space="preserve"> ходе обследования установлено: Участок  огорожен забором, на территории расположен сруб из бревен, полуразрушенный металлический сарай.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both"/>
              <w:rPr/>
            </w:pPr>
            <w:r>
              <w:rPr/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администрации Свердловского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13.05.2024 </w:t>
            </w:r>
            <w:r>
              <w:rPr/>
              <w:t>№ 059-39-01-29/3-359).</w:t>
            </w:r>
          </w:p>
          <w:p>
            <w:pPr>
              <w:pStyle w:val="Normal"/>
              <w:bidi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 и справке по градостроительным условиям от 03.03.2025</w:t>
            </w:r>
            <w:r>
              <w:rPr>
                <w:color w:val="000000"/>
              </w:rPr>
              <w:t xml:space="preserve">          № </w:t>
            </w:r>
            <w:r>
              <w:rPr>
                <w:color w:val="000000"/>
                <w:sz w:val="24"/>
              </w:rPr>
              <w:t>623617,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расположен в границах зон  с особыми условиями использования территории: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Приаэродромной территории аэродрома аэропорта Большое Савино, реестровый номер границы  59:32-6.553.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Частично в зоне санитарной охраны водозаборной скважины  № 1усл. железнодорожной станции Бахаревка Пермского территориального участка Свердловской дирекции по тепловодоснабжению (Свердловский район г. Пермь) (3 пояс), реестровый номер границы </w:t>
              <w:br/>
              <w:t> 59:01-6.8452. Площадь пересечения 152 кв.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и строительстве необходимо учитывать требования 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Главного государственного санитарного врача РФ от 14 марта 2002 г.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 3.2.2. Мероприятия по третьему поясу 3.2.2.3. Запрещение закачки отработанных вод  в подземные горизонты, подземного складирования твердых отходов и разработки недр земли. 3.2.2.4. Запрещение размещения складов горюче-смазочных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 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7 шт. деревьев пород – клен 2 шт., черемуха 1 шт., береза 1 шт., рябина 3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перечисленные в перечне мероприятий по охране окружающей среды от 28.09.2023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335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управления по экологии  и природопользованию администрации города Перми</w:t>
            </w:r>
            <w:r>
              <w:rPr>
                <w:color w:val="000000"/>
                <w:sz w:val="24"/>
              </w:rPr>
              <w:t> от 02.10.2023 № 059-33-01-10/3-762).</w:t>
            </w:r>
          </w:p>
          <w:p>
            <w:pPr>
              <w:pStyle w:val="Normal"/>
              <w:bidi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не предусмотрено строительство сетей водоснабжения и водоотведения.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(Аналогичная информация отражена в письме </w:t>
            </w:r>
            <w:r>
              <w:rPr>
                <w:rFonts w:eastAsia="Droid Sans Fallback" w:cs="Lohit Devanagari"/>
                <w:b/>
                <w:bCs/>
                <w:color w:val="000000"/>
                <w:kern w:val="0"/>
                <w:sz w:val="24"/>
                <w:szCs w:val="24"/>
                <w:lang w:val="ru-RU" w:eastAsia="zh-CN" w:bidi="ar-SA"/>
              </w:rPr>
              <w:t xml:space="preserve">департамента жилищно-коммунального хозяйства администрации города Перми» </w:t>
            </w:r>
            <w:r>
              <w:rPr>
                <w:rFonts w:eastAsia="Droid Sans Fallback" w:cs="Lohit Devanagari"/>
                <w:color w:val="000000"/>
                <w:kern w:val="0"/>
                <w:sz w:val="24"/>
                <w:szCs w:val="24"/>
                <w:lang w:val="ru-RU" w:eastAsia="zh-CN" w:bidi="ar-SA"/>
              </w:rPr>
              <w:t>от 26.09.2023 № 059-04-17/3-874-ри).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2023 год и плановый период 2024-2025 годов мероприятий </w:t>
              <w:br/>
              <w:t> по строительству, реконструкции, капитальному ремонту улично-дорожной сети на рассматриваемой территории не запланировано.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27.09.2023 № 059-24-01-36/3-3337).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ул. Балхашская, 135 (СПСЧ-8 10-ПСО);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источники противопожарного водоснабжения  на Участке отсутствуют;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объекты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общественной безопасности, отнесенные  к объектам полиции (участковые пункты полиции) на территории отсутствуют;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При планировке и размещении объектов  на вышеуказанной территории необходимо соблюдать нормы и требования действующего законодательства: Федеральных законов от 21.12.1994 № 69-ФЗ  «О пожарной безопасности» и от 22.07.2008 № 123-ФЗ «Технический регламент о требованиях пожарной безопасности».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26.09.2023 № 059-10-01-27/3-1649).</w:t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градостроительному плану Земельного участка от 04.10.2023 № РФ-59-2-03-0-00-2023-1947-0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40 %.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случае если в границах территориальной зоны предусматривается осуществление деятельности </w:t>
              <w:br/>
              <w:t> 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социальной инфраструктур и расчет  показателей максимально допустимого уровня территориальной доступности указанных объектов  для населения осуществляются в соответствии 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необходимо вести  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Дом должен включать комнаты -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Согласно пункту 6.1 СП 55.13330.2016 площади помещений строящихся  и реконструируемых жилых домов должны быть не менее: общей комнаты в однокомнатном доме - 14 м2, общей комнаты в доме с числом комнат две и более -  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 8 м2; кухонной зоны в кухне-столовой - 6 м2. В домах  с одной комнатой допускается проектировать кухни  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Площадь спальни и кухни в мансардном этаже </w:t>
              <w:br/>
              <w:t>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(единственному участнику) рекомендовано обратиться в уполномоченный орган  с уведомлением о планируемом строительстве жилого дома.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0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с предполагаемым электоропотреблением  15 кВт,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(далее – Правила),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по утвержденным тарифам согласно постановлению Министерства тарифного регулирования и энергетики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(ранее – ОАО «МРСК Урала – филиал Пермэнерго») от 26.09.2023          № ПЭ/ПГЭС/01/22/9050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29.09.2023              № ПФ-6468).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планируемой величиной подключаемой нагрузки по водоснабжению  и водоотведению – 1,0 м3/сут.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районе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эксплуатируемые ООО «НОВОГОР-Прикамье», располагаются в районе здания по ул. Куйбышева, 128 ориентировочно  на расстоянии – 1380 м от Участка.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водоотведения,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эксплуатируемые ООО «НОВОГОР-Прикамье», располагаются вдоль ул. Брестская ориентировочно на расстоянии – 1100 м  от Участка.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25.09.2023 № 110-15830).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системе теплоснабжения объекта сообщается,  что Участок находится вне зоны теплоснабжения  ПАО «Т плюс».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 xml:space="preserve"> от 12.10.2023 № 51000-32-03023).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На Участке отсутствует система централизованного теплоснабжения.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В качестве альтернативного энергоресурса рекомендуем рассмотреть газ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обратиться в Пермский филиал АО «Газпром газораспределение Пермь».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</w:rPr>
              <w:t xml:space="preserve">                    от 20.10.2023 № 059-39-01-29/03-727).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отсутствует техническая возможность подключения объектов к сетям теплоснабжения.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В качестве альтернативного энергоресурса рекомендуем рассмотреть газ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обратиться в Пермский филиал АО «Газпром газораспределение Пермь».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департамента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>от 16.10.2023 № 059-04-25/3-81-ри).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- узел ВОЛС (г. Пермь, Солдатова, д. 29а),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7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30.05.2024 № 01/05/76581/24).</w:t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2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2 к настоящему извещению)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1 903 000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95 150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951 500 руб.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06.02.2018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2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58"/>
        <w:gridCol w:w="3269"/>
        <w:gridCol w:w="6294"/>
      </w:tblGrid>
      <w:tr>
        <w:trPr>
          <w:trHeight w:val="877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28 декабря 2024 г. № 21-01-03-11918                             «О проведении аукциона по продаже земельного участка             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по продаже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жилой район Ново-Бродовский, улица Пасечная, з/у 3</w:t>
            </w:r>
          </w:p>
        </w:tc>
      </w:tr>
      <w:tr>
        <w:trPr>
          <w:trHeight w:val="148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 кв. м</w:t>
            </w:r>
          </w:p>
        </w:tc>
      </w:tr>
      <w:tr>
        <w:trPr>
          <w:trHeight w:val="155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360" w:left="720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/>
              <w:t>59:01:5010056:166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454" w:left="794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454" w:left="794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576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454" w:left="794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454" w:left="794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от 20.02.2025г. № КУВИ-001/2025-46693607;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10.12.2024 № РФ-59-2-03-0-00-2024-2570-0 (далее – ГПЗУ).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со сведениями из ЕГРН  объекты капитального/некапитального строительства в границах Участка отсутствуют.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находится древесно-кустарниковая растительность.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Близлежащий пожарный водоем железо-бетонный, объемом 100 м3, принадлежит ЖК «Янтарный», расположен по адресу: ул. Виноградная, 22.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</w:rPr>
              <w:t xml:space="preserve"> от 20.12.2024 № 059-39-01-29/3-971).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справке по градостроительным условиям от 20.02.2025</w:t>
            </w:r>
            <w:r>
              <w:rPr>
                <w:color w:val="000000"/>
              </w:rPr>
              <w:t xml:space="preserve">          № </w:t>
            </w:r>
            <w:r>
              <w:rPr>
                <w:color w:val="000000"/>
                <w:sz w:val="24"/>
              </w:rPr>
              <w:t>622720, Участок полностью расположен в границах зоны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 особыми условиями использования территории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Приаэродромной территории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аэродрома аэропорта Большое Савино, реестровый номер границы 59:32-6.553.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вести в соответствии  с постановлением Правительства Российской Федерации </w:t>
              <w:br/>
              <w:t>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 а вне полос воздушных подходов – до 15 км  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Участке произрастают 73 дерева пород – ель 3 шт., береза 51 шт., ива 14 шт., осина 5 шт. Средняя стоимость в ценах 2024  года одного дерева лиственной породы от 25 тыс. руб., а хвойной – от 30 тыс. руб.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16.12.2024 № 059-33-01-10/3-826).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бюджетом города Перми на 2023 год  и плановый период 2024-2025 годов мероприятий  по строительству, реконструкции, капитальному ремонту улично-дорожной сети на рассматриваемой территории  не запланировано.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условия, указанные в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Дополнительно направлена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Федеральным законом от 08.11.2007 № 257, расходы на строительства, реконструкцию, капитальный ремонт, ремонт пересечений и примыканий,  в том числе расходы на выполнение дополнительных работ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осуществляется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15.09.2023  № 059-24-01-36/3-3209).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 по адресу: город Пермь, ул. Белинского, 52 (ПСЧ-5 10-ПСО);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отнесенные  к объектам полиции (участковые пункты полиции), в микрорайоне Январский отсутствуют. Ближайший участковый пункт расположен по адресу: город Пермь,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ул. Героя Васькина, д.3 (микрорайон Домостроительный, Орджоникидзевский район). В настоящее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время в указанном микрорайоне, строительство (приобретение) участковых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пунктов полиции не планируется;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 на указанной территории отсутствуют. В настоящее время потребность в обеспечении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служебными помещениями для аварийно-спасательных формирований 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указанном районе отсутствует;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источники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противопожарного водоснабжения отсутствуют;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соответствии с информацией, предоставленной Министерством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территориальной безопасности Пермского края,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в особый период Участок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попадает в зону возможного химического заражения;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оконечные устройства системы оповещения населения города Перми отсутствуют. Для обеспечения покрытия запланированной территории системой оповещения населения 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предусмотреть размещение дополнительных сиренно-речевых узлов системы оповещения, согласно пунктам 6.38, 6.39 СП 165.1325800.2014 «Свод правил. Инженерно-технические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283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 № 69-ФЗ «О пожарной безопасности» и от 22 июля 2008 г.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28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14.09.2023 № 059-10-01-27/3-1591).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1087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uppressAutoHyphens w:val="false"/>
              <w:bidi w:val="0"/>
              <w:spacing w:before="0" w:after="0"/>
              <w:ind w:hanging="340" w:left="850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6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Проектирование и строительство необходимо вести </w:t>
              <w:br/>
              <w:t xml:space="preserve"> в соответствии 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</w:t>
              <w:br/>
              <w:t xml:space="preserve"> № 725/пр. Дом должен включать жилые комнаты – одну </w:t>
              <w:br/>
              <w:t> или несколько (общую комнату или гостиную, спальню), </w:t>
              <w:br/>
              <w:t xml:space="preserve"> а также вспомогательные помещения: переднюю, кухню </w:t>
              <w:br/>
              <w:t xml:space="preserve"> (в том числе кухню-столовую и (или) кухню-нишу), ванные комнаты и (или) душевые, туалет (уборную) </w:t>
              <w:br/>
              <w:t> или совмещенный санузел, переднюю.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</w:t>
              <w:br/>
              <w:t> 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br/>
              <w:t> В домах с одной комнатой допускается проектировать кухни или кухни-ниши площадью не менее 5 м2.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Площадь спальни и кухни в мансардном этаже (или этаже </w:t>
              <w:br/>
              <w:t> 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пункту 6.2 СП 55.13330.2016 высота (от пола до потолка) комнат и кухни (кухни-столовой)  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 высота пути эвакуации 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не менее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2,2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информации, содержащейся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градостроительном плане земельного участка  от 10.12.2024 № РФ-59-2-03-0-00-2024-2570-0 (далее – ГПЗУ), предельная высота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зданий, строений не более  10,5 м (документация по планировке территории, утвержденная постановлением администрации города Перми от 22.12.2017 № 1178).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Минимальный отступ от границ земельного участка </w:t>
              <w:br/>
              <w:t> до места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допустимого размещения зданий, строений, сооружений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(за исключением границ со стороны территории общего пользования, где отступ определяется </w:t>
              <w:br/>
              <w:t xml:space="preserve"> 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</w:t>
            </w:r>
            <w:r>
              <w:rPr>
                <w:color w:val="000000"/>
              </w:rPr>
              <w:t xml:space="preserve">– </w:t>
            </w:r>
            <w:r>
              <w:rPr>
                <w:color w:val="000000"/>
                <w:sz w:val="24"/>
              </w:rPr>
              <w:t>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Максимальный выступ за красную линию нависающих частей здания наземных уровней, выступающих </w:t>
              <w:br/>
              <w:t xml:space="preserve"> из плоскости наружной стены фасада здания на высоте </w:t>
              <w:br/>
              <w:t> не менее 4,5 м над территорией общего пользования, составляет не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</w:tc>
      </w:tr>
      <w:tr>
        <w:trPr>
          <w:trHeight w:val="144" w:hRule="atLeast"/>
        </w:trPr>
        <w:tc>
          <w:tcPr>
            <w:tcW w:w="3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наличии технической возможности технологического присоединения энергопринимающего устройства объекта </w:t>
              <w:br/>
              <w:t> с предполагаемым электоропотреблением 15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 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</w:t>
              <w:br/>
              <w:t> 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размер платы определяется  по утвержденным тарифам согласно постановлению РСТ Пермского края от 23.11.2023 № 121-тп 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объекта возможно будет осуществить при условии строительства питающей линии электропередачи 0,4 кВ на основании договора 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Филиала ПАО «Россети Урал» - «Пермэнерго»</w:t>
            </w:r>
            <w:r>
              <w:rPr>
                <w:color w:val="000000"/>
                <w:sz w:val="24"/>
                <w:szCs w:val="24"/>
              </w:rPr>
              <w:t> от 05.12.2024 № ПЭ/ПГЭС/01/22/13612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заявку с приложением необходимых документов в соответствии  с постановлением Правительства Российской Федерации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 и о признании утратившим силу некоторых актов Правительства Российской Федерации» на электронную почту post@pf.ugaz.ru, либо почтовым отправлением  по адресу: г. Пермь, ул. Уральская, 104, через Единый центр предоставления услуг по адресу: г. Пермь,  ул. Уральская, д. 104, каб. 101.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 xml:space="preserve"> от 02.12.2024 № ПФ-7889).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районе Участка отсутствуют централизованные сети водоснабжения и водоотведения, эксплуатируемые </w:t>
              <w:br/>
              <w:t> ООО «НОВОГОР-Прикамье».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водоснабжения, эксплуатируемые </w:t>
              <w:br/>
              <w:t> ООО «НОВОГОР-Прикамье»,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располагаются в районе здания по Бродовскому тракту, 15, ориентировочно </w:t>
              <w:br/>
              <w:t> на расстоянии – 10,0 км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Ближайшие сети водоотведения, эксплуатируемые </w:t>
              <w:br/>
              <w:t xml:space="preserve"> ООО «НОВОГОР-Прикамье», располагаются в районе зданий по ул. Героев Хасана, 109/2 ориентировочно </w:t>
              <w:br/>
              <w:t> на расстоянии – 11,0 км от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могут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быть применены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альтернативные способы водоснабжения и водоотведения, без подключения к централизованным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системам водопровода и канализации города Перми (снабжение водой от скважины, отвод стоков в выгребную яму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на локальные очистные сооружения с последующим вывозом спец. машинами), которые должны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 и водоотведения,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 вопросу возможности обеспечения жилого дома холодным водоснабжением от скважины и отвод канализационных локально предложено обратиться </w:t>
              <w:br/>
              <w:t> в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ООО «НОВОГОР-Прикамье»</w:t>
            </w:r>
            <w:r>
              <w:rPr>
                <w:color w:val="000000"/>
                <w:sz w:val="24"/>
              </w:rPr>
              <w:t> от 02.12.2024 № 110-19647).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расположен вне зоны теплоснабжения ПАО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 xml:space="preserve"> от 29.11.2024 № 51000-32-04275).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к сетям теплоснабжения отсутствует. Рекомендовано рассмотреть альтернативные источники теплоснабжения – газ, электричество, дрова, пеллеты.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 xml:space="preserve"> от 09.12.2024 № 059-04-25/3-142-ри 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Техническое присоединение планируемых к строительству объектов в границах Участка может быть произведено в точке подключения – узел ВОЛС (г. Пермь, ул. Патриса Лумумбы, д. 6),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подключения (технологического присоединения) вышеуказанных объектов к сетям электросвязи  ПАО «Ростелеком» необходим запрос правообладателя земельного участка на выдачу технических условий подключения или заявки о заключении договора  о подключении в 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05.12.2024 № 01/05/188252/24).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firstLine="283" w:left="113" w:right="113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на период до 2028 года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предусмотрено строительство сетей водоснабжения и водоотведения.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от 15.09.2023  № 059-04-17/3-833-ри).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Начальная цена предмета аукциона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57"/>
              <w:jc w:val="left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  <w:t>(рыночная стоимость земельного участка)</w:t>
            </w:r>
          </w:p>
          <w:p>
            <w:pPr>
              <w:pStyle w:val="Normal"/>
              <w:ind w:right="-263"/>
              <w:rPr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b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ind w:hanging="0" w:left="0" w:right="0"/>
              <w:rPr>
                <w:rFonts w:ascii="Times New Roman" w:hAnsi="Times New Roman" w:eastAsia="Times New Roman" w:cs="Times New Roman"/>
                <w:b w:val="false"/>
                <w:bCs w:val="false"/>
                <w:color w:val="000000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По условиям пункта 4.1 проекта договора купли-продажи земельного участка, приобретаемого на торгах в форме аукциона, для строительства (Приложение 3 к настоящему извещению),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победитель аукциона, иное лицо, с которым договор заключается в соответствии с п.13, п.14, п. 20 или п. 25</w:t>
            </w:r>
          </w:p>
          <w:p>
            <w:pPr>
              <w:pStyle w:val="Normal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ст. 39.12 Земельного Кодекса Российской Федерации (далее – ЗК РФ), обязан </w:t>
            </w:r>
            <w:r>
              <w:rPr>
                <w:b/>
                <w:sz w:val="24"/>
                <w:szCs w:val="24"/>
                <w:shd w:fill="auto" w:val="clear"/>
              </w:rPr>
              <w:t>в течение 15 дней</w:t>
            </w:r>
            <w:r>
              <w:rPr>
                <w:sz w:val="24"/>
                <w:szCs w:val="24"/>
                <w:shd w:fill="auto" w:val="clear"/>
              </w:rPr>
              <w:t xml:space="preserve"> со дня размещения  протокола о результатах аукциона, а в случаях, определенных п.13, п.14, ст. 39.12 ЗК РФ, протокола рассмотрения заявок, </w:t>
            </w:r>
            <w:r>
              <w:rPr>
                <w:b/>
                <w:sz w:val="24"/>
                <w:szCs w:val="24"/>
                <w:shd w:fill="auto" w:val="clear"/>
              </w:rPr>
              <w:t xml:space="preserve">перечислить денежные средства </w:t>
            </w:r>
            <w:r>
              <w:rPr>
                <w:sz w:val="24"/>
                <w:szCs w:val="24"/>
                <w:shd w:fill="auto" w:val="clear"/>
              </w:rPr>
              <w:t>за земельный участок (за вычетом задатка, внесенного для участия в аукционе) на счет департамента земельных отношений администрации города Перми, 614015, ул. Сибирская,15, тел. 212-61-90 (отдел договоров), реквизиты которого указаны в проекте договора купли-продажи земельного участка (приложение 3 к настоящему извещению)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2 182 000 руб.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«Шаг аукциона» (5% от начальной цены предмета аукциона)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109 100 руб.</w:t>
            </w:r>
          </w:p>
        </w:tc>
      </w:tr>
      <w:tr>
        <w:trPr>
          <w:trHeight w:val="41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Форма заявки на участие в аукционе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размещена на сайтах www.torgi.gov.ru, www.gorodperm.ru (раздел Деятельность/ Муниципальная собственность/ 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и принимается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о проведении аукциона принято в соответствии со статьей 39.18 Земельного кодекса Российской Федерации, участниками аукциона могут являться только граждане.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Размер задатка (50% от начальной цены предмета аукциона)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1 091 000 руб.</w:t>
            </w:r>
          </w:p>
        </w:tc>
      </w:tr>
      <w:tr>
        <w:trPr>
          <w:trHeight w:val="236" w:hRule="atLeast"/>
        </w:trPr>
        <w:tc>
          <w:tcPr>
            <w:tcW w:w="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Дата </w:t>
            </w:r>
            <w:r>
              <w:rPr>
                <w:b w:val="false"/>
                <w:shd w:fill="auto" w:val="clear"/>
              </w:rPr>
              <w:t xml:space="preserve">размещения извещения в соответствии с пп. 1 п. 1 ст. 39.18 Земельного кодекса Российской Федерации на  </w:t>
            </w:r>
            <w:r>
              <w:rPr>
                <w:b w:val="false"/>
                <w:sz w:val="24"/>
                <w:szCs w:val="24"/>
                <w:shd w:fill="auto" w:val="clear"/>
                <w:lang w:val="en-US" w:eastAsia="en-US"/>
              </w:rPr>
              <w:t>сайтах www.torgi.gov.ru, www.gorodperm.ru</w:t>
            </w:r>
          </w:p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</w:tr>
      <w:tr>
        <w:trPr>
          <w:trHeight w:val="188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false"/>
              <w:bidi w:val="0"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купли-продажи земельного участка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Проект договора купли-продажи земельного участка, приобретаемого на торгах в форме аукциона,  является Приложением 3 к настоящему извещению и </w:t>
            </w:r>
            <w:r>
              <w:rPr>
                <w:sz w:val="24"/>
                <w:szCs w:val="24"/>
                <w:lang w:val="en-US" w:eastAsia="en-US"/>
              </w:rPr>
              <w:t>размещен на сайтах www.torgi.gov.ru, www.gorodperm.ru (раздел Деятельность/ Муниципальная собственность/ Торговая площадка Вид торгов Продажа и аренда земельных участков)</w:t>
            </w:r>
          </w:p>
        </w:tc>
      </w:tr>
      <w:tr>
        <w:trPr>
          <w:trHeight w:val="144" w:hRule="atLeast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  <w:highlight w:val="none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07.06.2025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22.07.2025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23.07.2025.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24.07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2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07.06.2025 по 22.07.2025.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</w:t>
      </w:r>
      <w:r>
        <w:rPr>
          <w:bCs/>
          <w:shd w:fill="auto" w:val="clear"/>
          <w:lang w:bidi="ru-RU"/>
        </w:rPr>
        <w:t xml:space="preserve">бочих дней со дня подписания протокола о результатах аукциона, </w:t>
      </w:r>
      <w:r>
        <w:rPr>
          <w:b w:val="false"/>
          <w:bCs/>
          <w:shd w:fill="auto" w:val="clear"/>
          <w:lang w:bidi="ru-RU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земельного участка.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 xml:space="preserve">в течение трех рабочих дней со дня оформления протокола рассмотрения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аукциона, единственного принявшего участие </w:t>
        <w:br/>
        <w:t xml:space="preserve">в аукционе участника, а также </w:t>
      </w:r>
      <w:r>
        <w:rPr>
          <w:b w:val="false"/>
          <w:shd w:fill="auto" w:val="clear"/>
          <w:lang w:bidi="ru-RU"/>
        </w:rPr>
        <w:t>участника аукциона, который сделал предпоследнее предложение о цене предмета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shd w:fill="auto" w:val="clear"/>
          <w:lang w:bidi="ru-RU"/>
        </w:rPr>
        <w:br w:type="textWrapping" w:clear="all"/>
      </w:r>
      <w:r>
        <w:rPr>
          <w:shd w:fill="auto" w:val="clear"/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пунктами 13, 14, 20 или 25 ст. 39.12 Земельного кодекса Российской Федерации,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указанного договора,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Организатор аукциона вправе:</w:t>
      </w:r>
    </w:p>
    <w:p>
      <w:pPr>
        <w:pStyle w:val="Normal"/>
        <w:widowControl w:val="false"/>
        <w:jc w:val="center"/>
        <w:rPr>
          <w:rFonts w:eastAsia="Courier New"/>
          <w:highlight w:val="none"/>
          <w:shd w:fill="auto" w:val="clear"/>
          <w:lang w:bidi="ru-RU"/>
        </w:rPr>
      </w:pPr>
      <w:r>
        <w:rPr>
          <w:rFonts w:eastAsia="Courier New"/>
          <w:shd w:fill="auto" w:val="clear"/>
          <w:lang w:bidi="ru-RU"/>
        </w:rPr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 xml:space="preserve">Не позднее чем за один рабочий день до даты окончания приема заявок на участие в аукционе 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«шагом аукциона»,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п. 19 ст. 39.11 Земельного кодекса Российской Федерации, изменений в извещение о проведении аукциона до дня проведения аукциона такой срок составлял не менее десяти рабочих дней. </w:t>
      </w: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 xml:space="preserve">Информация о внесении изменений в извещение о проведении аукциона размещается на официальных сайтах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>www.torgi.gov.ru,  www.gorodperm.ru.</w:t>
      </w:r>
    </w:p>
    <w:p>
      <w:pPr>
        <w:pStyle w:val="BodyText"/>
        <w:widowControl w:val="false"/>
        <w:ind w:firstLine="709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b w:val="false"/>
          <w:color w:val="000000"/>
          <w:sz w:val="24"/>
          <w:szCs w:val="24"/>
          <w:shd w:fill="auto" w:val="clear"/>
          <w:lang w:val="ru-RU" w:eastAsia="zh-CN" w:bidi="ar-SA"/>
        </w:rPr>
        <w:t>В случае,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п. 22.1  ст. 39.11 Земельного кодекса Российской Федерации.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hd w:fill="auto" w:val="clear"/>
        </w:rPr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</w:t>
      </w:r>
      <w:r>
        <w:rPr>
          <w:shd w:fill="auto" w:val="clear"/>
        </w:rPr>
        <w:t xml:space="preserve">о проведении аукциона. </w:t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 xml:space="preserve">Организатор аукциона обязан:  </w:t>
      </w:r>
    </w:p>
    <w:p>
      <w:pPr>
        <w:pStyle w:val="Normal"/>
        <w:widowControl w:val="false"/>
        <w:ind w:firstLine="567" w:left="-567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Извещение об отказе в проведении аукциона размещается организатором аукциона на официальных сайтах  </w:t>
      </w:r>
      <w:r>
        <w:rPr>
          <w:rFonts w:eastAsia="Droid Sans Fallback" w:cs="Lohit Devanagari"/>
          <w:b w:val="false"/>
          <w:bCs/>
          <w:color w:val="000000"/>
          <w:sz w:val="24"/>
          <w:szCs w:val="24"/>
          <w:shd w:fill="auto" w:val="clear"/>
          <w:lang w:val="ru-RU" w:eastAsia="zh-CN" w:bidi="ar-SA"/>
        </w:rPr>
        <w:t xml:space="preserve">www.torgi.gov.ru,  www.gorodperm.ru </w:t>
      </w:r>
      <w:r>
        <w:rPr>
          <w:shd w:fill="auto" w:val="clear"/>
        </w:rPr>
        <w:t xml:space="preserve"> 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 случае отказа от проведения аукциона организатором (в т. ч. одного или нескольких лотов), 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rFonts w:eastAsia="Courier New"/>
          <w:b/>
          <w:shd w:fill="auto" w:val="clear"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07.06.2025 по 22.07.2025 с 9.00 до 18.00 по местному времени (7:00 – 16:00 МСК). </w:t>
      </w:r>
    </w:p>
    <w:p>
      <w:pPr>
        <w:pStyle w:val="NormalWeb"/>
        <w:jc w:val="center"/>
        <w:rPr>
          <w:highlight w:val="none"/>
          <w:shd w:fill="auto" w:val="clear"/>
        </w:rPr>
      </w:pPr>
      <w:r>
        <w:rPr>
          <w:b/>
          <w:color w:val="000000"/>
          <w:shd w:fill="auto" w:val="clear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highlight w:val="none"/>
          <w:shd w:fill="auto" w:val="clear"/>
          <w:lang w:bidi="ru-RU"/>
        </w:rPr>
      </w:pPr>
      <w:r>
        <w:rPr>
          <w:bCs/>
          <w:shd w:fill="auto" w:val="clear"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shd w:fill="auto" w:val="clear"/>
        </w:rPr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Courier New"/>
          <w:shd w:fill="auto" w:val="clear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shd w:fill="auto" w:val="clear"/>
          <w:lang w:bidi="ru-RU"/>
        </w:rPr>
        <w:br w:type="textWrapping" w:clear="all"/>
      </w:r>
      <w:r>
        <w:rPr>
          <w:rFonts w:eastAsia="Courier New"/>
          <w:shd w:fill="auto" w:val="clear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3) надлежащим образом заверенный перевод на русский язык документов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ind w:firstLine="708"/>
        <w:jc w:val="center"/>
        <w:rPr>
          <w:highlight w:val="none"/>
          <w:shd w:fill="auto" w:val="clear"/>
        </w:rPr>
      </w:pPr>
      <w:r>
        <w:rPr>
          <w:b/>
          <w:shd w:fill="auto" w:val="clear"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  <w:highlight w:val="none"/>
          <w:shd w:fill="auto" w:val="clear"/>
        </w:rPr>
      </w:pPr>
      <w:r>
        <w:rPr>
          <w:b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Подача заявки осуществляется заявителем, зарегистрированным в торговой секции,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вправе подать заявку в любое время с момента размещения извещения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Участие в аукционе возможно при наличии на лицевом счете заявителя денежных средств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размере не менее чем размер задатка на участие в аукционе, предусмотренный извещением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>о проведении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а) отсутствия на лицевом счете заявителя достаточной суммы денежных средств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  <w:highlight w:val="none"/>
          <w:shd w:fill="auto" w:val="clear"/>
        </w:rPr>
      </w:pPr>
      <w:r>
        <w:rPr>
          <w:bCs/>
          <w:shd w:fill="auto" w:val="clear"/>
        </w:rPr>
      </w:r>
    </w:p>
    <w:p>
      <w:pPr>
        <w:pStyle w:val="Normal"/>
        <w:widowControl w:val="false"/>
        <w:ind w:left="502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highlight w:val="none"/>
          <w:shd w:fill="auto" w:val="clear"/>
          <w:lang w:bidi="ru-RU"/>
        </w:rPr>
      </w:pPr>
      <w:r>
        <w:rPr>
          <w:b/>
          <w:bCs/>
          <w:shd w:fill="auto" w:val="clear"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Заявитель имеет право отозвать принятую организатором аукциона заявку на участие </w:t>
      </w:r>
      <w:r>
        <w:rPr>
          <w:shd w:fill="auto" w:val="clear"/>
        </w:rPr>
        <w:br w:type="textWrapping" w:clear="all"/>
      </w:r>
      <w:r>
        <w:rPr>
          <w:shd w:fill="auto" w:val="clear"/>
        </w:rPr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Определение участников аукциона</w:t>
      </w:r>
    </w:p>
    <w:p>
      <w:pPr>
        <w:pStyle w:val="Normal"/>
        <w:jc w:val="center"/>
        <w:rPr>
          <w:b/>
          <w:bCs/>
          <w:highlight w:val="none"/>
          <w:shd w:fill="auto" w:val="clear"/>
        </w:rPr>
      </w:pPr>
      <w:r>
        <w:rPr>
          <w:b/>
          <w:bCs/>
          <w:shd w:fill="auto" w:val="clear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  <w:shd w:fill="auto" w:val="clear"/>
        </w:rPr>
        <w:br w:type="textWrapping" w:clear="all"/>
      </w:r>
      <w:r>
        <w:rPr>
          <w:bCs/>
          <w:shd w:fill="auto" w:val="clear"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z w:val="20"/>
          <w:shd w:fill="auto" w:val="clear"/>
        </w:rPr>
        <w:t xml:space="preserve">1) </w:t>
      </w:r>
      <w:r>
        <w:rPr>
          <w:shd w:fill="auto" w:val="clear"/>
        </w:rPr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>
          <w:highlight w:val="none"/>
          <w:shd w:fill="auto" w:val="clear"/>
        </w:rPr>
      </w:pPr>
      <w:r>
        <w:rPr>
          <w:shd w:fill="auto" w:val="clear"/>
        </w:rPr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>Заявитель приобретает статус участника аукциона с момента подписания протокола рассмотрения заявок.</w:t>
      </w:r>
    </w:p>
    <w:p>
      <w:pPr>
        <w:pStyle w:val="Normal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  <w:t xml:space="preserve">Не позднее следующего рабочего дня после дня подписания протокола рассмотрения заявок, всем заявителям оператором электронной площадки направляется в личные кабинеты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BodyText"/>
        <w:widowControl w:val="false"/>
        <w:ind w:firstLine="567" w:left="-567"/>
        <w:jc w:val="both"/>
        <w:rPr>
          <w:highlight w:val="none"/>
          <w:shd w:fill="auto" w:val="clear"/>
        </w:rPr>
      </w:pP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на участие в аукционе, включается информация об основании признания аукциона несостоявшимся и сведения, указанные в подпункте 4 пункта 15 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</w:t>
      </w:r>
      <w:r>
        <w:rPr>
          <w:rFonts w:eastAsia="Droid Sans Fallback" w:cs="Lohit Devanagari"/>
          <w:color w:val="000000"/>
          <w:sz w:val="24"/>
          <w:szCs w:val="24"/>
          <w:shd w:fill="auto" w:val="clear"/>
          <w:lang w:val="ru-RU" w:eastAsia="zh-CN" w:bidi="ar-SA"/>
        </w:rPr>
        <w:t>, в отношении лиц, указанных в пунктах 13 и 14 ст. 39.12 З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емельного кодекса Российской Федерации.</w:t>
      </w:r>
    </w:p>
    <w:p>
      <w:pPr>
        <w:pStyle w:val="Normal"/>
        <w:widowControl w:val="false"/>
        <w:spacing w:lineRule="auto" w:line="276"/>
        <w:ind w:firstLine="567" w:left="-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highlight w:val="none"/>
          <w:shd w:fill="auto" w:val="clear"/>
          <w:lang w:bidi="ru-RU"/>
        </w:rPr>
      </w:pPr>
      <w:r>
        <w:rPr>
          <w:rFonts w:eastAsia="Courier New"/>
          <w:b/>
          <w:bCs/>
          <w:shd w:fill="auto" w:val="clear"/>
          <w:lang w:bidi="ru-RU"/>
        </w:rPr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«Шаг аукциона» устанавливается Организатором аукциона в фиксированной сумме, составляющей 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5% от начальной цены предмета аукциона</w:t>
      </w:r>
      <w:r>
        <w:rPr>
          <w:rFonts w:eastAsia="Calibri"/>
          <w:shd w:fill="auto" w:val="clear"/>
        </w:rPr>
        <w:t>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  <w:shd w:fill="auto" w:val="clear"/>
        </w:rPr>
        <w:br w:type="textWrapping" w:clear="all"/>
      </w:r>
      <w:r>
        <w:rPr>
          <w:rFonts w:eastAsia="Calibri"/>
          <w:shd w:fill="auto" w:val="clear"/>
        </w:rPr>
        <w:t>за земельный участок.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rFonts w:eastAsia="Calibri"/>
          <w:shd w:fill="auto" w:val="clear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  <w:highlight w:val="none"/>
          <w:shd w:fill="auto" w:val="clear"/>
        </w:rPr>
      </w:pPr>
      <w:r>
        <w:rPr>
          <w:rFonts w:eastAsia="Calibri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b/>
          <w:bCs/>
          <w:shd w:fill="auto" w:val="clear"/>
        </w:rPr>
        <w:t>Порядок и срок заключения договора</w:t>
      </w:r>
      <w:r>
        <w:rPr>
          <w:b/>
          <w:bCs/>
          <w:shd w:fill="auto" w:val="clear"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аукционе в случае, ес</w:t>
      </w:r>
      <w:r>
        <w:rPr>
          <w:rFonts w:eastAsia="Droid Sans Fallback" w:cs="Lohit Devanagari"/>
          <w:bCs/>
          <w:color w:val="000000"/>
          <w:sz w:val="24"/>
          <w:szCs w:val="24"/>
          <w:shd w:fill="auto" w:val="clear"/>
          <w:lang w:val="ru-RU" w:eastAsia="zh-CN" w:bidi="ar-SA"/>
        </w:rPr>
        <w:t>ли аукцион признан несостоявшимся, либо протокола о результатах аукциона на официальных сайтах www.torgi.gov.ru,  www.gorodperm.ru.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>в государственной или муниципальной собственности, подписанный проект договора купли-продажи земельного участка, находящегося в государственной или муниципальной собственности.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highlight w:val="none"/>
          <w:shd w:fill="auto" w:val="clear"/>
        </w:rPr>
      </w:pPr>
      <w:r>
        <w:rPr>
          <w:bCs/>
          <w:shd w:fill="auto" w:val="clear"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>Проекты договоров являются частью извещения и представлены в Приложениях 2-3  к настоящему извещению.</w:t>
        <w:tab/>
      </w:r>
    </w:p>
    <w:p>
      <w:pPr>
        <w:pStyle w:val="Normal"/>
        <w:ind w:firstLine="567" w:left="-567"/>
        <w:jc w:val="both"/>
        <w:rPr>
          <w:highlight w:val="none"/>
          <w:shd w:fill="auto" w:val="clear"/>
        </w:rPr>
      </w:pPr>
      <w:r>
        <w:rPr>
          <w:bCs/>
          <w:shd w:fill="auto" w:val="clear"/>
        </w:rPr>
        <w:t xml:space="preserve">Если договор купли-продажи  в течение десяти рабочих дней со дня направления победителю аукциона проекта указанного договора не был им подписан и представлен в департамент земельных отношений администрации города Перми, департамент земельных отношений администрации города Перми направляет указанный договор участнику аукциона, который сделал предпоследнее предложение о цене предмета аукциона, </w:t>
      </w:r>
      <w:r>
        <w:rPr>
          <w:b w:val="false"/>
          <w:bCs/>
          <w:shd w:fill="auto" w:val="clear"/>
        </w:rPr>
        <w:t>для их заключения по цене, предложенной таким участником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b w:val="false"/>
          <w:bCs w:val="false"/>
        </w:rPr>
      </w:pPr>
      <w:r>
        <w:rPr>
          <w:rFonts w:eastAsia="Courier New"/>
          <w:b w:val="false"/>
          <w:bCs w:val="false"/>
          <w:shd w:fill="auto" w:val="clear"/>
          <w:lang w:bidi="ru-RU"/>
        </w:rPr>
        <w:t>Сведения о победителях аукционов, уклонившихся от заключения договора купли-продажи, являющегося предметом аукциона, и об иных лицах, с которыми указанный договор заключается в соответствии с пунктом 13, 14, 20 или 25 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3"/>
      <w:headerReference w:type="first" r:id="rId14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8"/>
      </w:rPr>
    </w:pPr>
    <w:r>
      <w:rPr>
        <w:sz w:val="20"/>
        <w:szCs w:val="28"/>
      </w:rPr>
      <w:fldChar w:fldCharType="begin"/>
    </w:r>
    <w:r>
      <w:rPr>
        <w:sz w:val="20"/>
        <w:szCs w:val="28"/>
      </w:rPr>
      <w:instrText xml:space="preserve"> PAGE </w:instrText>
    </w:r>
    <w:r>
      <w:rPr>
        <w:sz w:val="20"/>
        <w:szCs w:val="28"/>
      </w:rPr>
      <w:fldChar w:fldCharType="separate"/>
    </w:r>
    <w:r>
      <w:rPr>
        <w:sz w:val="20"/>
        <w:szCs w:val="28"/>
      </w:rPr>
      <w:t>23</w:t>
    </w:r>
    <w:r>
      <w:rPr>
        <w:sz w:val="20"/>
        <w:szCs w:val="28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Style17" w:customStyle="1">
    <w:name w:val="Гиперссылка"/>
    <w:qFormat/>
    <w:rPr>
      <w:color w:val="0000FF"/>
      <w:u w:val="single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1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81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2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2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2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3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3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4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4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4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5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5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5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5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5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5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5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5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5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6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6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6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6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6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6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6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6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6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7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8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8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8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9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0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1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1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1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1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1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1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1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1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1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2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2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2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2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2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2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2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2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2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2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3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3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3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3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3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3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3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3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4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4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4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4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4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4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gorodperm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utp.sberbank-ast.ru/AP/Notice/653/Requisites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LibreOffice/7.6.7.2$Linux_X86_64 LibreOffice_project/60$Build-2</Application>
  <AppVersion>15.0000</AppVersion>
  <Pages>23</Pages>
  <Words>7177</Words>
  <Characters>51219</Characters>
  <CharactersWithSpaces>58374</CharactersWithSpaces>
  <Paragraphs>346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2023-10-30T09:15:00Z</dcterms:created>
  <dc:creator>Tatyannikova</dc:creator>
  <dc:description/>
  <dc:language>ru-RU</dc:language>
  <cp:lastModifiedBy/>
  <cp:lastPrinted>2025-03-06T12:24:45Z</cp:lastPrinted>
  <dcterms:modified xsi:type="dcterms:W3CDTF">2025-06-04T15:17:35Z</dcterms:modified>
  <cp:revision>225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