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18.06.2025 № 059-19-01-11-64</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31.07.2025 электронного аукциона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по продаже земельного участка (далее – аукцион) проводится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18.06.2025 № 059-19-01-11-64.</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21 марта 2025 г. № 21-01-03-2418 «О проведении аукциона по продаже земельного участка  в Ленинском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Торфяная, з/у 47а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1019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59:01:2018034:146</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28.05.2025г.               № КУВИ-001/2025-113560710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24.01.2025 № РФ-59-2-03-0-00-2025-0111-0 (далее – ГПЗУ).</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p>
          <w:p>
            <w:pPr>
              <w:pStyle w:val="Normal"/>
              <w:spacing w:lineRule="auto" w:line="240" w:before="0" w:after="0"/>
              <w:ind w:firstLine="340"/>
              <w:jc w:val="both"/>
              <w:rPr>
                <w:rFonts w:ascii="Times New Roman" w:hAnsi="Times New Roman"/>
                <w:sz w:val="24"/>
                <w:szCs w:val="24"/>
              </w:rPr>
            </w:pPr>
            <w:r>
              <w:rPr>
                <w:sz w:val="24"/>
                <w:szCs w:val="24"/>
              </w:rPr>
              <w:t>Согласно геодезической съемке, выполненной в 2024 году, в границах Участка расположен забор.</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Участок частично огорожен ветхим деревянным забором.</w:t>
            </w:r>
          </w:p>
          <w:p>
            <w:pPr>
              <w:pStyle w:val="Normal"/>
              <w:spacing w:lineRule="auto" w:line="240" w:before="0" w:after="0"/>
              <w:ind w:firstLine="340"/>
              <w:jc w:val="both"/>
              <w:rPr>
                <w:rFonts w:ascii="Times New Roman" w:hAnsi="Times New Roman"/>
                <w:sz w:val="24"/>
                <w:szCs w:val="24"/>
              </w:rPr>
            </w:pPr>
            <w:r>
              <w:rPr>
                <w:sz w:val="24"/>
                <w:szCs w:val="24"/>
              </w:rPr>
              <w:t>Ближайшие к границам Участка источники противопожарного водоснабжения:</w:t>
            </w:r>
          </w:p>
          <w:p>
            <w:pPr>
              <w:pStyle w:val="Normal"/>
              <w:spacing w:lineRule="auto" w:line="240" w:before="0" w:after="0"/>
              <w:ind w:firstLine="340"/>
              <w:jc w:val="both"/>
              <w:rPr>
                <w:rFonts w:ascii="Times New Roman" w:hAnsi="Times New Roman"/>
                <w:sz w:val="24"/>
                <w:szCs w:val="24"/>
              </w:rPr>
            </w:pPr>
            <w:r>
              <w:rPr>
                <w:sz w:val="24"/>
                <w:szCs w:val="24"/>
              </w:rPr>
              <w:t>- наружные водопроводные сети с пожарным гидрантом расположены в 200 м. от границ Участка по адресу ул. Борцов Революции 146;</w:t>
            </w:r>
          </w:p>
          <w:p>
            <w:pPr>
              <w:pStyle w:val="Normal"/>
              <w:spacing w:lineRule="auto" w:line="240" w:before="0" w:after="0"/>
              <w:ind w:firstLine="340"/>
              <w:jc w:val="both"/>
              <w:rPr>
                <w:rFonts w:ascii="Times New Roman" w:hAnsi="Times New Roman"/>
                <w:sz w:val="24"/>
                <w:szCs w:val="24"/>
              </w:rPr>
            </w:pPr>
            <w:r>
              <w:rPr>
                <w:sz w:val="24"/>
                <w:szCs w:val="24"/>
              </w:rPr>
              <w:t>- противопожарный водоем (муниципальный) расположен по адресу ул. Борцов Революции, 153, лит. б и в (расстояние ок. 300 м. от Участка).</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Ленинского района города Перми</w:t>
            </w:r>
            <w:r>
              <w:rPr>
                <w:sz w:val="24"/>
                <w:szCs w:val="24"/>
              </w:rPr>
              <w:t xml:space="preserve"> от 24.01.2025 № 059-26-01-16/3-10).</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28.05.2025 633278, Участок расположен в границах зон с особыми условиями использования территории:</w:t>
            </w:r>
          </w:p>
          <w:p>
            <w:pPr>
              <w:pStyle w:val="Normal"/>
              <w:spacing w:lineRule="auto" w:line="240" w:before="0" w:after="0"/>
              <w:ind w:firstLine="340"/>
              <w:jc w:val="both"/>
              <w:rPr>
                <w:rFonts w:ascii="Times New Roman" w:hAnsi="Times New Roman"/>
                <w:sz w:val="24"/>
                <w:szCs w:val="24"/>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40"/>
              <w:jc w:val="both"/>
              <w:rPr>
                <w:color w:val="000000"/>
              </w:rPr>
            </w:pPr>
            <w:r>
              <w:rPr>
                <w:color w:val="000000"/>
                <w:sz w:val="24"/>
                <w:szCs w:val="24"/>
              </w:rPr>
              <w:t>частично в границах зоны с особыми условиями использования территории Охранная зона инженерных коммуникаций Охранная зона ЭСК «Закамская» ВЛ 0,4кВ от KTП 1651, ВЛ 0.4кВ от KTП 1652. ВЛ 0,4кВ от KTП 1653, ВЛ 0,4кВ от KTП 1654, ВЛ 0.4кВ от KTП 1655, ВЛ 0,4кВ от TП-1650», 59:01-6.3972, площадь земельного участка покрываемая зоной с особыми условиями использования территории, составляет 4,96 кв. м. (Постановление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left="0" w:right="0"/>
              <w:jc w:val="both"/>
              <w:rPr>
                <w:rFonts w:ascii="Times New Roman" w:hAnsi="Times New Roman"/>
                <w:sz w:val="24"/>
                <w:szCs w:val="24"/>
              </w:rPr>
            </w:pPr>
            <w:r>
              <w:rPr>
                <w:sz w:val="24"/>
                <w:szCs w:val="24"/>
              </w:rPr>
              <w:t>На Участке произрастают 28 деревьев породы – клен 11 шт., береза 8 шт., тополь 9 шт.</w:t>
            </w:r>
          </w:p>
          <w:p>
            <w:pPr>
              <w:pStyle w:val="Normal"/>
              <w:spacing w:lineRule="auto" w:line="240" w:before="0" w:after="0"/>
              <w:ind w:firstLine="340" w:left="0" w:right="0"/>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40" w:left="0" w:right="0"/>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(прилагается).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у</w:t>
            </w:r>
            <w:r>
              <w:rPr>
                <w:b/>
                <w:sz w:val="24"/>
                <w:szCs w:val="24"/>
              </w:rPr>
              <w:t>правления по экологии и природопользованию администрации города Перми</w:t>
            </w:r>
            <w:r>
              <w:rPr>
                <w:sz w:val="24"/>
                <w:szCs w:val="24"/>
              </w:rPr>
              <w:t xml:space="preserve"> от 21.01.2025 № 059-33-01-10/3-41).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left="0" w:right="0"/>
              <w:jc w:val="both"/>
              <w:rPr>
                <w:rFonts w:ascii="Times New Roman" w:hAnsi="Times New Roman"/>
                <w:sz w:val="24"/>
                <w:szCs w:val="24"/>
              </w:rPr>
            </w:pPr>
            <w:r>
              <w:rPr>
                <w:sz w:val="24"/>
                <w:szCs w:val="24"/>
              </w:rPr>
              <w:t>Бюджетом города Перми на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0" w:after="0"/>
              <w:ind w:firstLine="340" w:left="0" w:right="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0" w:after="0"/>
              <w:ind w:firstLine="340" w:left="0" w:right="0"/>
              <w:jc w:val="both"/>
              <w:rPr>
                <w:rFonts w:ascii="Times New Roman" w:hAnsi="Times New Roman"/>
                <w:sz w:val="24"/>
                <w:szCs w:val="24"/>
              </w:rPr>
            </w:pPr>
            <w:r>
              <w:rPr>
                <w:sz w:val="24"/>
                <w:szCs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от 15.12.2020 № 277, </w:t>
              <w:br/>
              <w:t>при строительстве объектов недвижимости на земельных участках, предоставленных на торгах.</w:t>
            </w:r>
          </w:p>
          <w:p>
            <w:pPr>
              <w:pStyle w:val="Normal"/>
              <w:spacing w:lineRule="auto" w:line="240" w:before="0" w:after="0"/>
              <w:ind w:firstLine="340" w:left="0" w:right="0"/>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br/>
              <w:t>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14.02.2025 № 059-24-01-36/3-514).</w:t>
            </w:r>
          </w:p>
          <w:p>
            <w:pPr>
              <w:pStyle w:val="Normal"/>
              <w:spacing w:lineRule="auto" w:line="240" w:before="0" w:after="0"/>
              <w:ind w:firstLine="340"/>
              <w:jc w:val="both"/>
              <w:rPr>
                <w:rFonts w:ascii="Times New Roman" w:hAnsi="Times New Roman"/>
                <w:sz w:val="24"/>
                <w:szCs w:val="24"/>
              </w:rPr>
            </w:pPr>
            <w:r>
              <w:rPr>
                <w:sz w:val="24"/>
                <w:szCs w:val="24"/>
              </w:rPr>
            </w:r>
          </w:p>
          <w:p>
            <w:pPr>
              <w:pStyle w:val="BodyText"/>
              <w:spacing w:lineRule="auto" w:line="240"/>
              <w:ind w:firstLine="340" w:left="0" w:right="0"/>
              <w:jc w:val="both"/>
              <w:rPr/>
            </w:pPr>
            <w:r>
              <w:rPr>
                <w:sz w:val="24"/>
                <w:lang w:val="ru-RU" w:eastAsia="ru-RU"/>
              </w:rPr>
              <w:t>Ближайшее подразделение пожарной охраны расположено по адресу: ул. Екатерининская, 53 А (ПСЧ-110 10-ПСО).</w:t>
            </w:r>
          </w:p>
          <w:p>
            <w:pPr>
              <w:pStyle w:val="BodyText"/>
              <w:spacing w:lineRule="auto" w:line="240"/>
              <w:ind w:firstLine="340" w:left="0" w:right="0"/>
              <w:jc w:val="both"/>
              <w:rPr/>
            </w:pPr>
            <w:r>
              <w:rPr>
                <w:sz w:val="24"/>
                <w:lang w:val="ru-RU" w:eastAsia="ru-RU"/>
              </w:rPr>
              <w:t>Ближайший источник противопожарного водоснабжения (пожарный водоем) на указанной территории расположен по адресу: ул. Борцов Революции, 153а (2 ед.).</w:t>
            </w:r>
          </w:p>
          <w:p>
            <w:pPr>
              <w:pStyle w:val="BodyText"/>
              <w:spacing w:lineRule="auto" w:line="240"/>
              <w:ind w:firstLine="340" w:left="0" w:right="0"/>
              <w:jc w:val="both"/>
              <w:rPr/>
            </w:pPr>
            <w:r>
              <w:rPr>
                <w:sz w:val="24"/>
                <w:lang w:val="ru-RU" w:eastAsia="ru-RU"/>
              </w:rPr>
              <w:t>Помещения для аварийно-спасательных служб и (или) аварийно-спасательных формирований на указанной территории отсутствуют.</w:t>
            </w:r>
          </w:p>
          <w:p>
            <w:pPr>
              <w:pStyle w:val="BodyText"/>
              <w:spacing w:lineRule="auto" w:line="240"/>
              <w:ind w:firstLine="340" w:left="0" w:right="0"/>
              <w:jc w:val="both"/>
              <w:rPr/>
            </w:pPr>
            <w:r>
              <w:rPr>
                <w:sz w:val="24"/>
                <w:lang w:val="ru-RU" w:eastAsia="ru-RU"/>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(Камская Долина) отсутствуют. Ближайший участковый пункт расположен по адресу: </w:t>
              <w:br/>
              <w:t>г. Пермь, ул. Профессора Дедюкина, 7, (микрорайон Академический городок, Ленинского района). В настоящее время в указанном микрорайоне строительство (приобретение) участковых пунктов полиции не планируется.</w:t>
            </w:r>
          </w:p>
          <w:p>
            <w:pPr>
              <w:pStyle w:val="BodyText"/>
              <w:spacing w:lineRule="auto" w:line="240"/>
              <w:ind w:firstLine="340" w:left="0" w:right="-1"/>
              <w:jc w:val="both"/>
              <w:rPr/>
            </w:pPr>
            <w:r>
              <w:rPr>
                <w:sz w:val="24"/>
                <w:lang w:val="ru-RU" w:eastAsia="ru-RU"/>
              </w:rPr>
              <w:t xml:space="preserve">По информации, предоставленной Министерством территориальной безопасности Пермского края (письмо </w:t>
              <w:br/>
              <w:t>от 07.10.2020 № 964с), рассматриваемая территория попадает в зону возможного химического заражения в особый период.</w:t>
            </w:r>
          </w:p>
          <w:p>
            <w:pPr>
              <w:pStyle w:val="BodyText"/>
              <w:spacing w:lineRule="auto" w:line="240"/>
              <w:ind w:firstLine="340" w:left="0" w:right="-1"/>
              <w:jc w:val="both"/>
              <w:rPr/>
            </w:pPr>
            <w:r>
              <w:rPr>
                <w:sz w:val="24"/>
                <w:szCs w:val="24"/>
                <w:lang w:val="ru-RU" w:eastAsia="ru-RU"/>
              </w:rPr>
              <w:t>Указанная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Борцов Революции, 151в - 600 метров.</w:t>
            </w:r>
          </w:p>
          <w:p>
            <w:pPr>
              <w:pStyle w:val="Normal"/>
              <w:spacing w:lineRule="auto" w:line="240" w:before="0" w:after="0"/>
              <w:ind w:firstLine="340"/>
              <w:jc w:val="both"/>
              <w:rPr>
                <w:rFonts w:ascii="Times New Roman" w:hAnsi="Times New Roman"/>
                <w:sz w:val="24"/>
                <w:szCs w:val="24"/>
              </w:rPr>
            </w:pPr>
            <w:r>
              <w:rPr>
                <w:sz w:val="24"/>
                <w:szCs w:val="24"/>
                <w:lang w:val="ru-RU" w:eastAsia="ru-RU"/>
              </w:rPr>
              <w:t xml:space="preserve">(Аналогичная информация отражена в письме   </w:t>
            </w:r>
            <w:r>
              <w:rPr>
                <w:b/>
                <w:sz w:val="24"/>
                <w:szCs w:val="24"/>
                <w:lang w:val="ru-RU" w:eastAsia="ru-RU"/>
              </w:rPr>
              <w:t>департамента общественной безопасности администрации города Перми</w:t>
            </w:r>
            <w:r>
              <w:rPr>
                <w:sz w:val="24"/>
                <w:szCs w:val="24"/>
                <w:lang w:val="ru-RU" w:eastAsia="ru-RU"/>
              </w:rPr>
              <w:t xml:space="preserve"> от 16.01.2025 № 059-10-01-27/3-100).</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sz w:val="24"/>
                <w:szCs w:val="24"/>
              </w:rPr>
            </w:pPr>
            <w:r>
              <w:rPr>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rPr>
              <w:t>2</w:t>
            </w:r>
            <w:r>
              <w:rPr>
                <w:sz w:val="24"/>
                <w:szCs w:val="24"/>
              </w:rPr>
              <w:t>, общей комнаты в доме с числом комнат две и более - 16 м</w:t>
            </w:r>
            <w:r>
              <w:rPr>
                <w:sz w:val="24"/>
                <w:szCs w:val="24"/>
                <w:vertAlign w:val="superscript"/>
              </w:rPr>
              <w:t>2</w:t>
            </w:r>
            <w:r>
              <w:rPr>
                <w:sz w:val="24"/>
                <w:szCs w:val="24"/>
              </w:rPr>
              <w:t>, спальни - 8 м</w:t>
            </w:r>
            <w:r>
              <w:rPr>
                <w:sz w:val="24"/>
                <w:szCs w:val="24"/>
                <w:vertAlign w:val="superscript"/>
              </w:rPr>
              <w:t>2</w:t>
            </w:r>
            <w:r>
              <w:rPr>
                <w:sz w:val="24"/>
                <w:szCs w:val="24"/>
              </w:rPr>
              <w:t xml:space="preserve"> (на двух человек - 10 м</w:t>
            </w:r>
            <w:r>
              <w:rPr>
                <w:sz w:val="24"/>
                <w:szCs w:val="24"/>
                <w:vertAlign w:val="superscript"/>
              </w:rPr>
              <w:t>2</w:t>
            </w:r>
            <w:r>
              <w:rPr>
                <w:sz w:val="24"/>
                <w:szCs w:val="24"/>
              </w:rPr>
              <w:t>); кухни - 8 м</w:t>
            </w:r>
            <w:r>
              <w:rPr>
                <w:sz w:val="24"/>
                <w:szCs w:val="24"/>
                <w:vertAlign w:val="superscript"/>
              </w:rPr>
              <w:t>2</w:t>
            </w:r>
            <w:r>
              <w:rPr>
                <w:sz w:val="24"/>
                <w:szCs w:val="24"/>
              </w:rPr>
              <w:t>; кухонной зоны в кухне-столовой - 6 м</w:t>
            </w:r>
            <w:r>
              <w:rPr>
                <w:sz w:val="24"/>
                <w:szCs w:val="24"/>
                <w:vertAlign w:val="superscript"/>
              </w:rPr>
              <w:t>2</w:t>
            </w:r>
            <w:r>
              <w:rPr>
                <w:sz w:val="24"/>
                <w:szCs w:val="24"/>
              </w:rPr>
              <w:t>. В домах с одной комнатой допускается проектировать кухни или кухни-ниши площадью не менее 5 м</w:t>
            </w:r>
            <w:r>
              <w:rPr>
                <w:sz w:val="24"/>
                <w:szCs w:val="24"/>
                <w:vertAlign w:val="superscript"/>
              </w:rPr>
              <w:t>2</w:t>
            </w:r>
            <w:r>
              <w:rPr>
                <w:sz w:val="24"/>
                <w:szCs w:val="24"/>
              </w:rPr>
              <w:t xml:space="preserve">. Площадь спальни и кухни в мансардном этаже (или этаже </w:t>
              <w:br/>
              <w:t>с наклонными ограждающими конструкциями) допускается не менее 7 м</w:t>
            </w:r>
            <w:r>
              <w:rPr>
                <w:sz w:val="24"/>
                <w:szCs w:val="24"/>
                <w:vertAlign w:val="superscript"/>
              </w:rPr>
              <w:t>2</w:t>
            </w:r>
            <w:r>
              <w:rPr>
                <w:sz w:val="24"/>
                <w:szCs w:val="24"/>
              </w:rPr>
              <w:t xml:space="preserve"> при условии, что общая жилая комната имеет площадь не менее 16 м</w:t>
            </w:r>
            <w:r>
              <w:rPr>
                <w:sz w:val="24"/>
                <w:szCs w:val="24"/>
                <w:vertAlign w:val="superscript"/>
              </w:rPr>
              <w:t>2</w:t>
            </w:r>
            <w:r>
              <w:rPr>
                <w:sz w:val="24"/>
                <w:szCs w:val="24"/>
              </w:rPr>
              <w:t>.</w:t>
            </w:r>
          </w:p>
          <w:p>
            <w:pPr>
              <w:pStyle w:val="Normal"/>
              <w:spacing w:lineRule="auto" w:line="240" w:before="0" w:after="0"/>
              <w:ind w:firstLine="340"/>
              <w:jc w:val="both"/>
              <w:rPr>
                <w:rFonts w:ascii="Times New Roman" w:hAnsi="Times New Roman"/>
                <w:sz w:val="24"/>
                <w:szCs w:val="24"/>
              </w:rPr>
            </w:pPr>
            <w:r>
              <w:rPr>
                <w:spacing w:val="-2"/>
                <w:sz w:val="24"/>
                <w:szCs w:val="24"/>
              </w:rPr>
              <w:t xml:space="preserve">Согласно пункту 6.2 СП 55.13330.2016 высота (от пола </w:t>
              <w:br/>
              <w:t>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spacing w:lineRule="auto" w:line="240" w:before="0" w:after="0"/>
              <w:ind w:firstLine="340"/>
              <w:jc w:val="both"/>
              <w:rPr>
                <w:rFonts w:ascii="Times New Roman" w:hAnsi="Times New Roman"/>
                <w:sz w:val="24"/>
                <w:szCs w:val="24"/>
              </w:rPr>
            </w:pPr>
            <w:r>
              <w:rPr>
                <w:sz w:val="24"/>
                <w:szCs w:val="24"/>
              </w:rPr>
              <w:t xml:space="preserve">В жилых комнатах и кухнях, расположенных в этажах </w:t>
              <w:br/>
              <w:t xml:space="preserve">с наклонными ограждающими конструкциями </w:t>
              <w:b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Согласно информации, содержащейся в ГПЗУ </w:t>
              <w:br/>
              <w:t>от 24.01.2025 № РФ-59-2-03-0-00-2025-0111-0, предельная высота зданий, строений не более 10,5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Минимальный отступ от границ Участка до места допустимого размещения зданий, строений </w:t>
              <w:br/>
            </w:r>
            <w:r>
              <w:rPr>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sz w:val="24"/>
              </w:rPr>
            </w:pPr>
            <w:r>
              <w:rPr>
                <w:sz w:val="24"/>
              </w:rPr>
              <w:t xml:space="preserve">Максимальный процент застройки в границах </w:t>
              <w:br/>
              <w:t>Участка – 30%.</w:t>
            </w:r>
          </w:p>
          <w:p>
            <w:pPr>
              <w:pStyle w:val="Normal"/>
              <w:spacing w:lineRule="auto" w:line="240" w:before="0" w:after="0"/>
              <w:ind w:firstLine="340"/>
              <w:jc w:val="both"/>
              <w:rPr>
                <w:rFonts w:ascii="Times New Roman" w:hAnsi="Times New Roman"/>
                <w:sz w:val="24"/>
                <w:szCs w:val="24"/>
              </w:rPr>
            </w:pPr>
            <w:r>
              <w:rPr>
                <w:rFonts w:eastAsia="Droid Sans Fallback" w:cs="Lohit Devanagari"/>
                <w:color w:val="auto"/>
                <w:kern w:val="0"/>
                <w:lang w:val="ru-RU" w:eastAsia="zh-CN" w:bidi="ar-SA"/>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40"/>
              <w:jc w:val="both"/>
              <w:rPr>
                <w:rFonts w:ascii="Times New Roman" w:hAnsi="Times New Roman"/>
                <w:sz w:val="24"/>
              </w:rPr>
            </w:pPr>
            <w:r>
              <w:rPr>
                <w:sz w:val="24"/>
              </w:rPr>
              <w:t xml:space="preserve">О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 сообщается следующее.</w:t>
            </w:r>
          </w:p>
          <w:p>
            <w:pPr>
              <w:pStyle w:val="Normal"/>
              <w:spacing w:lineRule="auto" w:line="240" w:before="0" w:after="0"/>
              <w:ind w:firstLine="340"/>
              <w:jc w:val="both"/>
              <w:rPr>
                <w:rFonts w:ascii="Times New Roman" w:hAnsi="Times New Roman"/>
                <w:sz w:val="24"/>
              </w:rPr>
            </w:pPr>
            <w:r>
              <w:rPr>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в составе договора о технологическом присоединении.</w:t>
            </w:r>
          </w:p>
          <w:p>
            <w:pPr>
              <w:pStyle w:val="Normal"/>
              <w:spacing w:lineRule="auto" w:line="240" w:before="0" w:after="0"/>
              <w:ind w:firstLine="340"/>
              <w:jc w:val="both"/>
              <w:rPr>
                <w:rFonts w:ascii="Times New Roman" w:hAnsi="Times New Roman"/>
                <w:sz w:val="24"/>
              </w:rPr>
            </w:pPr>
            <w:r>
              <w:rPr>
                <w:sz w:val="24"/>
              </w:rPr>
              <w:t xml:space="preserve">Плата за технологическое присоединение энергопринимающих устройств устанавливается исходя </w:t>
              <w:br/>
              <w:t>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340"/>
              <w:jc w:val="both"/>
              <w:rPr>
                <w:rFonts w:ascii="Times New Roman" w:hAnsi="Times New Roman"/>
                <w:sz w:val="24"/>
              </w:rPr>
            </w:pPr>
            <w:r>
              <w:rPr>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от 30.01.2025 № ПЭ/ПГЭС/01/01/985).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w:t>
            </w:r>
            <w:r>
              <w:rPr>
                <w:sz w:val="24"/>
                <w:szCs w:val="24"/>
                <w:vertAlign w:val="superscript"/>
              </w:rPr>
              <w:t>3</w:t>
            </w:r>
            <w:r>
              <w:rPr>
                <w:sz w:val="24"/>
                <w:szCs w:val="24"/>
              </w:rPr>
              <w:t>/час к существующим сетям газораспределения имеется.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21.01.2025 № ПФ-260).</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О предоставлении информации о возможности подключения к сетям водоснабжения и водоотведения объекта капитального строительства с предполагаемыми объемами водопотребления – не более 1,0 м</w:t>
            </w:r>
            <w:r>
              <w:rPr>
                <w:sz w:val="24"/>
                <w:szCs w:val="24"/>
                <w:vertAlign w:val="superscript"/>
              </w:rPr>
              <w:t>3</w:t>
            </w:r>
            <w:r>
              <w:rPr>
                <w:sz w:val="24"/>
                <w:szCs w:val="24"/>
              </w:rPr>
              <w:t>/сут., сообщается следующее.</w:t>
            </w:r>
          </w:p>
          <w:p>
            <w:pPr>
              <w:pStyle w:val="Normal"/>
              <w:spacing w:lineRule="auto" w:line="240" w:before="0" w:after="0"/>
              <w:ind w:firstLine="340"/>
              <w:jc w:val="both"/>
              <w:rPr>
                <w:rFonts w:ascii="Times New Roman" w:hAnsi="Times New Roman"/>
                <w:sz w:val="24"/>
                <w:szCs w:val="24"/>
              </w:rPr>
            </w:pPr>
            <w:r>
              <w:rPr>
                <w:sz w:val="24"/>
                <w:szCs w:val="24"/>
              </w:rPr>
              <w:t>В районе Участка отсутствуют централизованные сети водоснабжения и водоотведения, эксплуатируемые ООО «НОВОГОР-Прикамье».</w:t>
            </w:r>
          </w:p>
          <w:p>
            <w:pPr>
              <w:pStyle w:val="Normal"/>
              <w:spacing w:lineRule="auto" w:line="240" w:before="0" w:after="0"/>
              <w:ind w:firstLine="340"/>
              <w:jc w:val="both"/>
              <w:rPr>
                <w:rFonts w:ascii="Times New Roman" w:hAnsi="Times New Roman"/>
                <w:sz w:val="24"/>
                <w:szCs w:val="24"/>
              </w:rPr>
            </w:pPr>
            <w:r>
              <w:rPr>
                <w:sz w:val="24"/>
                <w:szCs w:val="24"/>
              </w:rPr>
              <w:t xml:space="preserve">Альтернативным методом снабжения водой вышеуказанного объекта может быть скважина, отвод канализационных стоков возможен на локальные очистные сооружения либо </w:t>
            </w:r>
            <w:r>
              <w:rPr>
                <w:spacing w:val="-6"/>
                <w:sz w:val="24"/>
                <w:szCs w:val="24"/>
              </w:rPr>
              <w:t>в выгребную яму с последующие вывозом стоков спец. машинами,  при этом состав стоков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Для сведения сообщается, что 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предлагается обратиться в соответствующие организации, регулирующие недропользование.</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21.01.2025 № 110-0606).</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22.01.2025 № 51000-32-00131).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15.01.2025 № 059-04-25/3-10-ри ).</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 В границах Участка сети ПАО «Ростелеком» отсутствуют.</w:t>
            </w:r>
          </w:p>
          <w:p>
            <w:pPr>
              <w:pStyle w:val="Normal"/>
              <w:spacing w:lineRule="auto" w:line="240" w:before="0" w:after="0"/>
              <w:ind w:firstLine="340"/>
              <w:jc w:val="both"/>
              <w:rPr>
                <w:rFonts w:ascii="Times New Roman" w:hAnsi="Times New Roman"/>
                <w:strike/>
                <w:sz w:val="24"/>
                <w:szCs w:val="24"/>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ПАО «Ростелеком»</w:t>
            </w:r>
            <w:r>
              <w:rPr>
                <w:sz w:val="24"/>
                <w:szCs w:val="24"/>
              </w:rPr>
              <w:t xml:space="preserve"> от 21.01.2025 от 01/05/7824/25).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до 2028 года не предусмотрено строительство сетей водоснабжения и водоотведения.</w:t>
            </w:r>
          </w:p>
          <w:p>
            <w:pPr>
              <w:pStyle w:val="Normal"/>
              <w:spacing w:lineRule="auto" w:line="240" w:before="0" w:after="0"/>
              <w:ind w:firstLine="340"/>
              <w:jc w:val="both"/>
              <w:rPr>
                <w:rFonts w:ascii="Times New Roman" w:hAnsi="Times New Roman"/>
                <w:sz w:val="24"/>
                <w:szCs w:val="24"/>
              </w:rPr>
            </w:pPr>
            <w:r>
              <w:rPr>
                <w:color w:val="000000"/>
                <w:sz w:val="24"/>
                <w:szCs w:val="24"/>
              </w:rPr>
              <w:t xml:space="preserve">(Аналогичная информация отражена в письме </w:t>
            </w:r>
            <w:r>
              <w:rPr>
                <w:b/>
                <w:color w:val="000000"/>
                <w:sz w:val="24"/>
                <w:szCs w:val="24"/>
              </w:rPr>
              <w:t xml:space="preserve">департамента жилищно-коммунального хозяйства администрации города Перми </w:t>
            </w:r>
            <w:r>
              <w:rPr>
                <w:color w:val="000000"/>
                <w:sz w:val="24"/>
                <w:szCs w:val="24"/>
              </w:rPr>
              <w:t>от 20.01.2025 № 059-04-17/3-37-ри).</w:t>
            </w:r>
          </w:p>
          <w:p>
            <w:pPr>
              <w:pStyle w:val="Normal"/>
              <w:ind w:firstLine="412"/>
              <w:jc w:val="both"/>
              <w:rPr>
                <w:color w:val="000000"/>
                <w:sz w:val="24"/>
                <w:szCs w:val="24"/>
              </w:rPr>
            </w:pPr>
            <w:r>
              <w:rPr>
                <w:color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для строительства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4 641 000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232 050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2 320 500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13.12.2024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21.06.2025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29.07.2025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30.07.2025.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31.07</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21.06.2025 по 29.07.2025.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21.06.2025 по 29.07.2025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 договора является частью извещения и представлен в Приложении 2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2"/>
      <w:headerReference w:type="first" r:id="rId13"/>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15</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gorodperm.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201</TotalTime>
  <Application>LibreOffice/7.6.7.2$Linux_X86_64 LibreOffice_project/60$Build-2</Application>
  <AppVersion>15.0000</AppVersion>
  <Pages>15</Pages>
  <Words>5038</Words>
  <Characters>35237</Characters>
  <CharactersWithSpaces>40193</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2025-06-18T16:38:03Z</dcterms:modified>
  <cp:revision>271</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