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numPr>
          <w:ilvl w:val="0"/>
          <w:numId w:val="0"/>
        </w:numPr>
        <w:ind w:left="0" w:firstLine="0"/>
        <w:jc w:val="left"/>
        <w:spacing w:line="280" w:lineRule="exact"/>
        <w:rPr>
          <w:highlight w:val="none"/>
        </w:rPr>
        <w:outlineLvl w:val="0"/>
      </w:pPr>
      <w:r/>
      <w:r>
        <w:rPr>
          <w:highlight w:val="none"/>
        </w:rPr>
      </w:r>
    </w:p>
    <w:p>
      <w:pPr>
        <w:pStyle w:val="87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ПРОТОКОЛ   </w:t>
      </w:r>
      <w:r>
        <w:rPr>
          <w:sz w:val="28"/>
          <w:szCs w:val="28"/>
        </w:rPr>
      </w:r>
    </w:p>
    <w:p>
      <w:pPr>
        <w:pStyle w:val="87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 признании аукциона на право заключения договора аренды муниципального имущества несостоявшимся</w:t>
      </w:r>
      <w:r>
        <w:rPr>
          <w:sz w:val="28"/>
          <w:szCs w:val="28"/>
        </w:rPr>
      </w:r>
    </w:p>
    <w:p>
      <w:pPr>
        <w:pStyle w:val="797"/>
        <w:jc w:val="both"/>
        <w:spacing w:before="0" w:after="12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97"/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sz w:val="28"/>
          <w:szCs w:val="28"/>
        </w:rPr>
      </w:r>
    </w:p>
    <w:p>
      <w:pPr>
        <w:pStyle w:val="797"/>
        <w:spacing w:line="276" w:lineRule="auto"/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sz w:val="28"/>
          <w:szCs w:val="28"/>
        </w:rPr>
        <w:t xml:space="preserve">24.0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</w:t>
      </w:r>
      <w:r/>
    </w:p>
    <w:p>
      <w:pPr>
        <w:pStyle w:val="797"/>
        <w:spacing w:line="276" w:lineRule="auto"/>
      </w:pPr>
      <w:r>
        <w:rPr>
          <w:b/>
          <w:sz w:val="28"/>
          <w:szCs w:val="28"/>
        </w:rPr>
        <w:t xml:space="preserve"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(07:00 МСК).</w:t>
      </w:r>
      <w:r/>
    </w:p>
    <w:p>
      <w:pPr>
        <w:pStyle w:val="797"/>
        <w:jc w:val="both"/>
        <w:spacing w:before="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7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</w:t>
      </w:r>
      <w:r>
        <w:rPr>
          <w:sz w:val="28"/>
          <w:szCs w:val="28"/>
        </w:rPr>
        <w:t xml:space="preserve">24.0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 </w:t>
      </w:r>
      <w:r/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sz w:val="28"/>
          <w:szCs w:val="24"/>
        </w:rPr>
      </w:pPr>
      <w:r/>
      <w:r>
        <w:rPr>
          <w:sz w:val="28"/>
          <w:szCs w:val="24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Комиссия по проведению аукционов, конкурсов на право заключения договора аренды имущества, принадлежащего на праве собствен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ности муниципальному образованию город Пермь, составляющего имущество казны муниципального образования город Пермь, утвержденная приказом начальника департамента имущественных отношений администрации города Перми </w:t>
        <w:br/>
        <w:t xml:space="preserve">от 10.02.2023 № 059-19-01-11-12, в составе: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 xml:space="preserve">Кичко О.В., и.о.</w:t>
      </w:r>
      <w:r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начальника управления               по распоряжению муниципальным имуществом 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                          по распоряжению муниципальным имуществом. </w:t>
      </w:r>
      <w:r/>
    </w:p>
    <w:p>
      <w:pPr>
        <w:pStyle w:val="797"/>
        <w:ind w:left="2880" w:hanging="2880"/>
        <w:jc w:val="both"/>
        <w:spacing w:line="276" w:lineRule="auto"/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Доценко Е.В., консультант отдела по распоряжению</w:t>
      </w:r>
      <w:r/>
      <w:r/>
    </w:p>
    <w:p>
      <w:pPr>
        <w:pStyle w:val="797"/>
        <w:ind w:left="2154" w:right="0" w:firstLine="0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  <w:r/>
    </w:p>
    <w:p>
      <w:pPr>
        <w:ind w:left="2880" w:right="0" w:hanging="720"/>
        <w:jc w:val="both"/>
        <w:spacing w:line="276" w:lineRule="auto"/>
      </w:pPr>
      <w:r>
        <w:rPr>
          <w:sz w:val="28"/>
          <w:szCs w:val="28"/>
        </w:rPr>
        <w:t xml:space="preserve">Нестерова М.С., консультант отдела по распоряжению</w:t>
      </w:r>
      <w:r/>
      <w:r/>
    </w:p>
    <w:p>
      <w:pPr>
        <w:pStyle w:val="797"/>
        <w:ind w:left="2154" w:right="0" w:firstLine="0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97"/>
        <w:ind w:left="2891" w:right="0" w:hanging="737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Селезнева Е.Ю., консультант отдела по распоряжению</w:t>
      </w:r>
      <w:r/>
    </w:p>
    <w:p>
      <w:pPr>
        <w:pStyle w:val="797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97"/>
        <w:ind w:left="2880" w:hanging="753"/>
        <w:jc w:val="both"/>
        <w:spacing w:line="276" w:lineRule="auto"/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/>
    </w:p>
    <w:p>
      <w:pPr>
        <w:pStyle w:val="797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/>
    </w:p>
    <w:p>
      <w:pPr>
        <w:pStyle w:val="797"/>
        <w:ind w:left="2880" w:hanging="75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firstLine="709"/>
        <w:jc w:val="both"/>
        <w:spacing w:before="0" w:after="0" w:line="276" w:lineRule="auto"/>
      </w:pPr>
      <w:r>
        <w:rPr>
          <w:sz w:val="28"/>
        </w:rPr>
        <w:t xml:space="preserve">Комиссия установила, что по окончании срока подачи заявок на участие </w:t>
      </w:r>
      <w:r>
        <w:rPr>
          <w:sz w:val="28"/>
        </w:rPr>
        <w:br w:type="textWrapping" w:clear="all"/>
      </w:r>
      <w:r>
        <w:rPr>
          <w:sz w:val="28"/>
        </w:rPr>
        <w:t xml:space="preserve">в аукционе на право заключения договоров аренды муниципального имущества, назначенном на </w:t>
      </w:r>
      <w:r>
        <w:rPr>
          <w:sz w:val="28"/>
        </w:rPr>
        <w:t xml:space="preserve">24.0</w:t>
      </w:r>
      <w:r>
        <w:rPr>
          <w:sz w:val="28"/>
        </w:rPr>
        <w:t xml:space="preserve">6</w:t>
      </w:r>
      <w:r>
        <w:rPr>
          <w:sz w:val="28"/>
        </w:rPr>
        <w:t xml:space="preserve">.2025 (процедур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а №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SBR012-2505230121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):</w:t>
      </w:r>
      <w:r/>
    </w:p>
    <w:p>
      <w:pPr>
        <w:pStyle w:val="866"/>
        <w:ind w:left="0" w:firstLine="709"/>
        <w:jc w:val="both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spacing w:before="0" w:after="0" w:line="276" w:lineRule="auto"/>
      </w:pPr>
      <w:r>
        <w:rPr>
          <w:rFonts w:eastAsia="Droid Sans Fallback" w:cs="Lohit Devanagari"/>
          <w:b/>
          <w:bCs/>
          <w:color w:val="auto"/>
          <w:sz w:val="28"/>
          <w:szCs w:val="24"/>
          <w:lang w:val="ru-RU" w:eastAsia="ru-RU" w:bidi="ar-SA"/>
        </w:rPr>
        <w:t xml:space="preserve">Лот № 1.</w:t>
      </w: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 xml:space="preserve"> </w:t>
      </w:r>
      <w:r/>
    </w:p>
    <w:p>
      <w:pPr>
        <w:contextualSpacing w:val="0"/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102,8 кв. м, (кадастровый номер 59:01:4410738:666) в подвале жилого дома по адресу: Пермск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ий край, г. Пермь, Свердловский район, ул. ул. Куйбышева и Смирнова, д.86/12 (далее – муниципальное имущество). Муниципальное имущество является защитным сооружением гражданской обороны (укрытие) в соответствии </w:t>
        <w:br/>
        <w:t xml:space="preserve">с паспортом укрытия № 00256-25 от 02.08.2021.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64"/>
        <w:ind w:firstLine="709"/>
        <w:jc w:val="both"/>
        <w:spacing w:line="276" w:lineRule="auto"/>
      </w:pP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В связи с тем, что на участие в аукционе по лоту 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1</w:t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не подано ни одной заявки, аукцион по данному лоту признан несостоявшимся.</w:t>
      </w:r>
      <w:r/>
    </w:p>
    <w:p>
      <w:pPr>
        <w:pStyle w:val="864"/>
        <w:ind w:firstLine="709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864"/>
        <w:ind w:firstLine="709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65"/>
        <w:ind w:left="5610" w:hanging="5610"/>
        <w:jc w:val="left"/>
        <w:spacing w:before="0" w:after="0"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  <w:t xml:space="preserve">Председатель комиссии </w:t>
        <w:tab/>
        <w:tab/>
        <w:t xml:space="preserve">       </w:t>
      </w:r>
      <w:r>
        <w:rPr>
          <w:sz w:val="28"/>
          <w:szCs w:val="28"/>
        </w:rPr>
        <w:t xml:space="preserve">О.В. Кичко</w:t>
      </w:r>
      <w:r/>
    </w:p>
    <w:p>
      <w:pPr>
        <w:pStyle w:val="865"/>
        <w:ind w:left="5610" w:hanging="561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5610" w:hanging="5610"/>
        <w:spacing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Члены комиссии</w:t>
      </w:r>
      <w:r/>
      <w:r>
        <w:rPr>
          <w:sz w:val="28"/>
          <w:szCs w:val="28"/>
        </w:rPr>
        <w:tab/>
        <w:tab/>
        <w:t xml:space="preserve">       Е.В. Доценко</w:t>
      </w:r>
      <w:r/>
    </w:p>
    <w:p>
      <w:pPr>
        <w:pStyle w:val="865"/>
        <w:ind w:left="5610" w:hanging="5610"/>
        <w:spacing w:line="276" w:lineRule="auto"/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  <w:r/>
    </w:p>
    <w:p>
      <w:pPr>
        <w:pStyle w:val="865"/>
        <w:ind w:left="5610" w:hanging="5610"/>
        <w:spacing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  <w:tab/>
        <w:t xml:space="preserve">                                  М.С. Нестерова</w:t>
      </w:r>
      <w:r/>
    </w:p>
    <w:p>
      <w:pPr>
        <w:pStyle w:val="865"/>
        <w:ind w:left="0" w:firstLine="7088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512"/>
        <w:spacing w:line="276" w:lineRule="auto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Е.Ю. Селезнева</w:t>
      </w:r>
      <w:r/>
    </w:p>
    <w:p>
      <w:pPr>
        <w:pStyle w:val="865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5610" w:right="0" w:firstLine="1902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     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Ю.И. Четина</w:t>
      </w:r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42" w:right="567" w:bottom="777" w:left="1418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Open Sans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4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4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qFormat/>
    <w:pPr>
      <w:jc w:val="center"/>
      <w:keepNext/>
      <w:outlineLvl w:val="0"/>
    </w:pPr>
    <w:rPr>
      <w:b/>
      <w:bCs/>
      <w:szCs w:val="2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Page Number"/>
    <w:basedOn w:val="830"/>
  </w:style>
  <w:style w:type="character" w:styleId="832">
    <w:name w:val="Текст Знак"/>
    <w:qFormat/>
    <w:rPr>
      <w:rFonts w:ascii="Courier New" w:hAnsi="Courier New"/>
    </w:rPr>
  </w:style>
  <w:style w:type="character" w:styleId="833">
    <w:name w:val="Основной текст 2 Знак"/>
    <w:qFormat/>
    <w:rPr>
      <w:sz w:val="24"/>
      <w:szCs w:val="24"/>
    </w:rPr>
  </w:style>
  <w:style w:type="character" w:styleId="834" w:default="1">
    <w:name w:val="Default Paragraph Font"/>
    <w:uiPriority w:val="1"/>
    <w:semiHidden/>
    <w:unhideWhenUsed/>
    <w:qFormat/>
  </w:style>
  <w:style w:type="paragraph" w:styleId="835">
    <w:name w:val="Заголовок"/>
    <w:basedOn w:val="797"/>
    <w:next w:val="83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6">
    <w:name w:val="Body Text"/>
    <w:basedOn w:val="797"/>
    <w:pPr>
      <w:jc w:val="right"/>
    </w:pPr>
    <w:rPr>
      <w:sz w:val="28"/>
    </w:rPr>
  </w:style>
  <w:style w:type="paragraph" w:styleId="837">
    <w:name w:val="List"/>
    <w:basedOn w:val="836"/>
    <w:rPr>
      <w:rFonts w:cs="Lohit Devanagari"/>
    </w:rPr>
  </w:style>
  <w:style w:type="paragraph" w:styleId="838">
    <w:name w:val="Caption"/>
    <w:basedOn w:val="797"/>
    <w:qFormat/>
    <w:pPr>
      <w:ind w:firstLine="567"/>
      <w:jc w:val="center"/>
    </w:pPr>
    <w:rPr>
      <w:b/>
      <w:szCs w:val="20"/>
    </w:rPr>
  </w:style>
  <w:style w:type="paragraph" w:styleId="839">
    <w:name w:val="Указатель"/>
    <w:basedOn w:val="797"/>
    <w:qFormat/>
    <w:pPr>
      <w:suppressLineNumbers/>
    </w:pPr>
    <w:rPr>
      <w:rFonts w:cs="Lohit Devanagari"/>
    </w:rPr>
  </w:style>
  <w:style w:type="paragraph" w:styleId="840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2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3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4">
    <w:name w:val="Quote"/>
    <w:basedOn w:val="797"/>
    <w:uiPriority w:val="29"/>
    <w:qFormat/>
    <w:pPr>
      <w:ind w:left="720" w:right="720"/>
    </w:pPr>
    <w:rPr>
      <w:i/>
    </w:rPr>
  </w:style>
  <w:style w:type="paragraph" w:styleId="845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6">
    <w:name w:val="Колонтитул"/>
    <w:basedOn w:val="797"/>
    <w:qFormat/>
  </w:style>
  <w:style w:type="paragraph" w:styleId="847">
    <w:name w:val="Header"/>
    <w:basedOn w:val="7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8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9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0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1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2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3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4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55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56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57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58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59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0">
    <w:name w:val="Index Heading"/>
    <w:basedOn w:val="835"/>
  </w:style>
  <w:style w:type="paragraph" w:styleId="86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2">
    <w:name w:val="table of figures"/>
    <w:basedOn w:val="797"/>
    <w:uiPriority w:val="99"/>
    <w:unhideWhenUsed/>
    <w:pPr>
      <w:spacing w:before="0" w:after="0" w:afterAutospacing="0"/>
    </w:pPr>
  </w:style>
  <w:style w:type="paragraph" w:styleId="863">
    <w:name w:val="Основной текст с отступом 2"/>
    <w:basedOn w:val="797"/>
    <w:qFormat/>
    <w:pPr>
      <w:ind w:left="4962" w:hanging="4395"/>
      <w:jc w:val="both"/>
    </w:pPr>
    <w:rPr>
      <w:szCs w:val="20"/>
    </w:rPr>
  </w:style>
  <w:style w:type="paragraph" w:styleId="864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65">
    <w:name w:val="Основной текст с отступом 3"/>
    <w:basedOn w:val="797"/>
    <w:qFormat/>
    <w:pPr>
      <w:ind w:left="5610"/>
    </w:pPr>
  </w:style>
  <w:style w:type="paragraph" w:styleId="866">
    <w:name w:val="Body Text Indent"/>
    <w:basedOn w:val="797"/>
    <w:pPr>
      <w:ind w:left="283"/>
      <w:spacing w:before="0" w:after="120"/>
    </w:pPr>
  </w:style>
  <w:style w:type="paragraph" w:styleId="867">
    <w:name w:val="Основной текст 2"/>
    <w:basedOn w:val="797"/>
    <w:qFormat/>
    <w:pPr>
      <w:spacing w:before="0" w:after="120" w:line="480" w:lineRule="auto"/>
    </w:pPr>
    <w:rPr>
      <w:lang w:val="en-US" w:eastAsia="en-US"/>
    </w:rPr>
  </w:style>
  <w:style w:type="paragraph" w:styleId="868">
    <w:name w:val="Основной текст 3"/>
    <w:basedOn w:val="797"/>
    <w:qFormat/>
    <w:pPr>
      <w:spacing w:before="0" w:after="120"/>
    </w:pPr>
    <w:rPr>
      <w:sz w:val="16"/>
      <w:szCs w:val="16"/>
    </w:rPr>
  </w:style>
  <w:style w:type="paragraph" w:styleId="869">
    <w:name w:val="Текст выноски"/>
    <w:basedOn w:val="797"/>
    <w:semiHidden/>
    <w:qFormat/>
    <w:rPr>
      <w:rFonts w:ascii="Tahoma" w:hAnsi="Tahoma" w:cs="Tahoma"/>
      <w:sz w:val="16"/>
      <w:szCs w:val="16"/>
    </w:rPr>
  </w:style>
  <w:style w:type="paragraph" w:styleId="870">
    <w:name w:val=" 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1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2">
    <w:name w:val="UserStyle_4"/>
    <w:basedOn w:val="797"/>
    <w:qFormat/>
    <w:pPr>
      <w:ind w:firstLine="567"/>
      <w:jc w:val="center"/>
    </w:pPr>
    <w:rPr>
      <w:b/>
      <w:szCs w:val="20"/>
    </w:rPr>
  </w:style>
  <w:style w:type="paragraph" w:styleId="873">
    <w:name w:val="Содержимое врезки"/>
    <w:basedOn w:val="797"/>
    <w:qFormat/>
  </w:style>
  <w:style w:type="numbering" w:styleId="874">
    <w:name w:val="Нет списка"/>
    <w:semiHidden/>
    <w:qFormat/>
  </w:style>
  <w:style w:type="numbering" w:styleId="875" w:default="1">
    <w:name w:val="No List"/>
    <w:uiPriority w:val="99"/>
    <w:semiHidden/>
    <w:unhideWhenUsed/>
    <w:qFormat/>
  </w:style>
  <w:style w:type="table" w:styleId="87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0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0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0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1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8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8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9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9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22</cp:revision>
  <dcterms:created xsi:type="dcterms:W3CDTF">2024-07-29T05:49:00Z</dcterms:created>
  <dcterms:modified xsi:type="dcterms:W3CDTF">2025-06-23T05:50:12Z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