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0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770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47"/>
        <w:numPr>
          <w:ilvl w:val="0"/>
          <w:numId w:val="0"/>
        </w:numPr>
        <w:ind w:left="0" w:firstLine="5670"/>
        <w:jc w:val="both"/>
        <w:spacing w:line="240" w:lineRule="exact"/>
        <w:tabs>
          <w:tab w:val="clear" w:pos="708" w:leader="none"/>
          <w:tab w:val="left" w:pos="4732" w:leader="none"/>
          <w:tab w:val="left" w:pos="5812" w:leader="none"/>
        </w:tabs>
        <w:rPr>
          <w:sz w:val="28"/>
          <w:szCs w:val="28"/>
        </w:rPr>
        <w:outlineLvl w:val="5"/>
      </w:pPr>
      <w:r>
        <w:rPr>
          <w:bCs/>
          <w:sz w:val="28"/>
          <w:szCs w:val="28"/>
        </w:rPr>
        <w:t xml:space="preserve">Приложение 2</w:t>
      </w:r>
      <w:r>
        <w:rPr>
          <w:sz w:val="28"/>
          <w:szCs w:val="28"/>
        </w:rPr>
      </w:r>
    </w:p>
    <w:p>
      <w:pPr>
        <w:pStyle w:val="647"/>
        <w:ind w:left="5664" w:firstLine="6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приказу начальника департамента имущественных отношений</w:t>
      </w:r>
      <w:r>
        <w:rPr>
          <w:sz w:val="28"/>
          <w:szCs w:val="28"/>
        </w:rPr>
      </w:r>
    </w:p>
    <w:p>
      <w:pPr>
        <w:pStyle w:val="647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</w:p>
    <w:p>
      <w:pPr>
        <w:pStyle w:val="647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24.06.2025 № 059-19-01-11-68</w:t>
      </w:r>
      <w:r>
        <w:rPr>
          <w:sz w:val="28"/>
          <w:szCs w:val="28"/>
        </w:rPr>
      </w:r>
    </w:p>
    <w:p>
      <w:pPr>
        <w:pStyle w:val="647"/>
        <w:ind w:left="283"/>
        <w:jc w:val="center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ind w:left="283"/>
        <w:jc w:val="center"/>
        <w:tabs>
          <w:tab w:val="clear" w:pos="708" w:leader="none"/>
          <w:tab w:val="left" w:pos="473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70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Извещение о проведении 07.08.2025 электронного аукциона на право заключения договора аренды земельного участка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77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647"/>
        <w:ind w:left="-567" w:firstLine="567"/>
        <w:jc w:val="both"/>
        <w:widowControl w:val="off"/>
        <w:rPr>
          <w:b/>
          <w:bCs/>
        </w:rPr>
      </w:pPr>
      <w:r>
        <w:rPr>
          <w:shd w:val="clear" w:color="auto" w:fill="ffffff"/>
        </w:rPr>
        <w:t xml:space="preserve">Электронный аукцион на право заключения договора аренды земельного участка </w:t>
        <w:br/>
        <w:t xml:space="preserve">(далее – аукцион) провод</w:t>
      </w:r>
      <w:r>
        <w:rPr>
          <w:shd w:val="clear" w:color="auto" w:fill="ffffff"/>
        </w:rPr>
        <w:t xml:space="preserve">и</w:t>
      </w:r>
      <w:r>
        <w:rPr>
          <w:shd w:val="clear" w:color="auto" w:fill="ffffff"/>
        </w:rPr>
        <w:t xml:space="preserve">тся в соответствии со статья</w:t>
      </w:r>
      <w:r>
        <w:rPr>
          <w:shd w:val="clear" w:color="auto" w:fill="ffffff"/>
        </w:rPr>
        <w:t xml:space="preserve">ми 39.11, 39.12, 39.13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</w:t>
      </w:r>
      <w:r>
        <w:rPr>
          <w:shd w:val="clear" w:color="auto" w:fill="ffffff"/>
        </w:rPr>
        <w:t xml:space="preserve">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</w:t>
      </w:r>
      <w:r>
        <w:rPr>
          <w:shd w:val="clear" w:color="auto" w:fill="ffffff"/>
        </w:rPr>
        <w:t xml:space="preserve">енных на земельных участках, находящихся в муниципальной собственности города Перми, и участках, собственность на которые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val="clear" w:color="auto" w:fill="ffffff"/>
          <w:lang w:val="ru-RU" w:eastAsia="zh-CN" w:bidi="ar-SA"/>
        </w:rPr>
        <w:t xml:space="preserve"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  <w:r>
        <w:rPr>
          <w:b/>
          <w:bCs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730"/>
          <w:bCs/>
          <w:sz w:val="24"/>
          <w:szCs w:val="24"/>
          <w:lang w:val="en-US"/>
        </w:rPr>
        <w:t xml:space="preserve">dzo@perm.permkrai.ru.</w:t>
      </w:r>
      <w:r>
        <w:rPr>
          <w:b/>
          <w:bCs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  <w:sz w:val="24"/>
          <w:szCs w:val="24"/>
        </w:rPr>
        <w:outlineLvl w:val="0"/>
      </w:pPr>
      <w:r>
        <w:rPr>
          <w:b/>
          <w:bCs/>
        </w:rPr>
        <w:t xml:space="preserve">Организатор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 xml:space="preserve">депар</w:t>
      </w:r>
      <w:r>
        <w:rPr>
          <w:bCs/>
        </w:rPr>
        <w:t xml:space="preserve">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 xml:space="preserve">dio</w:t>
      </w:r>
      <w:r>
        <w:rPr>
          <w:sz w:val="24"/>
          <w:szCs w:val="24"/>
        </w:rPr>
        <w:t xml:space="preserve">@</w:t>
      </w:r>
      <w:r>
        <w:rPr>
          <w:sz w:val="24"/>
          <w:szCs w:val="24"/>
          <w:lang w:val="en-US"/>
        </w:rPr>
        <w:t xml:space="preserve">perm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permkrai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sz w:val="24"/>
          <w:szCs w:val="24"/>
        </w:rPr>
        <w:outlineLvl w:val="0"/>
      </w:pPr>
      <w:r>
        <w:rPr>
          <w:b/>
          <w:bCs/>
        </w:rPr>
        <w:t xml:space="preserve"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24.06.2025 № 059-19-01-11-68.</w:t>
      </w:r>
      <w:r>
        <w:rPr>
          <w:sz w:val="24"/>
          <w:szCs w:val="24"/>
        </w:rPr>
      </w:r>
    </w:p>
    <w:p>
      <w:pPr>
        <w:pStyle w:val="780"/>
        <w:numPr>
          <w:ilvl w:val="0"/>
          <w:numId w:val="0"/>
        </w:numPr>
        <w:ind w:left="-567" w:firstLine="567"/>
        <w:jc w:val="both"/>
        <w:spacing w:before="0" w:after="0"/>
        <w:rPr>
          <w:rFonts w:eastAsia="Courier New"/>
          <w:b/>
          <w:color w:val="000000"/>
          <w:lang w:val="ru-RU" w:bidi="ru-RU"/>
        </w:rPr>
        <w:outlineLvl w:val="0"/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11" w:tooltip="http://www.torgi.gov.ru/" w:history="1">
        <w:r>
          <w:rPr>
            <w:rStyle w:val="730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30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30"/>
            <w:color w:val="000000"/>
            <w:sz w:val="24"/>
            <w:szCs w:val="24"/>
            <w:u w:val="none"/>
          </w:rPr>
          <w:t xml:space="preserve">torgi</w:t>
        </w:r>
        <w:r>
          <w:rPr>
            <w:rStyle w:val="730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30"/>
            <w:color w:val="000000"/>
            <w:sz w:val="24"/>
            <w:szCs w:val="24"/>
            <w:u w:val="none"/>
          </w:rPr>
          <w:t xml:space="preserve">gov</w:t>
        </w:r>
        <w:r>
          <w:rPr>
            <w:rStyle w:val="730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30"/>
            <w:color w:val="000000"/>
            <w:sz w:val="24"/>
            <w:szCs w:val="24"/>
            <w:u w:val="none"/>
          </w:rPr>
          <w:t xml:space="preserve"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 xml:space="preserve"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2" w:tooltip="http://www.gorodperm.ru/" w:history="1">
        <w:r>
          <w:rPr>
            <w:rStyle w:val="730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30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30"/>
            <w:color w:val="000000"/>
            <w:sz w:val="24"/>
            <w:szCs w:val="24"/>
            <w:u w:val="none"/>
          </w:rPr>
          <w:t xml:space="preserve">gorodperm</w:t>
        </w:r>
        <w:r>
          <w:rPr>
            <w:rStyle w:val="730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30"/>
            <w:color w:val="000000"/>
            <w:sz w:val="24"/>
            <w:szCs w:val="24"/>
            <w:u w:val="none"/>
          </w:rPr>
          <w:t xml:space="preserve"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13" w:tooltip="http://utp.sberbank-ast.ru/" w:history="1">
        <w:r>
          <w:rPr>
            <w:rStyle w:val="730"/>
            <w:sz w:val="24"/>
            <w:szCs w:val="24"/>
          </w:rPr>
          <w:t xml:space="preserve">http</w:t>
        </w:r>
        <w:r>
          <w:rPr>
            <w:rStyle w:val="730"/>
            <w:sz w:val="24"/>
            <w:szCs w:val="24"/>
            <w:lang w:val="ru-RU"/>
          </w:rPr>
          <w:t xml:space="preserve">://</w:t>
        </w:r>
        <w:r>
          <w:rPr>
            <w:rStyle w:val="730"/>
            <w:sz w:val="24"/>
            <w:szCs w:val="24"/>
          </w:rPr>
          <w:t xml:space="preserve">utp</w:t>
        </w:r>
        <w:r>
          <w:rPr>
            <w:rStyle w:val="730"/>
            <w:sz w:val="24"/>
            <w:szCs w:val="24"/>
            <w:lang w:val="ru-RU"/>
          </w:rPr>
          <w:t xml:space="preserve">.</w:t>
        </w:r>
        <w:r>
          <w:rPr>
            <w:rStyle w:val="730"/>
            <w:sz w:val="24"/>
            <w:szCs w:val="24"/>
          </w:rPr>
          <w:t xml:space="preserve">sberbank</w:t>
        </w:r>
        <w:r>
          <w:rPr>
            <w:rStyle w:val="730"/>
            <w:sz w:val="24"/>
            <w:szCs w:val="24"/>
            <w:lang w:val="ru-RU"/>
          </w:rPr>
          <w:t xml:space="preserve">-</w:t>
        </w:r>
        <w:r>
          <w:rPr>
            <w:rStyle w:val="730"/>
            <w:sz w:val="24"/>
            <w:szCs w:val="24"/>
          </w:rPr>
          <w:t xml:space="preserve">ast</w:t>
        </w:r>
        <w:r>
          <w:rPr>
            <w:rStyle w:val="730"/>
            <w:sz w:val="24"/>
            <w:szCs w:val="24"/>
            <w:lang w:val="ru-RU"/>
          </w:rPr>
          <w:t xml:space="preserve">.</w:t>
        </w:r>
        <w:r>
          <w:rPr>
            <w:rStyle w:val="730"/>
            <w:sz w:val="24"/>
            <w:szCs w:val="24"/>
          </w:rPr>
          <w:t xml:space="preserve">ru</w:t>
        </w:r>
      </w:hyperlink>
      <w:r>
        <w:rPr>
          <w:bCs/>
          <w:sz w:val="24"/>
          <w:szCs w:val="24"/>
          <w:lang w:val="ru-RU" w:bidi="ru-RU"/>
        </w:rPr>
        <w:t xml:space="preserve">.</w:t>
      </w:r>
      <w:r>
        <w:rPr>
          <w:rFonts w:eastAsia="Courier New"/>
          <w:b/>
          <w:color w:val="000000"/>
          <w:lang w:val="ru-RU" w:bidi="ru-RU"/>
        </w:rPr>
      </w:r>
    </w:p>
    <w:p>
      <w:pPr>
        <w:pStyle w:val="647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4" w:tooltip="http://utp.sberbank-ast.ru/" w:history="1">
        <w:r>
          <w:rPr>
            <w:rStyle w:val="730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  <w:br/>
        <w:t xml:space="preserve">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5" w:tooltip="https://utp.sberbank-ast.ru/Main/Notice/988/Reglament" w:history="1">
        <w:r>
          <w:rPr>
            <w:rStyle w:val="730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16" w:tooltip="https://utp.sberbank-ast.ru/AP/Notice/1027/Instructions" w:history="1">
        <w:r>
          <w:rPr>
            <w:rStyle w:val="730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7" w:tooltip="https://utp.sberbank-ast.ru/AP/Notice/652/Instructions" w:history="1">
        <w:r>
          <w:rPr>
            <w:rStyle w:val="730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</w:p>
    <w:p>
      <w:pPr>
        <w:pStyle w:val="647"/>
        <w:ind w:left="-567" w:firstLine="567"/>
        <w:jc w:val="both"/>
        <w:widowControl w:val="off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</w:t>
        <w:br/>
        <w:t xml:space="preserve">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730"/>
          <w:bCs/>
          <w:sz w:val="24"/>
          <w:szCs w:val="24"/>
          <w:lang w:val="en-US"/>
        </w:rPr>
        <w:t xml:space="preserve">dzo</w:t>
      </w:r>
      <w:r>
        <w:rPr>
          <w:rStyle w:val="730"/>
          <w:bCs/>
          <w:sz w:val="24"/>
          <w:szCs w:val="24"/>
        </w:rPr>
        <w:t xml:space="preserve">@</w:t>
      </w:r>
      <w:r>
        <w:rPr>
          <w:rStyle w:val="730"/>
          <w:bCs/>
          <w:sz w:val="24"/>
          <w:szCs w:val="24"/>
          <w:lang w:val="en-US"/>
        </w:rPr>
        <w:t xml:space="preserve">perm</w:t>
      </w:r>
      <w:r>
        <w:rPr>
          <w:rStyle w:val="730"/>
          <w:bCs/>
          <w:sz w:val="24"/>
          <w:szCs w:val="24"/>
        </w:rPr>
        <w:t xml:space="preserve">.</w:t>
      </w:r>
      <w:r>
        <w:rPr>
          <w:rStyle w:val="730"/>
          <w:bCs/>
          <w:sz w:val="24"/>
          <w:szCs w:val="24"/>
          <w:lang w:val="en-US"/>
        </w:rPr>
        <w:t xml:space="preserve">permkrai</w:t>
      </w:r>
      <w:r>
        <w:rPr>
          <w:rStyle w:val="730"/>
          <w:bCs/>
          <w:sz w:val="24"/>
          <w:szCs w:val="24"/>
        </w:rPr>
        <w:t xml:space="preserve">.</w:t>
      </w:r>
      <w:r>
        <w:rPr>
          <w:rStyle w:val="730"/>
          <w:bCs/>
          <w:sz w:val="24"/>
          <w:szCs w:val="24"/>
          <w:lang w:val="en-US"/>
        </w:rPr>
        <w:t xml:space="preserve">ru.</w:t>
      </w:r>
      <w:r>
        <w:rPr>
          <w:highlight w:val="none"/>
        </w:rPr>
      </w:r>
    </w:p>
    <w:p>
      <w:pPr>
        <w:pStyle w:val="647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47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70"/>
        <w:ind w:left="1134" w:hanging="1134"/>
        <w:jc w:val="center"/>
        <w:spacing w:line="240" w:lineRule="exact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лотах (предметах аукциона)</w:t>
      </w:r>
      <w:r>
        <w:rPr>
          <w:b/>
          <w:lang w:val="ru-RU"/>
        </w:rPr>
      </w:r>
    </w:p>
    <w:p>
      <w:pPr>
        <w:pStyle w:val="647"/>
        <w:ind w:right="-263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7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b/>
          <w:lang w:val="en-US"/>
        </w:rPr>
        <w:t xml:space="preserve">Лот № 1</w:t>
      </w:r>
      <w:r>
        <w:rPr>
          <w:sz w:val="20"/>
          <w:szCs w:val="20"/>
          <w:highlight w:val="none"/>
        </w:rPr>
      </w:r>
    </w:p>
    <w:tbl>
      <w:tblPr>
        <w:tblW w:w="10530" w:type="dxa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9"/>
        <w:gridCol w:w="3057"/>
        <w:gridCol w:w="690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47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 xml:space="preserve">от 24 марта  2025 г. № 21-01-03-2492 «О проведении аукциона на право заключения договора аренды земельного участка в Индустриальном районе города Перми»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47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 аренды земельного участка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Merge w:val="restart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улица Стахановская, з/у 56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1602 кв. 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59:01:4410853:6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419" w:right="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419" w:right="0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склады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47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3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47"/>
              <w:ind w:firstLine="311"/>
              <w:jc w:val="both"/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/>
          </w:p>
          <w:p>
            <w:pPr>
              <w:pStyle w:val="647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от 18.06.2025г.               No КУВИ-001/2025-125137624</w:t>
            </w:r>
            <w:r>
              <w:rPr>
                <w:color w:val="auto"/>
                <w:sz w:val="24"/>
                <w:szCs w:val="24"/>
              </w:rPr>
              <w:t xml:space="preserve"> (далее – ЕГРН)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18.</w:t>
            </w:r>
            <w:r>
              <w:rPr>
                <w:color w:val="auto"/>
                <w:sz w:val="24"/>
                <w:szCs w:val="24"/>
              </w:rPr>
              <w:t xml:space="preserve">02.2025 № РФ-59-2-03-0-00-2025-0328-0 (далее – ГПЗУ)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  <w:p>
            <w:pPr>
              <w:pStyle w:val="744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  <w:p>
            <w:pPr>
              <w:pStyle w:val="74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границах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Участка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объекты отсутствуют, Участок огорожен забором, на Участке складирован снег.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акте  </w:t>
            </w:r>
            <w:r>
              <w:rPr>
                <w:color w:val="000000"/>
                <w:sz w:val="24"/>
                <w:szCs w:val="24"/>
              </w:rPr>
              <w:t xml:space="preserve">обследования территории от 18.03.2025 № 15).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4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44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В соответствии с копией планшета М 1:500 (требующей корректуры) в границах Участка расположены сети: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водоснабжения, водоотведения,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электроснабжения.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С южной, юго-восточной сторон Участок огражден железобетонным забором, по границе которого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расположена сеть наружного освещения.</w:t>
            </w:r>
            <w:r/>
          </w:p>
          <w:p>
            <w:pPr>
              <w:pStyle w:val="744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В границах Участка 2 металлических объекта,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сооружение водомерного узла на цементированной площадке,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колодец ливневой канализации, колодец с вентелем, забор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на металлических столбиках, монолитные железобетонные сваи.</w:t>
            </w:r>
            <w:r/>
          </w:p>
          <w:p>
            <w:pPr>
              <w:pStyle w:val="744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Согласно сведениям ЕГРН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Участок имеет связь с объектами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капитального строительства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с кадастровыми номерами:</w:t>
            </w:r>
            <w:r/>
          </w:p>
          <w:p>
            <w:pPr>
              <w:pStyle w:val="744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59:01:0000000:77516</w:t>
            </w:r>
            <w:r>
              <w:rPr>
                <w:color w:val="000000"/>
              </w:rPr>
              <w:t xml:space="preserve"> – </w:t>
            </w:r>
            <w:r>
              <w:rPr>
                <w:color w:val="000000"/>
                <w:sz w:val="24"/>
              </w:rPr>
              <w:t xml:space="preserve">Электросетевой комплекс «Подстанция 110/35/6 кВ «Южная»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с линиями электропередачи и трансформаторными подстанциями, распределительными пунктами, глубина залегания 1 м, находится в собственности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ОАО «МРСК Урала»;</w:t>
            </w:r>
            <w:r/>
          </w:p>
          <w:p>
            <w:pPr>
              <w:pStyle w:val="744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59:01:4410853:476</w:t>
            </w:r>
            <w:r>
              <w:rPr>
                <w:color w:val="000000"/>
              </w:rPr>
              <w:t xml:space="preserve"> – </w:t>
            </w:r>
            <w:r>
              <w:rPr>
                <w:color w:val="000000"/>
                <w:sz w:val="24"/>
              </w:rPr>
              <w:t xml:space="preserve">Здание ТП-7464, сведения </w:t>
              <w:br/>
              <w:t xml:space="preserve"> о зарегистрированных правах отсутствуют;</w:t>
            </w:r>
            <w:r/>
          </w:p>
          <w:p>
            <w:pPr>
              <w:pStyle w:val="744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59:01:0000000:88305</w:t>
            </w:r>
            <w:r>
              <w:rPr>
                <w:color w:val="000000"/>
              </w:rPr>
              <w:t xml:space="preserve"> – </w:t>
            </w:r>
            <w:r>
              <w:rPr>
                <w:color w:val="000000"/>
                <w:sz w:val="24"/>
              </w:rPr>
              <w:t xml:space="preserve">Система водоснабжения </w:t>
              <w:br/>
              <w:t xml:space="preserve"> ООО «Танар», находится в собственности ООО «Танар»;</w:t>
            </w:r>
            <w:r/>
          </w:p>
          <w:p>
            <w:pPr>
              <w:pStyle w:val="744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59:01:0000000:88443</w:t>
            </w:r>
            <w:r>
              <w:rPr>
                <w:color w:val="000000"/>
              </w:rPr>
              <w:t xml:space="preserve"> – </w:t>
            </w:r>
            <w:r>
              <w:rPr>
                <w:color w:val="000000"/>
                <w:sz w:val="24"/>
              </w:rPr>
              <w:t xml:space="preserve">Система канализации </w:t>
              <w:br/>
              <w:t xml:space="preserve"> ООО «Танар», находится в собственности ООО «Танар»;</w:t>
            </w:r>
            <w:r/>
          </w:p>
          <w:p>
            <w:pPr>
              <w:pStyle w:val="744"/>
              <w:ind w:left="0" w:right="0" w:firstLine="311"/>
              <w:jc w:val="both"/>
              <w:spacing w:before="0" w:after="0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59:01:0000000:93018</w:t>
            </w:r>
            <w:r>
              <w:rPr>
                <w:color w:val="000000"/>
              </w:rPr>
              <w:t xml:space="preserve"> – </w:t>
            </w:r>
            <w:r>
              <w:rPr>
                <w:color w:val="000000"/>
                <w:sz w:val="24"/>
              </w:rPr>
              <w:t xml:space="preserve">Подземные кабельные линии ООО «Танар», находится в собственности ООО «Танар».</w:t>
            </w:r>
            <w:r>
              <w:rPr>
                <w:color w:val="000000"/>
              </w:rPr>
            </w:r>
          </w:p>
          <w:p>
            <w:pPr>
              <w:pStyle w:val="744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Размещение объекта капитального строительства необходимо предусматривать строго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за пределами охранных зон сетей водоснабжения, водоотведения, электроснабжения в соответствии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с нормами СП 42.13330.2016 «Градостроительство планировка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и застройка городских и сельских поселений», в том числе в соответствии с таблицей 12.5 СП 42.13330.2016 «Градостроительство планировка и застройка городских и сельских поселений»; учитывать нормы постановления Правительства 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от 24.02.2009 № 160 «О порядке установления охранных зон объектов электросетевого хозяйства 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особых условий использования земельных участков, расположенных в границах таких зон» (вместе с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      </w:r>
            <w:r/>
          </w:p>
          <w:p>
            <w:pPr>
              <w:pStyle w:val="744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Согласно пункту 8 статьи 39.11 Кодекса земельный участок, нахо</w:t>
            </w:r>
            <w:r>
              <w:rPr>
                <w:color w:val="000000"/>
                <w:sz w:val="24"/>
              </w:rPr>
              <w:t xml:space="preserve">дящийся в государственной или муниципальной собственности, не может быть предметом аукциона, если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</w:t>
            </w:r>
            <w:r>
              <w:rPr>
                <w:color w:val="000000"/>
                <w:sz w:val="24"/>
              </w:rPr>
              <w:t xml:space="preserve">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Кодекса.</w:t>
            </w:r>
            <w:r/>
          </w:p>
          <w:p>
            <w:pPr>
              <w:pStyle w:val="744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Учитывая, что указанные объекты могут размещаться</w:t>
              <w:br/>
              <w:t xml:space="preserve"> на ос</w:t>
            </w:r>
            <w:r>
              <w:rPr>
                <w:color w:val="000000"/>
                <w:sz w:val="24"/>
              </w:rPr>
              <w:t xml:space="preserve">новании сервитута, публичного сервитута, в соответствии со статьей 39.36 Кодекса, наличие таких объектов на земельном участке не является основанием для отказа в предоставлении земельного участка на торгах и земельный участок может быть предметом аукциона.</w:t>
            </w:r>
            <w:r/>
          </w:p>
          <w:p>
            <w:pPr>
              <w:pStyle w:val="744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Согласно сведениям ЕГРН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отношении части Участка решением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Арбитражного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суда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Пермского края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от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17.03.2021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по делу А50-37608/2019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установлен частный сервитут (право постоянного ограниченного пользования)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в пользу ООО «Танар»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(614000, Пермский край, город Пермь, улица Стахановская, дом 54 литер З кабинет 219, ОГРН: 1025901221147, ИНН: 5905220805) на условиях платности в размере 1 000 руб. в год, в соответствии с каталогами координат, указанными в настоящем решении суда:</w:t>
            </w:r>
            <w:r/>
          </w:p>
          <w:p>
            <w:pPr>
              <w:pStyle w:val="744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под водомерный узел, площадь земельного участка,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обременяемого сервитутом, составляет 41,14 кв.м;</w:t>
            </w:r>
            <w:r/>
          </w:p>
          <w:p>
            <w:pPr>
              <w:pStyle w:val="744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эксплуатации под водовод, площадь земельного участка, обременяемого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сервитутом, составляет 131,99 кв.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м.</w:t>
            </w:r>
            <w:r/>
          </w:p>
          <w:p>
            <w:pPr>
              <w:pStyle w:val="744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Согласно сведениям, содержащимся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в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ЕГРН, ГПЗУ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и справке по градостроительным условиям участка от 19.06.2025</w:t>
            </w:r>
            <w:r>
              <w:rPr>
                <w:color w:val="000000"/>
              </w:rPr>
              <w:t xml:space="preserve"> № </w:t>
            </w:r>
            <w:r>
              <w:rPr>
                <w:color w:val="000000"/>
                <w:sz w:val="24"/>
              </w:rPr>
              <w:t xml:space="preserve">635247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Участок расположен:</w:t>
            </w:r>
            <w:r/>
          </w:p>
          <w:p>
            <w:pPr>
              <w:pStyle w:val="744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в границах зоны с особыми условиями использования территории Охранная зона транспорта «Зона с особыми условиями использования </w:t>
            </w:r>
            <w:r>
              <w:rPr>
                <w:color w:val="000000"/>
              </w:rPr>
              <w:t xml:space="preserve">– </w:t>
            </w:r>
            <w:r>
              <w:rPr>
                <w:color w:val="000000"/>
                <w:sz w:val="24"/>
              </w:rPr>
              <w:t xml:space="preserve">Приаэродромная территория аэродрома аэропорта Большое Савино». 59:32-6,553 (Постановление Правительства Российской Федерации от 11-03.2010 № 138 «Об утверждении Федеральных правил использования воздушного пространства Российской Федерации»);</w:t>
            </w:r>
            <w:r/>
          </w:p>
          <w:p>
            <w:pPr>
              <w:pStyle w:val="744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в границах зоны с особыми условиями использования территории Санитарно-за</w:t>
            </w:r>
            <w:r>
              <w:rPr>
                <w:color w:val="000000"/>
                <w:sz w:val="24"/>
              </w:rPr>
              <w:t xml:space="preserve">щитная зона предприятий, сооружений и иных объектов «Санитарно-защитная зона для Пермской печатной фабрики - филиала ФГУП «Гознак», 59:01-6.1771 (Решение Федеральной службы по надзору в сфере защиты прав потребителей и благополучия человека от 25.12.2014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20 «Об установлении размера санитарно-защитной зоны для Пермской печатной фабрики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 xml:space="preserve">филиала ФГУП «Гознак»).</w:t>
            </w:r>
            <w:r/>
          </w:p>
          <w:p>
            <w:pPr>
              <w:pStyle w:val="744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В санитарно-защитной зоне </w:t>
            </w:r>
            <w:r>
              <w:rPr>
                <w:b/>
                <w:color w:val="000000"/>
                <w:sz w:val="24"/>
              </w:rPr>
              <w:t xml:space="preserve">не допускается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</w:t>
            </w:r>
            <w:r>
              <w:rPr>
                <w:color w:val="000000"/>
                <w:sz w:val="24"/>
              </w:rPr>
              <w:t xml:space="preserve">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и оздоровительные учреждения общего пользования. В санитарно-защитной зоне и на территории объектов других отраслей промышленности </w:t>
            </w:r>
            <w:r>
              <w:rPr>
                <w:b/>
                <w:color w:val="000000"/>
                <w:sz w:val="24"/>
              </w:rPr>
              <w:t xml:space="preserve">не допускается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размещать объекты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по производству лекарственных веществ, лекарственных средств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и пищевых продуктов, комплексы водопроводных сооружений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для подготовки и хранения питьевой воды, которые могут повлиять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на качество продукции;</w:t>
            </w:r>
            <w:r/>
          </w:p>
          <w:p>
            <w:pPr>
              <w:pStyle w:val="744"/>
              <w:ind w:left="0" w:right="0" w:firstLine="311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частично в границах зоны с особыми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условиями ис</w:t>
            </w:r>
            <w:r>
              <w:rPr>
                <w:color w:val="000000"/>
                <w:sz w:val="24"/>
              </w:rPr>
              <w:t xml:space="preserve">пользования территории Охранная зона инженерных коммуникаций «ОХРАННАЯ ЗОНА О 6 KB ОТ ПС ЮЖНАЯ ДО ТП-7421, КЛ б KB ОТ РП-27 ДО ТП-7421. КЛ 6 KB Ф. ДАНИЛИХА. КЛ 6 KB Ф. РАБОЧИЙ-1. КЛ 6 KB Ф. РАБОЧИЙ-2. О 6 KB Ф, ТРАНЗИТ-7. КЛ 6 KB Ф. ТРАНЗИТ-8», 59:01-6,41,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площадь земельного участка, покрываемая зоной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с особыми условиями использования территории, составляет 23,12 кв.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м. (Постановление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      </w:r>
            <w:r/>
          </w:p>
          <w:p>
            <w:pPr>
              <w:pStyle w:val="744"/>
              <w:ind w:left="0" w:right="0" w:firstLine="311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4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Победителю аукциона необходимо соблюдать условия строительства, указанные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письме (прилагается).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4"/>
              <w:ind w:left="0" w:right="0" w:firstLine="452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На Участке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произрастает 23 клена ясенелистного.</w:t>
            </w:r>
            <w:r/>
          </w:p>
          <w:p>
            <w:pPr>
              <w:pStyle w:val="744"/>
              <w:ind w:left="0" w:right="0" w:firstLine="452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Восстановительную стоимость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сноса зеленых насаждений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посчитать не представляется возможным, так как неизвестно пятно застройки и количество сносимых зеленых насаждений. Средняя стоимость в ценах 2025 г. одного дерева лиственной породы от 25 тыс.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руб., а хвойной – от 30 тыс.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руб.</w:t>
            </w:r>
            <w:r/>
          </w:p>
          <w:p>
            <w:pPr>
              <w:pStyle w:val="74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управления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по экологии и природопользованию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  <w:t xml:space="preserve">от 13.02.2025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 xml:space="preserve">059-33-01-10-3-125).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4"/>
              <w:ind w:left="0" w:right="0" w:firstLine="594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Бюджетом города Перми на период 2025-2029 годы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мероприятия по строительству, реконструкции, капитальному ремонту улично-дорожной сети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на рассматриваемой территории не запланированы.</w:t>
            </w:r>
            <w:r/>
          </w:p>
          <w:p>
            <w:pPr>
              <w:pStyle w:val="744"/>
              <w:ind w:left="0" w:right="0" w:firstLine="594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Для примыкания Участка к улично-дорожной сети города Перми необходимо выполнить мероприятия, указанные в настоящем письме.</w:t>
            </w:r>
            <w:r/>
          </w:p>
          <w:p>
            <w:pPr>
              <w:pStyle w:val="744"/>
              <w:ind w:left="0" w:right="0" w:firstLine="594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Также указывается на необходимость соблюдать Правила благоустройства территории города Перми, утвержденные решением Пермской городской Думы от 15.12.2020 № 277, при строительстве объектов недвижимости.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44"/>
              <w:ind w:left="0" w:right="0" w:firstLine="594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Для сведения сообщается, что в соответствии с Федеральным законом от 08.11.2007 № 257-ФЗ «Об автомобильных дорогах и о дорожной деятельности в Российской Феде</w:t>
            </w:r>
            <w:r>
              <w:rPr>
                <w:color w:val="000000"/>
                <w:sz w:val="24"/>
              </w:rPr>
              <w:t xml:space="preserve">рации и о внесении изменений  в отдельные законодательные акты Российской Федерации» расходы на строительство, реконструкцию, капитальный ремонт, ремонт пересечений и примыканий, в том числе расходы на выполнение дополнительных работ, связанных с обеспечен</w:t>
            </w:r>
            <w:r>
              <w:rPr>
                <w:color w:val="000000"/>
                <w:sz w:val="24"/>
              </w:rPr>
              <w:t xml:space="preserve">ием безопасности дорожного движения, водоотведения и исполнением других установленных техническими регламентами требований, несут лица,  в интересах которых осуществляются строительство, реконструкция, капитальный ремонт, ремонт пересечений или примыканий.</w:t>
            </w:r>
            <w:r/>
          </w:p>
          <w:p>
            <w:pPr>
              <w:pStyle w:val="74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департамента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дорог и благоустройства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t xml:space="preserve">10.02.2025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 059-24-01-36/3-439).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4"/>
              <w:ind w:left="0" w:right="0" w:firstLine="452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Источники противопожарного водоснабжения (пожарные гидранты) расположены по адресу: ул. Стахановская, 54г, шоссе Космонавтов, 111к2.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44"/>
              <w:ind w:left="0" w:right="0" w:firstLine="452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При планировке и размещении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объектов  на вышеуказанной территории необходимо соблюдать нормы и требования действующего законодательства: федеральных законов от 21 декабря 1994 г. № 69-ФЗ «О пожарной безопасности» и от 22 июля 2008 г. № 123-ФЗ «Технический регламент о требованиях</w:t>
            </w:r>
            <w:r>
              <w:rPr>
                <w:color w:val="000000"/>
                <w:sz w:val="24"/>
              </w:rPr>
              <w:t xml:space="preserve"> 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</w:t>
            </w:r>
            <w:r>
              <w:rPr>
                <w:color w:val="000000"/>
                <w:sz w:val="24"/>
              </w:rPr>
              <w:t xml:space="preserve">вопожарной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  <w:r/>
          </w:p>
          <w:p>
            <w:pPr>
              <w:pStyle w:val="744"/>
              <w:ind w:left="0" w:right="0" w:firstLine="452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Помещения для аварийно-спасательных служб и (или) аварийно-спасательных формирований на указанной территории отсутствуют.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44"/>
              <w:ind w:left="0" w:right="0" w:firstLine="452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Подразделение пожарной охраны расположено </w:t>
              <w:br/>
              <w:t xml:space="preserve"> по адресу: ул. Стахановская, 58 (ПСЧ-36 10-ПСО).</w:t>
            </w:r>
            <w:r/>
          </w:p>
          <w:p>
            <w:pPr>
              <w:pStyle w:val="744"/>
              <w:ind w:left="0" w:right="0" w:firstLine="452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Объект общественной безопасности, отнесенный к объектам полиции (у</w:t>
            </w:r>
            <w:r>
              <w:rPr>
                <w:color w:val="000000"/>
                <w:sz w:val="24"/>
              </w:rPr>
              <w:t xml:space="preserve">частковые пункты полиции),</w:t>
              <w:br/>
              <w:t xml:space="preserve"> в данном микрорайоне расположен по адресу: г. Пермь, ул. Танкистов, 17 (микрорайон Ераничи, Индустриальный район). В настоящее время в указанном микрорайоне строительство (приобретение) участковых пунктов полиции не планируется.</w:t>
            </w:r>
            <w:r/>
          </w:p>
          <w:p>
            <w:pPr>
              <w:pStyle w:val="744"/>
              <w:ind w:left="0" w:right="0" w:firstLine="452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 информации, предоставленной Министерством территориальной безопасности Пермского края (письмо от 07.10.2020 № 964с), рассматриваемая территория попадает в зону возможного химического заражения в особый период.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744"/>
              <w:ind w:left="0" w:right="0" w:firstLine="452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Указанная территория находится в зоне действия региональной автоматизированной системы централизованного оповещения населения города Перми, установленной по шоссе Космонавтов, 111 корп. 43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 xml:space="preserve">600 метров.</w:t>
            </w:r>
            <w:r/>
          </w:p>
          <w:p>
            <w:pPr>
              <w:pStyle w:val="74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департамента общественной безопасности администрации города Перми </w:t>
            </w:r>
            <w:r>
              <w:rPr>
                <w:color w:val="000000"/>
                <w:sz w:val="24"/>
                <w:szCs w:val="24"/>
              </w:rPr>
              <w:t xml:space="preserve">от 10.02.2025</w:t>
            </w:r>
            <w:r>
              <w:rPr>
                <w:color w:val="000000"/>
                <w:sz w:val="24"/>
                <w:szCs w:val="24"/>
              </w:rPr>
              <w:t xml:space="preserve"> № </w:t>
            </w:r>
            <w:r>
              <w:rPr>
                <w:color w:val="000000"/>
                <w:sz w:val="24"/>
                <w:szCs w:val="24"/>
              </w:rPr>
              <w:t xml:space="preserve">059-10-01-27/3-296).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4"/>
              <w:ind w:left="0" w:right="0" w:firstLine="452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Объекты недвижимого имущества,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в том числе Участок,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в реестре муниципального имущества города Перми не учитываются.</w:t>
            </w:r>
            <w:r/>
          </w:p>
          <w:p>
            <w:pPr>
              <w:pStyle w:val="744"/>
              <w:ind w:left="0" w:right="0" w:firstLine="452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Согласно сведениям ЕГРН на Участке расположено здание ТП-7464 с кадастровым номером 59:01:4410853:476, сведения о правообладателе которого отсутствуют в ЕГРН.</w:t>
            </w:r>
            <w:r/>
          </w:p>
          <w:p>
            <w:pPr>
              <w:pStyle w:val="744"/>
              <w:ind w:left="0" w:right="0" w:firstLine="452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Согласно информации, полученной письмом от 13.02.2025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 xml:space="preserve">059-19-01-43/1-40 из ГБУ Пермского края «Центр технической инвентаризации и кадастровой оценки Пермского края», сведения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о зарегистрированных правах на объект с кадастровым номером 59:01:4410853:476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отсутствуют.</w:t>
            </w:r>
            <w:r/>
          </w:p>
          <w:p>
            <w:pPr>
              <w:pStyle w:val="74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департамента имущественных отношений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14.02.2025 №</w:t>
            </w: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  <w:t xml:space="preserve">059-19-01-39/3-71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4"/>
              <w:ind w:left="0" w:right="0" w:firstLine="452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Согласно </w:t>
            </w:r>
            <w:r>
              <w:rPr>
                <w:b/>
                <w:color w:val="000000"/>
                <w:sz w:val="24"/>
              </w:rPr>
              <w:t xml:space="preserve">протоколу заседания координационного совещания по обеспечению правопорядка</w:t>
              <w:br/>
              <w:t xml:space="preserve"> в Пермском крае от 16.03.2022 №74-гс </w:t>
              <w:br/>
              <w:t xml:space="preserve"> </w:t>
            </w:r>
            <w:r>
              <w:rPr>
                <w:color w:val="000000"/>
                <w:sz w:val="24"/>
              </w:rPr>
              <w:t xml:space="preserve">для строительства объектов городской инфраструктуры (парков, скверов, торгово-развлекательных комплексов, иных зданий и сооружений) обязательным является условие по установке камер видеонаблюдения.</w:t>
            </w:r>
            <w:r/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510" w:right="113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47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информации, содержащейся</w:t>
              <w:br/>
            </w:r>
            <w:r>
              <w:rPr>
                <w:b w:val="0"/>
                <w:bCs w:val="0"/>
                <w:sz w:val="24"/>
                <w:szCs w:val="24"/>
              </w:rPr>
              <w:t xml:space="preserve">в градостроительном плане земельного участка </w:t>
              <w:br/>
              <w:t xml:space="preserve">от 18.02.2025 № РФ-59-2-03-0-00-2025-0328-0 (далее – ГПЗУ), максимальный выступ за красную </w:t>
            </w:r>
            <w:r>
              <w:rPr>
                <w:sz w:val="24"/>
                <w:szCs w:val="24"/>
              </w:rPr>
              <w:t xml:space="preserve">линию нависающих частей здания наземных уровней, выступающих из плоскости наружной стены фасада здан</w:t>
            </w:r>
            <w:r>
              <w:rPr>
                <w:sz w:val="24"/>
                <w:szCs w:val="24"/>
              </w:rPr>
              <w:t xml:space="preserve">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Максимальный класс опасности (в соответствии </w:t>
              <w:br/>
              <w:t xml:space="preserve">с санитарно-эпидемиологическими правилами) объектов капитального строительства, размещаемых </w:t>
              <w:br/>
              <w:t xml:space="preserve">на земельных участках – </w:t>
            </w:r>
            <w:r>
              <w:rPr>
                <w:sz w:val="24"/>
                <w:szCs w:val="24"/>
                <w:lang w:val="en-US"/>
              </w:rPr>
              <w:t xml:space="preserve">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Минимальный отступ от границ земельного участка до места допустимого размещения зданий, строений – </w:t>
              <w:br/>
              <w:t xml:space="preserve">0 м. Предельное количество этажей и (или) предельная высота зданий, строений – без ограничений.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отношений суммарной площади земельного участка, которая может быть застроена, ко всей площади земельного участка – без ограничений.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таблицей Б.1 «Показатели плотности застройки участков территориа</w:t>
            </w:r>
            <w:r>
              <w:rPr>
                <w:sz w:val="24"/>
                <w:szCs w:val="24"/>
              </w:rPr>
              <w:t xml:space="preserve">льных зон» СП 42.13330.2016. Свод правил. Градостроительство. Планировка и застройка городских и сельских поселений. Актуализированная редакция СНиП 2.07.01-89* коэффициент плотности застройки земельного участка в коммунально-складской зоне составляет 1,8.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Таким образом, предельные параметры разрешенного строительства на Участке составляют 2883,6 кв. м (1602 кв. м х 1,8).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Учитывая конфигурацию Участка, расположенные</w:t>
              <w:br/>
              <w:t xml:space="preserve">в границах Участка сети и зоны с особыми условиям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и использования территории, информация о которых содержится в ЕГРН, в соответствии с приложением Г «Площадь и размеры земельных участков складов» СП 42.13330.2016. Свод правил. Градостроительство. Планировка и застройка городских и сельских поселений. Акту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ализированная редакция СНиП 2.07.01-89* минимальная площадь склада на Участке для складов непродовольственных товаров составляет: 207 кв. м для одноэтажных объектов капитального строительства, 313 кв. м для многоэтажных объектов капитального строительства.</w:t>
            </w:r>
            <w:r>
              <w:rPr>
                <w:b w:val="0"/>
                <w:bCs w:val="0"/>
                <w:color w:val="000000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расположен на территории, в границах которой предусматриваются </w:t>
            </w:r>
            <w:r>
              <w:rPr>
                <w:b/>
                <w:sz w:val="24"/>
                <w:szCs w:val="24"/>
              </w:rPr>
              <w:t xml:space="preserve">требования к архитектурно-градостроительному облику объектов капитального строительства</w:t>
            </w:r>
            <w:r>
              <w:rPr>
                <w:sz w:val="24"/>
                <w:szCs w:val="24"/>
              </w:rPr>
              <w:t xml:space="preserve"> в соответствии со статьей 52.9 Правил землепользования и застройки города Перми.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 проектировании и строительстве необходимо учитывать требования к ар</w:t>
            </w:r>
            <w:r>
              <w:rPr>
                <w:b/>
                <w:sz w:val="24"/>
                <w:szCs w:val="24"/>
              </w:rPr>
              <w:t xml:space="preserve">хитектурно-градостроительному облику объектов капитального строительства, утвержденные постановлением Правительства Пермского края от 21.08.2023 № 633-п «О внесении изменений в ПЗЗ» (в ред. постановления правительства Пермского края от 11.09.2024 № 607-п).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требованиях архитектурно-градостроительного облика объекта указана в п. 12 градостроительного плана земельного участка </w:t>
              <w:br/>
              <w:t xml:space="preserve">от 18.02.2025 № РФ-59-2-03-0-00-2025-0328-0 (далее – ГПЗУ).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соответствии с пунктом 2.1.34. Решения Пермской городской Думы от 15.12.2020 № 277 «Об утверждении Правил благоустройства территории города Перми» при проектировании и строительстве объекта капитального строительства необходимо соблюдать требования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по разработке паспорта внешнего облика объекта капитального строительства (колерный паспорт).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47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Колерный паспорт - документ, разрабатываемый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в случаях, предусмотренных действующим законодательством, Правилами, для фасада здания, строения, сооружения при планируемом строительстве, реконструкции, капитальном ремонте, реставрации, приспособлении объекта культурного наследия </w:t>
            </w:r>
            <w:r>
              <w:rPr>
                <w:spacing w:val="-4"/>
                <w:sz w:val="24"/>
                <w:szCs w:val="24"/>
              </w:rPr>
              <w:t xml:space="preserve">для современного использования, а также при изменении внешнего вида здания, строения, сооружения, который устанавливает внешний облик (вид) фасада здания, строения, сооружения, включая требования </w:t>
            </w:r>
            <w:r>
              <w:rPr>
                <w:sz w:val="24"/>
                <w:szCs w:val="24"/>
              </w:rPr>
              <w:t xml:space="preserve">в отношении материалов, способов отделки и цветов фасадов, ограждающих конструкций (крыш (кровельного покрытия), ограждений балконов, лоджий), мест для размещения средств размещения информации (вывесок, указателей с наименованиями улиц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и номерами домов (зданий)), рекламных конструкций,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а также мест для размещения, вида, цветового решения архитектурно-художественной подсветки.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Колерный паспорт подлежит согласованию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с функциональным органом администрации города Перми, осуществляющим функции управления в сфере градостроительства.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Merge w:val="continue"/>
            <w:textDirection w:val="lrTb"/>
            <w:noWrap w:val="false"/>
          </w:tcPr>
          <w:p>
            <w:pPr>
              <w:pStyle w:val="647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47"/>
              <w:numPr>
                <w:ilvl w:val="0"/>
                <w:numId w:val="2"/>
              </w:numPr>
              <w:ind w:left="410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47"/>
              <w:ind w:firstLine="252"/>
              <w:jc w:val="both"/>
              <w:rPr>
                <w:highlight w:val="none"/>
              </w:rPr>
            </w:pPr>
            <w:r/>
            <w:r>
              <w:rPr>
                <w:highlight w:val="none"/>
              </w:rPr>
            </w:r>
          </w:p>
          <w:p>
            <w:pPr>
              <w:pStyle w:val="647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8" w:tooltip="http://www.gorodperm.ru/" w:history="1">
              <w:r>
                <w:rPr>
                  <w:rStyle w:val="730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highlight w:val="none"/>
              </w:rPr>
            </w:r>
          </w:p>
          <w:p>
            <w:pPr>
              <w:pStyle w:val="647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44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 xml:space="preserve">Техническая возможность подключения объекта капитального строительства с планируемым объемом потребления газа 6</w:t>
            </w:r>
            <w:r>
              <w:rPr>
                <w:color w:val="000000"/>
                <w:sz w:val="24"/>
                <w:szCs w:val="24"/>
                <w14:ligatures w14:val="none"/>
              </w:rPr>
              <w:t xml:space="preserve"> </w:t>
            </w:r>
            <w:r>
              <w:rPr>
                <w:color w:val="000000"/>
                <w:sz w:val="24"/>
                <w:szCs w:val="24"/>
                <w14:ligatures w14:val="none"/>
              </w:rPr>
              <w:t xml:space="preserve">куб.м/час к существующим сетям газораспределения имеется.</w:t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pStyle w:val="74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 xml:space="preserve">(Аналогичная информация отражена в  письме  </w:t>
            </w:r>
            <w:r>
              <w:rPr>
                <w:b/>
                <w:color w:val="000000"/>
                <w:sz w:val="24"/>
                <w:szCs w:val="24"/>
                <w14:ligatures w14:val="none"/>
              </w:rPr>
              <w:t xml:space="preserve">АО «Газпром газораспределение Пермь»</w:t>
            </w:r>
            <w:r>
              <w:rPr>
                <w:color w:val="000000"/>
                <w:sz w:val="24"/>
                <w:szCs w:val="24"/>
                <w14:ligatures w14:val="none"/>
              </w:rPr>
              <w:t xml:space="preserve"> </w:t>
            </w:r>
            <w:r>
              <w:rPr>
                <w:color w:val="000000"/>
                <w:sz w:val="24"/>
                <w:szCs w:val="24"/>
                <w14:ligatures w14:val="none"/>
              </w:rPr>
              <w:t xml:space="preserve">от 10.02.2025</w:t>
            </w:r>
            <w:r>
              <w:rPr>
                <w:color w:val="000000"/>
                <w:sz w:val="24"/>
                <w:szCs w:val="24"/>
                <w14:ligatures w14:val="none"/>
              </w:rPr>
              <w:t xml:space="preserve"> № </w:t>
            </w:r>
            <w:r>
              <w:rPr>
                <w:color w:val="000000"/>
                <w:sz w:val="24"/>
                <w:szCs w:val="24"/>
                <w14:ligatures w14:val="none"/>
              </w:rPr>
              <w:t xml:space="preserve">ПФ-791).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4"/>
              <w:ind w:left="0" w:right="0" w:firstLine="452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О возможности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подключения планируемого к строительству объекта на Участке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с предполагаемыми объемами водопотребления и водоотведения – 1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м3/сут., расходом воды на наружное пожаротушение 10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л/сек, сообщается, что для возможности подключения объекта необходимо выполнить мероприятия по ликвидации технологических разрывов по сетям водопровода и канализации, указанные в настоящем письме.</w:t>
            </w:r>
            <w:r/>
          </w:p>
          <w:p>
            <w:pPr>
              <w:pStyle w:val="744"/>
              <w:ind w:left="0" w:right="0" w:firstLine="452"/>
              <w:jc w:val="both"/>
              <w:spacing w:before="0" w:after="0"/>
            </w:pPr>
            <w:r>
              <w:rPr>
                <w:color w:val="000000"/>
                <w:sz w:val="24"/>
                <w:u w:val="single"/>
              </w:rPr>
              <w:t xml:space="preserve">Подключение объекта к системе водоотведения будет возможно после реализации ООО «НОВОГОР-Прикамье»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мероприятий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по реконструкции коллектора на территории бизнес-парка «Морион»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не ранее 2027 г.</w:t>
            </w:r>
            <w:r/>
          </w:p>
          <w:p>
            <w:pPr>
              <w:pStyle w:val="744"/>
              <w:ind w:left="0" w:right="0" w:firstLine="452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Подключение конкурсной площадки к сетям водоснабжения и водоотведения будет возможно только после выполнения вышеуказанных мероприятий.</w:t>
            </w:r>
            <w:r/>
          </w:p>
          <w:p>
            <w:pPr>
              <w:pStyle w:val="74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ООО «Новогор-Прикамье» </w:t>
            </w:r>
            <w:r>
              <w:rPr>
                <w:color w:val="000000"/>
                <w:sz w:val="24"/>
                <w:szCs w:val="24"/>
              </w:rPr>
              <w:t xml:space="preserve">от 11.02.2025 № 110-1692).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4"/>
              <w:ind w:left="0" w:right="0" w:firstLine="452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Техническая возможность подключения объекта к сетям теплоснабжения с подключаемой тепловой нагрузкой 0,25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Гкал/ч.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имеется. Возможные точки присоединения на существующих тепловых сетях: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К-517-13а на М2-16 2Ду400мм. Источник теплоснабжения: ТЭЦ-9.</w:t>
            </w:r>
            <w:r/>
          </w:p>
          <w:p>
            <w:pPr>
              <w:pStyle w:val="74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Пермские тепловые сети Филиал ПАО «Т Плюс»</w:t>
            </w:r>
            <w:r>
              <w:rPr>
                <w:color w:val="000000"/>
                <w:sz w:val="24"/>
                <w:szCs w:val="24"/>
              </w:rPr>
              <w:t xml:space="preserve"> от 14.02.2025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 xml:space="preserve">51030-01-00794).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4"/>
              <w:ind w:left="0" w:right="0" w:firstLine="452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Технологическое присоединение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к сетям связи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ПАО «Ростелеком» планируемых к строительству объектов в границах Участка может быть произведенов точке подключения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узел ВОЛС (Пермский край, г. Пермь, ул. Карпинского, 63), максимальную нагрузку в точке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подключения (технологического присоединения) определить на стадии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проектирования.</w:t>
            </w:r>
            <w:r/>
          </w:p>
          <w:p>
            <w:pPr>
              <w:pStyle w:val="744"/>
              <w:ind w:left="0" w:right="0" w:firstLine="452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В границах Участка сетей связи ПАО «Ростелеком» и их охранных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</w:rPr>
              <w:t xml:space="preserve">зон нет.</w:t>
            </w:r>
            <w:r/>
          </w:p>
          <w:p>
            <w:pPr>
              <w:pStyle w:val="744"/>
              <w:ind w:left="0" w:right="0" w:firstLine="452"/>
              <w:jc w:val="both"/>
              <w:spacing w:before="0" w:after="0"/>
            </w:pPr>
            <w:r>
              <w:rPr>
                <w:color w:val="000000"/>
                <w:sz w:val="24"/>
              </w:rPr>
              <w:t xml:space="preserve">Для получения ТУ на подключение к сетям связи ПАО «Ростелеком» необходимо направить письменный запрос по адресу: г. Пермь, ул. Крупской, д. 2, e-mail: </w:t>
            </w:r>
            <w:hyperlink r:id="rId19" w:tooltip="mailto:perm-mail@ural.rt.ru" w:history="1">
              <w:r>
                <w:rPr>
                  <w:rStyle w:val="730"/>
                  <w:color w:val="0000ff"/>
                  <w:sz w:val="24"/>
                  <w:u w:val="single"/>
                </w:rPr>
                <w:t xml:space="preserve">perm-mail@ural.rt.ru</w:t>
              </w:r>
            </w:hyperlink>
            <w:r>
              <w:rPr>
                <w:color w:val="000000"/>
                <w:sz w:val="24"/>
              </w:rPr>
              <w:t xml:space="preserve">.</w:t>
            </w:r>
            <w:r/>
          </w:p>
          <w:p>
            <w:pPr>
              <w:pStyle w:val="74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ПАО «Ростелеком»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от 18.02.2025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 01/05/25067/25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7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47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0"/>
              <w:jc w:val="left"/>
            </w:pPr>
            <w:r>
              <w:rPr>
                <w:b w:val="0"/>
                <w:bCs w:val="0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</w:t>
            </w:r>
            <w:r>
              <w:rPr>
                <w:b w:val="0"/>
                <w:bCs w:val="0"/>
                <w:sz w:val="24"/>
                <w:szCs w:val="24"/>
              </w:rPr>
              <w:t xml:space="preserve">иона, для строительства (Приложение 2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</w:t>
              <w:br/>
              <w:t xml:space="preserve">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0"/>
                <w:bCs w:val="0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 w:val="0"/>
                <w:color w:val="000000"/>
                <w:sz w:val="24"/>
                <w:szCs w:val="24"/>
              </w:rPr>
              <w:t xml:space="preserve">однократно за первые 3 года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тел. 212-61-90 (отдел договоров).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963 000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47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48 150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47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47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20" w:tooltip="http://www.torgi.gov.ru/" w:history="1">
              <w:r>
                <w:rPr>
                  <w:rStyle w:val="730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30"/>
                  <w:sz w:val="24"/>
                  <w:szCs w:val="24"/>
                </w:rPr>
                <w:t xml:space="preserve">.</w:t>
              </w:r>
              <w:r>
                <w:rPr>
                  <w:rStyle w:val="730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30"/>
                  <w:sz w:val="24"/>
                  <w:szCs w:val="24"/>
                </w:rPr>
                <w:t xml:space="preserve">.</w:t>
              </w:r>
              <w:r>
                <w:rPr>
                  <w:rStyle w:val="730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30"/>
                  <w:sz w:val="24"/>
                  <w:szCs w:val="24"/>
                </w:rPr>
                <w:t xml:space="preserve">.</w:t>
              </w:r>
              <w:r>
                <w:rPr>
                  <w:rStyle w:val="730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и аренда земельных участков).</w:t>
            </w:r>
            <w:r/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44"/>
              <w:jc w:val="both"/>
              <w:rPr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auto"/>
              </w:rPr>
              <w:t xml:space="preserve">Решение о проведении аукциона принято </w:t>
              <w:br/>
              <w:t xml:space="preserve">в соответствии со статьей 39.11 Земельного кодекса Российской Федерации. Аукцион является открытым по составу участников.</w:t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47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481 500 руб.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47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года 10 месяцев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47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2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gorodperm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pStyle w:val="6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pStyle w:val="647"/>
              <w:ind w:left="113" w:right="57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4" w:type="dxa"/>
            <w:textDirection w:val="lrTb"/>
            <w:noWrap w:val="false"/>
          </w:tcPr>
          <w:p>
            <w:pPr>
              <w:pStyle w:val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47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pPr>
        <w:pStyle w:val="647"/>
        <w:ind w:right="-263"/>
        <w:tabs>
          <w:tab w:val="clear" w:pos="708" w:leader="none"/>
          <w:tab w:val="left" w:pos="5103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  <w:bookmarkStart w:id="1" w:name="_GoBack"/>
      <w:r/>
      <w:bookmarkEnd w:id="1"/>
      <w:r/>
      <w:r>
        <w:rPr>
          <w:sz w:val="20"/>
          <w:szCs w:val="20"/>
        </w:rPr>
      </w:r>
    </w:p>
    <w:p>
      <w:pPr>
        <w:pStyle w:val="647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lang w:bidi="ru-RU"/>
        </w:rPr>
      </w:r>
    </w:p>
    <w:p>
      <w:pPr>
        <w:pStyle w:val="647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 25.06.2025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по местному времени (7:00 МСК).</w:t>
      </w:r>
      <w:r>
        <w:rPr>
          <w:rFonts w:eastAsia="Courier New"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05.08.2025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  <w:r>
        <w:rPr>
          <w:rFonts w:eastAsia="Courier New"/>
          <w:b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06.08.2025. </w:t>
      </w:r>
      <w:r>
        <w:rPr>
          <w:rFonts w:eastAsia="Courier New"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 xml:space="preserve">от участников аукциона) – 07.08</w:t>
      </w:r>
      <w:r>
        <w:rPr>
          <w:rFonts w:eastAsia="Courier New"/>
          <w:b/>
          <w:lang w:bidi="ru-RU"/>
        </w:rPr>
        <w:t xml:space="preserve">.2025</w:t>
      </w:r>
      <w:r>
        <w:rPr>
          <w:rFonts w:eastAsia="Courier New"/>
          <w:lang w:bidi="ru-RU"/>
        </w:rPr>
        <w:t xml:space="preserve"> в 09:00 по местному времени (07:00 МСК). </w:t>
      </w:r>
      <w:r>
        <w:rPr>
          <w:rFonts w:eastAsia="Courier New"/>
          <w:b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47"/>
        <w:ind w:left="-567" w:firstLine="709"/>
        <w:jc w:val="both"/>
        <w:widowControl w:val="off"/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647"/>
        <w:jc w:val="both"/>
        <w:widowControl w:val="off"/>
      </w:pPr>
      <w:r/>
      <w:r/>
    </w:p>
    <w:p>
      <w:pPr>
        <w:pStyle w:val="647"/>
        <w:ind w:left="-567" w:firstLine="709"/>
        <w:jc w:val="center"/>
        <w:widowControl w:val="off"/>
        <w:rPr>
          <w:b/>
        </w:rPr>
      </w:pPr>
      <w:r>
        <w:rPr>
          <w:b/>
        </w:rPr>
        <w:t xml:space="preserve">Плата оператору электронной площадки за участие в электронном аукционе</w:t>
      </w:r>
      <w:r>
        <w:rPr>
          <w:b/>
        </w:rPr>
      </w:r>
    </w:p>
    <w:p>
      <w:pPr>
        <w:pStyle w:val="647"/>
        <w:ind w:left="-567"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47"/>
        <w:ind w:left="-567" w:firstLine="709"/>
        <w:jc w:val="both"/>
        <w:widowControl w:val="off"/>
      </w:pPr>
      <w:r>
        <w:t xml:space="preserve">В соответствии с постановлением Правительства Российской Федерации от 10 мая 2018 г. </w:t>
      </w:r>
      <w:r>
        <w:br w:type="textWrapping" w:clear="all"/>
      </w:r>
      <w:r>
        <w:t xml:space="preserve"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</w:t>
      </w:r>
      <w:r>
        <w:t xml:space="preserve">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</w:t>
      </w:r>
      <w:r>
        <w:t xml:space="preserve">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  <w:r/>
    </w:p>
    <w:p>
      <w:pPr>
        <w:pStyle w:val="647"/>
        <w:ind w:left="-567" w:firstLine="709"/>
        <w:jc w:val="both"/>
        <w:widowControl w:val="off"/>
      </w:pPr>
      <w:r>
        <w:t xml:space="preserve">По информации оператора электронной площадки АО «Сбербанк-АСТ» в настоящее время взимание платы не установлено.</w:t>
      </w:r>
      <w:r/>
    </w:p>
    <w:p>
      <w:pPr>
        <w:pStyle w:val="647"/>
        <w:ind w:left="-567" w:firstLine="709"/>
        <w:jc w:val="both"/>
        <w:widowControl w:val="off"/>
      </w:pPr>
      <w:r/>
      <w:r/>
    </w:p>
    <w:p>
      <w:pPr>
        <w:pStyle w:val="647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lang w:bidi="ru-RU"/>
        </w:rPr>
      </w:r>
    </w:p>
    <w:p>
      <w:pPr>
        <w:pStyle w:val="647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</w:t>
      </w:r>
      <w:r>
        <w:rPr>
          <w:bCs/>
          <w:lang w:bidi="ru-RU"/>
        </w:rPr>
        <w:t xml:space="preserve">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  <w:r>
        <w:rPr>
          <w:bCs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 xml:space="preserve">на лицевом счете заявителя и осуществляет блокирование необходимой денежной суммы.</w:t>
      </w:r>
      <w:r>
        <w:rPr>
          <w:bCs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  <w:r>
        <w:rPr>
          <w:bCs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  <w:r>
        <w:rPr>
          <w:bCs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  <w:r>
        <w:rPr>
          <w:b/>
          <w:bCs/>
          <w:lang w:bidi="ru-RU"/>
        </w:rPr>
      </w:r>
    </w:p>
    <w:p>
      <w:pPr>
        <w:pStyle w:val="647"/>
        <w:ind w:left="-567" w:firstLine="567"/>
        <w:jc w:val="both"/>
        <w:widowControl w:val="off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21" w:tooltip="http://utp.sberbank-ast.ru/AP/Notice/653/Requisites" w:history="1">
        <w:r>
          <w:rPr>
            <w:rStyle w:val="730"/>
            <w:b/>
            <w:bCs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rFonts w:eastAsia="Calibri"/>
          <w:bCs/>
          <w:lang w:eastAsia="en-US"/>
        </w:rPr>
      </w:r>
    </w:p>
    <w:p>
      <w:pPr>
        <w:pStyle w:val="647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Получатель: АО «Сбербанк-АСТ»</w:t>
      </w:r>
      <w:r>
        <w:rPr>
          <w:rFonts w:eastAsia="Calibri"/>
          <w:bCs/>
          <w:lang w:eastAsia="en-US"/>
        </w:rPr>
      </w:r>
    </w:p>
    <w:p>
      <w:pPr>
        <w:pStyle w:val="647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  <w:r>
        <w:rPr>
          <w:rFonts w:eastAsia="Calibri"/>
          <w:bCs/>
          <w:lang w:eastAsia="en-US"/>
        </w:rPr>
      </w:r>
    </w:p>
    <w:p>
      <w:pPr>
        <w:pStyle w:val="647"/>
        <w:spacing w:line="240" w:lineRule="exact"/>
      </w:pPr>
      <w:r>
        <w:rPr>
          <w:rFonts w:eastAsia="Calibri"/>
          <w:bCs/>
          <w:lang w:eastAsia="en-US"/>
        </w:rPr>
        <w:t xml:space="preserve">Банк получателя: ПАО «СБЕРБАНК РОССИИ» Г. МОСКВА</w:t>
      </w:r>
      <w:r/>
    </w:p>
    <w:p>
      <w:pPr>
        <w:pStyle w:val="647"/>
        <w:spacing w:line="240" w:lineRule="exact"/>
        <w:rPr>
          <w:rFonts w:eastAsia="Calibri"/>
          <w:bCs/>
          <w:lang w:eastAsia="en-US"/>
        </w:rPr>
      </w:pPr>
      <w:r>
        <w:t xml:space="preserve">Расчетный счет: </w:t>
      </w:r>
      <w:r>
        <w:rPr>
          <w:rFonts w:eastAsia="Calibri"/>
          <w:bCs/>
          <w:lang w:eastAsia="en-US"/>
        </w:rPr>
        <w:t xml:space="preserve">40702810300020038047</w:t>
      </w:r>
      <w:r>
        <w:rPr>
          <w:rFonts w:eastAsia="Calibri"/>
          <w:bCs/>
          <w:lang w:eastAsia="en-US"/>
        </w:rPr>
      </w:r>
    </w:p>
    <w:p>
      <w:pPr>
        <w:pStyle w:val="647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БИК: 044525225</w:t>
      </w:r>
      <w:r>
        <w:rPr>
          <w:rFonts w:eastAsia="Calibri"/>
          <w:bCs/>
          <w:lang w:eastAsia="en-US"/>
        </w:rPr>
      </w:r>
    </w:p>
    <w:p>
      <w:pPr>
        <w:pStyle w:val="647"/>
        <w:spacing w:line="240" w:lineRule="exact"/>
        <w:rPr>
          <w:bCs/>
          <w:lang w:bidi="ru-RU"/>
        </w:rPr>
      </w:pPr>
      <w:r>
        <w:rPr>
          <w:rFonts w:eastAsia="Calibri"/>
          <w:bCs/>
          <w:lang w:eastAsia="en-US"/>
        </w:rPr>
        <w:t xml:space="preserve">Корреспондентский счет: 30101810400000000225</w:t>
      </w:r>
      <w:r>
        <w:rPr>
          <w:bCs/>
          <w:lang w:bidi="ru-RU"/>
        </w:rPr>
      </w:r>
    </w:p>
    <w:p>
      <w:pPr>
        <w:pStyle w:val="647"/>
        <w:ind w:left="-567" w:firstLine="567"/>
        <w:jc w:val="both"/>
        <w:widowControl w:val="off"/>
        <w:rPr>
          <w:b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Задаток по лоту  № ___, ИНН плательщика. НДС не облагается.</w:t>
      </w:r>
      <w:r>
        <w:rPr>
          <w:b/>
        </w:rPr>
      </w:r>
    </w:p>
    <w:p>
      <w:pPr>
        <w:pStyle w:val="647"/>
        <w:ind w:left="-567" w:firstLine="567"/>
        <w:jc w:val="both"/>
        <w:widowControl w:val="off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 xml:space="preserve">c 25.06.2025 по 05.08.2025.</w:t>
      </w:r>
      <w:r>
        <w:rPr>
          <w:bCs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47"/>
        <w:ind w:left="-567" w:firstLine="709"/>
        <w:jc w:val="center"/>
        <w:widowControl w:val="off"/>
        <w:rPr>
          <w:b/>
          <w:lang w:bidi="ru-RU"/>
        </w:rPr>
      </w:pPr>
      <w:r>
        <w:rPr>
          <w:b/>
          <w:lang w:bidi="ru-RU"/>
        </w:rPr>
        <w:t xml:space="preserve">Порядок возврата задатка:</w:t>
      </w:r>
      <w:r>
        <w:rPr>
          <w:b/>
          <w:lang w:bidi="ru-RU"/>
        </w:rPr>
      </w:r>
    </w:p>
    <w:p>
      <w:pPr>
        <w:pStyle w:val="647"/>
        <w:ind w:left="-567" w:firstLine="709"/>
        <w:jc w:val="both"/>
        <w:widowControl w:val="off"/>
        <w:rPr>
          <w:b/>
          <w:lang w:bidi="ru-RU"/>
        </w:rPr>
      </w:pP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lang w:bidi="ru-RU"/>
        </w:rPr>
      </w:pPr>
      <w:r>
        <w:rPr>
          <w:bCs/>
          <w:lang w:bidi="ru-RU"/>
        </w:rPr>
        <w:t xml:space="preserve">Задаток возвращается лицам, участвовавшим в аукционе, но не победившим в нем, в течение трех ра</w:t>
      </w:r>
      <w:r>
        <w:rPr>
          <w:bCs/>
          <w:shd w:val="clear" w:color="auto" w:fill="auto"/>
          <w:lang w:bidi="ru-RU"/>
        </w:rPr>
        <w:t xml:space="preserve">бочих дней со дня подписания протокола о результатах аукциона, </w:t>
      </w:r>
      <w:r>
        <w:rPr>
          <w:b w:val="0"/>
          <w:bCs/>
          <w:shd w:val="clear" w:color="auto" w:fill="auto"/>
          <w:lang w:bidi="ru-RU"/>
        </w:rPr>
        <w:t xml:space="preserve"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>
        <w:rPr>
          <w:lang w:bidi="ru-RU"/>
        </w:rPr>
      </w:r>
    </w:p>
    <w:p>
      <w:pPr>
        <w:pStyle w:val="647"/>
        <w:contextualSpacing/>
        <w:ind w:left="-567" w:firstLine="567"/>
        <w:jc w:val="both"/>
        <w:spacing w:before="0" w:after="0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</w:t>
      </w:r>
      <w:r>
        <w:rPr>
          <w:shd w:val="clear" w:color="auto" w:fill="auto"/>
          <w:lang w:bidi="ru-RU"/>
        </w:rPr>
        <w:t xml:space="preserve">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0"/>
          <w:shd w:val="clear" w:color="auto" w:fill="auto"/>
          <w:lang w:bidi="ru-RU"/>
        </w:rPr>
        <w:t xml:space="preserve">участника аукциона, который сделал предпоследнее предложение о цене предмета аукциона.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установленные сроки формирует поручение Оператору: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- о</w:t>
      </w:r>
      <w:r>
        <w:rPr>
          <w:shd w:val="clear" w:color="auto" w:fill="auto"/>
          <w:lang w:bidi="ru-RU"/>
        </w:rPr>
        <w:t xml:space="preserve">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</w:t>
      </w:r>
      <w:r>
        <w:rPr>
          <w:bCs/>
          <w:shd w:val="clear" w:color="auto" w:fill="auto"/>
          <w:lang w:bidi="ru-RU"/>
        </w:rPr>
        <w:t xml:space="preserve">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  <w:r>
        <w:rPr>
          <w:highlight w:val="none"/>
          <w:shd w:val="clear" w:color="auto" w:fill="auto"/>
        </w:rPr>
      </w:r>
    </w:p>
    <w:p>
      <w:pPr>
        <w:pStyle w:val="647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47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вправе:</w:t>
      </w:r>
      <w:r>
        <w:rPr>
          <w:highlight w:val="none"/>
          <w:shd w:val="clear" w:color="auto" w:fill="auto"/>
        </w:rPr>
      </w:r>
    </w:p>
    <w:p>
      <w:pPr>
        <w:pStyle w:val="647"/>
        <w:jc w:val="center"/>
        <w:widowControl w:val="off"/>
        <w:rPr>
          <w:rFonts w:eastAsia="Courier New"/>
          <w:highlight w:val="none"/>
          <w:shd w:val="clear" w:color="auto" w:fill="auto"/>
          <w:lang w:bidi="ru-RU"/>
        </w:rPr>
      </w:pPr>
      <w:r>
        <w:rPr>
          <w:rFonts w:eastAsia="Courier New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</w:p>
    <w:p>
      <w:pPr>
        <w:pStyle w:val="744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Не позднее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www.gorodperm.ru.</w:t>
      </w:r>
      <w:r>
        <w:rPr>
          <w:highlight w:val="none"/>
          <w:shd w:val="clear" w:color="auto" w:fill="auto"/>
        </w:rPr>
      </w:r>
    </w:p>
    <w:p>
      <w:pPr>
        <w:pStyle w:val="744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за один рабочий день до даты окончания приема заявок на участие в аукционе не поступило ни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</w:pPr>
      <w:r>
        <w:rPr>
          <w:shd w:val="clear" w:color="auto" w:fill="auto"/>
        </w:rPr>
        <w:t xml:space="preserve">В соответствии с п. 4 ст. 448 Гражданского кодекса Российской Федерации отказаться </w:t>
      </w:r>
      <w:r>
        <w:br w:type="textWrapping" w:clear="all"/>
      </w:r>
      <w:r>
        <w:t xml:space="preserve">от проведения аукциона в любое время, но не позднее чем за три дня до наступления даты </w:t>
      </w:r>
      <w:r>
        <w:br w:type="textWrapping" w:clear="all"/>
      </w:r>
      <w:r>
        <w:t xml:space="preserve">его проведения, указанной в извещении </w:t>
      </w:r>
      <w:r>
        <w:rPr>
          <w:shd w:val="clear" w:color="auto" w:fill="auto"/>
        </w:rPr>
        <w:t xml:space="preserve">о проведении аукциона. </w:t>
      </w:r>
      <w:r/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47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обязан:  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 </w:t>
      </w:r>
      <w:r>
        <w:rPr>
          <w:shd w:val="clear" w:color="auto" w:fill="auto"/>
        </w:rPr>
        <w:t xml:space="preserve"> и на электронной площадке в течение трех дней со дня принятия данного решения.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  <w:r>
        <w:rPr>
          <w:highlight w:val="none"/>
          <w:shd w:val="clear" w:color="auto" w:fill="auto"/>
        </w:rPr>
      </w:r>
    </w:p>
    <w:p>
      <w:pPr>
        <w:pStyle w:val="64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47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rFonts w:eastAsia="Courier New"/>
          <w:b/>
          <w:shd w:val="clear" w:color="auto" w:fill="auto"/>
          <w:lang w:bidi="ru-RU"/>
        </w:rPr>
        <w:t xml:space="preserve">Порядок регистрации на электронной площадке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709"/>
        <w:jc w:val="both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25.06.2025 по 05.08.2025 с 9.00 до 18.00 по местному времени (7:00 – 16:00 МСК). </w:t>
      </w:r>
      <w:r>
        <w:rPr>
          <w:highlight w:val="none"/>
          <w:shd w:val="clear" w:color="auto" w:fill="auto"/>
        </w:rPr>
      </w:r>
    </w:p>
    <w:p>
      <w:pPr>
        <w:pStyle w:val="781"/>
        <w:jc w:val="center"/>
        <w:rPr>
          <w:highlight w:val="none"/>
          <w:shd w:val="clear" w:color="auto" w:fill="auto"/>
        </w:rPr>
      </w:pPr>
      <w:r>
        <w:rPr>
          <w:b/>
          <w:color w:val="000000"/>
          <w:shd w:val="clear" w:color="auto" w:fill="auto"/>
        </w:rPr>
        <w:t xml:space="preserve">Разъяснение положений извещения о проведении аукциона</w:t>
      </w:r>
      <w:r>
        <w:rPr>
          <w:highlight w:val="none"/>
          <w:shd w:val="clear" w:color="auto" w:fill="auto"/>
        </w:rPr>
      </w:r>
    </w:p>
    <w:p>
      <w:pPr>
        <w:pStyle w:val="748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</w:t>
      </w:r>
      <w:r>
        <w:rPr>
          <w:bCs/>
          <w:shd w:val="clear" w:color="auto" w:fill="auto"/>
          <w:lang w:bidi="ru-RU"/>
        </w:rPr>
        <w:t xml:space="preserve">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 xml:space="preserve">не рассматриваются.</w:t>
      </w:r>
      <w:r>
        <w:rPr>
          <w:highlight w:val="none"/>
          <w:shd w:val="clear" w:color="auto" w:fill="auto"/>
        </w:rPr>
      </w:r>
    </w:p>
    <w:p>
      <w:pPr>
        <w:pStyle w:val="748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709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47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Требования к содержанию и составу заявки на участие в аукционе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shd w:val="clear" w:color="auto" w:fill="auto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Courier New"/>
          <w:shd w:val="clear" w:color="auto" w:fill="auto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val="clear" w:color="auto" w:fill="auto"/>
          <w:lang w:bidi="ru-RU"/>
        </w:rPr>
        <w:br w:type="textWrapping" w:clear="all"/>
      </w:r>
      <w:r>
        <w:rPr>
          <w:rFonts w:eastAsia="Courier New"/>
          <w:shd w:val="clear" w:color="auto" w:fill="auto"/>
          <w:lang w:bidi="ru-RU"/>
        </w:rPr>
        <w:t xml:space="preserve">о проведении аукциона срок следующие документы: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  <w:r>
        <w:rPr>
          <w:highlight w:val="none"/>
          <w:shd w:val="clear" w:color="auto" w:fill="auto"/>
        </w:rPr>
      </w:r>
    </w:p>
    <w:p>
      <w:pPr>
        <w:pStyle w:val="64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копии документов, удостоверяющих личность заявителя (для граждан), всех страниц;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highlight w:val="none"/>
          <w:shd w:val="clear" w:color="auto" w:fill="auto"/>
        </w:rPr>
      </w:r>
    </w:p>
    <w:p>
      <w:pPr>
        <w:pStyle w:val="64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4) документы, подтверждающие внесение задатка.</w:t>
      </w:r>
      <w:r>
        <w:rPr>
          <w:highlight w:val="none"/>
          <w:shd w:val="clear" w:color="auto" w:fill="auto"/>
        </w:rPr>
      </w:r>
    </w:p>
    <w:p>
      <w:pPr>
        <w:pStyle w:val="647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47"/>
        <w:ind w:firstLine="708"/>
        <w:jc w:val="center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Инструкция по заполнению и подаче заявки, порядок приема заявки</w:t>
      </w:r>
      <w:r>
        <w:rPr>
          <w:highlight w:val="none"/>
          <w:shd w:val="clear" w:color="auto" w:fill="auto"/>
        </w:rPr>
      </w:r>
    </w:p>
    <w:p>
      <w:pPr>
        <w:pStyle w:val="647"/>
        <w:ind w:firstLine="708"/>
        <w:jc w:val="center"/>
        <w:rPr>
          <w:b/>
          <w:highlight w:val="none"/>
          <w:shd w:val="clear" w:color="auto" w:fill="auto"/>
        </w:rPr>
      </w:pPr>
      <w:r>
        <w:rPr>
          <w:b/>
          <w:shd w:val="clear" w:color="auto" w:fill="auto"/>
        </w:rPr>
      </w:r>
      <w:r>
        <w:rPr>
          <w:b/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>
        <w:rPr>
          <w:shd w:val="clear" w:color="auto" w:fill="auto"/>
        </w:rPr>
        <w:t xml:space="preserve">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Заполнение заявки осуществляется в соответствии с порядком, определенным регламентом электронной площадки АО «Сбербанк-АСТ».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Подача заявки осуществляется заявителем, зарегистрированным в торговой секции,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вправе подать заявку в любое время с момента размещения извещения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 до предусмотренных указанным извещением даты и времени окончания срока подачи заявок.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Один заявитель вправе подать только одну заявку на участие в аукционе в отношении каждого лота.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Участие в аукционе возможно при наличии на лицевом счете заявителя денежных средств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Все документы, входящие в состав заявки, должны иметь четко читаемый текст.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предоставляется организатору аукциона через Оператора.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Заявка не может быть принята Оператором в случае: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в размере задатка;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в) подачи заявки по истечении установленного срока подачи заявок;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enter" w:pos="284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Заявителям, признанным участниками аукциона, и зая</w:t>
      </w:r>
      <w:r>
        <w:rPr>
          <w:bCs/>
          <w:shd w:val="clear" w:color="auto" w:fill="auto"/>
        </w:rPr>
        <w:t xml:space="preserve">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284" w:leader="none"/>
          <w:tab w:val="clear" w:pos="708" w:leader="none"/>
        </w:tabs>
        <w:rPr>
          <w:bCs/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</w:r>
      <w:r>
        <w:rPr>
          <w:bCs/>
          <w:highlight w:val="none"/>
          <w:shd w:val="clear" w:color="auto" w:fill="auto"/>
        </w:rPr>
      </w:r>
    </w:p>
    <w:p>
      <w:pPr>
        <w:pStyle w:val="647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  <w:lang w:bidi="ru-RU"/>
        </w:rPr>
        <w:t xml:space="preserve">Порядок и срок изменения, отзыва заявки на участие в аукционе</w:t>
      </w:r>
      <w:r>
        <w:rPr>
          <w:highlight w:val="none"/>
          <w:shd w:val="clear" w:color="auto" w:fill="auto"/>
        </w:rPr>
      </w:r>
    </w:p>
    <w:p>
      <w:pPr>
        <w:pStyle w:val="647"/>
        <w:ind w:left="502"/>
        <w:widowControl w:val="off"/>
        <w:rPr>
          <w:b/>
          <w:bCs/>
          <w:highlight w:val="none"/>
          <w:shd w:val="clear" w:color="auto" w:fill="auto"/>
          <w:lang w:bidi="ru-RU"/>
        </w:rPr>
      </w:pPr>
      <w:r>
        <w:rPr>
          <w:b/>
          <w:bCs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имеет право отозвать принятую организатором аукциона заявку на участие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аукционе до дня окончания срока приема заявок, путем направлен</w:t>
      </w:r>
      <w:r>
        <w:rPr>
          <w:shd w:val="clear" w:color="auto" w:fill="auto"/>
        </w:rPr>
        <w:t xml:space="preserve">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</w:t>
      </w:r>
      <w:r>
        <w:rPr>
          <w:shd w:val="clear" w:color="auto" w:fill="auto"/>
        </w:rPr>
        <w:t xml:space="preserve">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  <w:r>
        <w:rPr>
          <w:highlight w:val="none"/>
          <w:shd w:val="clear" w:color="auto" w:fill="auto"/>
        </w:rPr>
      </w:r>
    </w:p>
    <w:p>
      <w:pPr>
        <w:pStyle w:val="647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Определение участников аукциона</w:t>
      </w:r>
      <w:r>
        <w:rPr>
          <w:highlight w:val="none"/>
          <w:shd w:val="clear" w:color="auto" w:fill="auto"/>
        </w:rPr>
      </w:r>
    </w:p>
    <w:p>
      <w:pPr>
        <w:pStyle w:val="647"/>
        <w:jc w:val="center"/>
        <w:rPr>
          <w:b/>
          <w:bCs/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к участию в аукционе или об отказе в допуске к участию в аукционе.</w:t>
      </w:r>
      <w:r>
        <w:rPr>
          <w:highlight w:val="none"/>
          <w:shd w:val="clear" w:color="auto" w:fill="auto"/>
        </w:rPr>
      </w:r>
    </w:p>
    <w:p>
      <w:pPr>
        <w:pStyle w:val="64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не допускается к участию в аукционе в следующих случаях: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z w:val="20"/>
          <w:shd w:val="clear" w:color="auto" w:fill="auto"/>
        </w:rPr>
        <w:t xml:space="preserve">1) </w:t>
      </w:r>
      <w:r>
        <w:rPr>
          <w:shd w:val="clear" w:color="auto" w:fill="auto"/>
        </w:rPr>
        <w:t xml:space="preserve">непредставление необходимых для участия в аукционе документов или представление недостоверных сведений;</w:t>
      </w:r>
      <w:r>
        <w:rPr>
          <w:highlight w:val="none"/>
          <w:shd w:val="clear" w:color="auto" w:fill="auto"/>
        </w:rPr>
      </w:r>
    </w:p>
    <w:p>
      <w:pPr>
        <w:pStyle w:val="64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2) непоступление задатка на дату рассмотрения заявок на участие в аукционе;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3) подача заяв</w:t>
      </w:r>
      <w:r>
        <w:rPr>
          <w:shd w:val="clear" w:color="auto" w:fill="auto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 xml:space="preserve">в аренду;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4) наличие свед</w:t>
      </w:r>
      <w:r>
        <w:rPr>
          <w:shd w:val="clear" w:color="auto" w:fill="auto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день при</w:t>
      </w:r>
      <w:r>
        <w:rPr>
          <w:shd w:val="clear" w:color="auto" w:fill="auto"/>
        </w:rPr>
        <w:t xml:space="preserve">знания заявителей участниками аукциона, указанный в извещении </w:t>
        <w:br/>
        <w:t xml:space="preserve"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приобретает статус участника аукциона с момента подписания протокола рассмотрения заявок.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Не позднее следующего рабочего дня </w:t>
      </w:r>
      <w:r>
        <w:rPr>
          <w:shd w:val="clear" w:color="auto" w:fill="auto"/>
        </w:rPr>
        <w:t xml:space="preserve">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  <w:r>
        <w:rPr>
          <w:highlight w:val="none"/>
          <w:shd w:val="clear" w:color="auto" w:fill="auto"/>
        </w:rPr>
      </w:r>
    </w:p>
    <w:p>
      <w:pPr>
        <w:pStyle w:val="74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widowControl w:val="off"/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</w:r>
      <w:r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r>
    </w:p>
    <w:p>
      <w:pPr>
        <w:pStyle w:val="647"/>
        <w:ind w:left="-567" w:firstLine="567"/>
        <w:jc w:val="both"/>
        <w:spacing w:line="276" w:lineRule="auto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47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Порядок проведения аукциона</w:t>
      </w:r>
      <w:r>
        <w:rPr>
          <w:highlight w:val="none"/>
          <w:shd w:val="clear" w:color="auto" w:fill="auto"/>
        </w:rPr>
      </w:r>
    </w:p>
    <w:p>
      <w:pPr>
        <w:pStyle w:val="647"/>
        <w:ind w:left="502"/>
        <w:jc w:val="center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5% от начальной цены предмета аукциона</w:t>
      </w:r>
      <w:r>
        <w:rPr>
          <w:rFonts w:eastAsia="Calibri"/>
          <w:shd w:val="clear" w:color="auto" w:fill="auto"/>
        </w:rPr>
        <w:t xml:space="preserve">, и не изменяется в течение всего времени подачи предложений о цене.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цене предмета аукциона на величину «шага аукциона»;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для подачи предложений о цене аукциона определяется в следующем порядке: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10 (десять) минут. При поступлении предложения участн</w:t>
      </w:r>
      <w:r>
        <w:rPr>
          <w:rFonts w:eastAsia="Calibri"/>
          <w:shd w:val="clear" w:color="auto" w:fill="auto"/>
        </w:rPr>
        <w:t xml:space="preserve">ика аукциона </w:t>
        <w:br/>
        <w:t xml:space="preserve"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</w:t>
      </w:r>
      <w:r>
        <w:rPr>
          <w:rFonts w:eastAsia="Calibri"/>
          <w:shd w:val="clear" w:color="auto" w:fill="auto"/>
        </w:rPr>
        <w:t xml:space="preserve">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до окончания торгов в минутах.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в момент его поступления и соответствующее уведомление участника аукциона, в случаях, если: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предложение о цене аукциона предоставлено до начала или по истечении установленного времени для подачи предложений о цене аукциона;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ниже начальной цены;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равно нулю;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не соответствует увеличению текущей цены на величину «шага аукциона»;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предыдущее представленное данным участником аукциона предложение о цене аукциона является лучшим текущим предложением о цене;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участником аукциона предложение о цене аукциона меньше ранее представленных предложений.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за земельный участок или наибольший размер ежегодной арендной платы за земельный участок.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Порядок и срок заключения договора</w:t>
      </w:r>
      <w:r>
        <w:rPr>
          <w:b/>
          <w:bCs/>
          <w:shd w:val="clear" w:color="auto" w:fill="auto"/>
        </w:rPr>
        <w:br w:type="textWrapping" w:clear="all"/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ли аукцион признан несостоявшимся, либо протокола о результатах аукциона на официальных сайтах www.torgi.gov.ru,  www.gorodperm.ru.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</w:t>
      </w:r>
      <w:r>
        <w:rPr>
          <w:bCs/>
          <w:shd w:val="clear" w:color="auto" w:fill="auto"/>
        </w:rPr>
        <w:t xml:space="preserve"> направить победителю аукциона или иным лицам, с которыми в соответствии 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Проект договора является частью извещения и представлен в Приложении 2  к настоящему извещению.</w:t>
        <w:tab/>
      </w:r>
      <w:r>
        <w:rPr>
          <w:highlight w:val="none"/>
          <w:shd w:val="clear" w:color="auto" w:fill="auto"/>
        </w:rPr>
      </w:r>
    </w:p>
    <w:p>
      <w:pPr>
        <w:pStyle w:val="647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Если договор аренды земельного участка </w:t>
      </w:r>
      <w:r>
        <w:rPr>
          <w:b w:val="0"/>
          <w:bCs/>
          <w:shd w:val="clear" w:color="auto" w:fill="auto"/>
        </w:rPr>
        <w:t xml:space="preserve"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</w:t>
      </w:r>
      <w:r>
        <w:rPr>
          <w:b w:val="0"/>
          <w:bCs/>
          <w:shd w:val="clear" w:color="auto" w:fill="auto"/>
        </w:rPr>
        <w:t xml:space="preserve">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r>
        <w:rPr>
          <w:highlight w:val="none"/>
          <w:shd w:val="clear" w:color="auto" w:fill="auto"/>
        </w:rPr>
      </w:r>
    </w:p>
    <w:p>
      <w:pPr>
        <w:pStyle w:val="647"/>
        <w:numPr>
          <w:ilvl w:val="0"/>
          <w:numId w:val="0"/>
        </w:numPr>
        <w:ind w:left="-567" w:firstLine="567"/>
        <w:jc w:val="both"/>
        <w:tabs>
          <w:tab w:val="center" w:pos="567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rFonts w:eastAsia="Courier New"/>
          <w:shd w:val="clear" w:color="auto" w:fill="auto"/>
          <w:lang w:bidi="ru-RU"/>
        </w:rPr>
        <w:t xml:space="preserve">Сведения о победителях аукционов, уклонившихся от заключения договора  аренды земельного участка, являющегося предмето</w:t>
      </w:r>
      <w:r>
        <w:rPr>
          <w:rFonts w:eastAsia="Courier New"/>
          <w:shd w:val="clear" w:color="auto" w:fill="auto"/>
          <w:lang w:bidi="ru-RU"/>
        </w:rPr>
        <w:t xml:space="preserve">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  <w:r>
        <w:rPr>
          <w:highlight w:val="none"/>
          <w:shd w:val="clear" w:color="auto" w:fill="auto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420" w:right="567" w:bottom="1134" w:left="1418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Open Sans">
    <w:panose1 w:val="020B0606030504020204"/>
  </w:font>
  <w:font w:name="Segoe UI">
    <w:panose1 w:val="020B0503020204020204"/>
  </w:font>
  <w:font w:name="Calibri Light">
    <w:panose1 w:val="020F0502020204030204"/>
  </w:font>
  <w:font w:name="Symbol">
    <w:panose1 w:val="05010000000000000000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 xml:space="preserve">17</w:t>
    </w:r>
    <w:r>
      <w:rPr>
        <w:sz w:val="20"/>
        <w:szCs w:val="28"/>
      </w:rPr>
      <w:fldChar w:fldCharType="end"/>
    </w:r>
    <w:r>
      <w:rPr>
        <w:sz w:val="20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4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5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7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zh-CN" w:bidi="ar-SA"/>
    </w:rPr>
  </w:style>
  <w:style w:type="paragraph" w:styleId="648">
    <w:name w:val="Heading 1"/>
    <w:basedOn w:val="647"/>
    <w:qFormat/>
    <w:pPr>
      <w:numPr>
        <w:ilvl w:val="0"/>
        <w:numId w:val="1"/>
      </w:numPr>
      <w:jc w:val="center"/>
      <w:keepNext/>
      <w:outlineLvl w:val="0"/>
    </w:pPr>
    <w:rPr>
      <w:b/>
      <w:sz w:val="28"/>
      <w:szCs w:val="20"/>
    </w:rPr>
  </w:style>
  <w:style w:type="paragraph" w:styleId="649">
    <w:name w:val="Heading 2"/>
    <w:basedOn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0">
    <w:name w:val="Heading 3"/>
    <w:basedOn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1">
    <w:name w:val="Heading 4"/>
    <w:basedOn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3">
    <w:name w:val="Heading 6"/>
    <w:basedOn w:val="647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654">
    <w:name w:val="Heading 7"/>
    <w:basedOn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5">
    <w:name w:val="Heading 8"/>
    <w:basedOn w:val="6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6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1 Char"/>
    <w:basedOn w:val="674"/>
    <w:uiPriority w:val="9"/>
    <w:qFormat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674"/>
    <w:uiPriority w:val="9"/>
    <w:qFormat/>
    <w:rPr>
      <w:rFonts w:ascii="Arial" w:hAnsi="Arial" w:eastAsia="Arial" w:cs="Arial"/>
      <w:sz w:val="34"/>
    </w:rPr>
  </w:style>
  <w:style w:type="character" w:styleId="659">
    <w:name w:val="Heading 3 Char"/>
    <w:basedOn w:val="674"/>
    <w:uiPriority w:val="9"/>
    <w:qFormat/>
    <w:rPr>
      <w:rFonts w:ascii="Arial" w:hAnsi="Arial" w:eastAsia="Arial" w:cs="Arial"/>
      <w:sz w:val="30"/>
      <w:szCs w:val="30"/>
    </w:rPr>
  </w:style>
  <w:style w:type="character" w:styleId="660">
    <w:name w:val="Heading 4 Char"/>
    <w:basedOn w:val="67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1">
    <w:name w:val="Heading 5 Char"/>
    <w:basedOn w:val="67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2">
    <w:name w:val="Heading 6 Char"/>
    <w:basedOn w:val="67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63">
    <w:name w:val="Heading 7 Char"/>
    <w:basedOn w:val="67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8 Char"/>
    <w:basedOn w:val="67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65">
    <w:name w:val="Heading 9 Char"/>
    <w:basedOn w:val="67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66">
    <w:name w:val="Title Char"/>
    <w:basedOn w:val="674"/>
    <w:uiPriority w:val="10"/>
    <w:qFormat/>
    <w:rPr>
      <w:sz w:val="48"/>
      <w:szCs w:val="48"/>
    </w:rPr>
  </w:style>
  <w:style w:type="character" w:styleId="667">
    <w:name w:val="Subtitle Char"/>
    <w:basedOn w:val="674"/>
    <w:uiPriority w:val="11"/>
    <w:qFormat/>
    <w:rPr>
      <w:sz w:val="24"/>
      <w:szCs w:val="24"/>
    </w:rPr>
  </w:style>
  <w:style w:type="character" w:styleId="668">
    <w:name w:val="Quote Char"/>
    <w:uiPriority w:val="29"/>
    <w:qFormat/>
    <w:rPr>
      <w:i/>
    </w:rPr>
  </w:style>
  <w:style w:type="character" w:styleId="669">
    <w:name w:val="Intense Quote Char"/>
    <w:uiPriority w:val="30"/>
    <w:qFormat/>
    <w:rPr>
      <w:i/>
    </w:rPr>
  </w:style>
  <w:style w:type="character" w:styleId="670">
    <w:name w:val="Header Char"/>
    <w:basedOn w:val="674"/>
    <w:uiPriority w:val="99"/>
    <w:qFormat/>
  </w:style>
  <w:style w:type="character" w:styleId="671">
    <w:name w:val="Caption Char"/>
    <w:uiPriority w:val="99"/>
    <w:qFormat/>
  </w:style>
  <w:style w:type="character" w:styleId="672">
    <w:name w:val="Footnote Text Char"/>
    <w:uiPriority w:val="99"/>
    <w:qFormat/>
    <w:rPr>
      <w:sz w:val="18"/>
    </w:rPr>
  </w:style>
  <w:style w:type="character" w:styleId="673">
    <w:name w:val="Endnote Text Char"/>
    <w:uiPriority w:val="99"/>
    <w:qFormat/>
    <w:rPr>
      <w:sz w:val="20"/>
    </w:rPr>
  </w:style>
  <w:style w:type="character" w:styleId="674" w:default="1">
    <w:name w:val="Default Paragraph Font"/>
    <w:uiPriority w:val="1"/>
    <w:semiHidden/>
    <w:unhideWhenUsed/>
    <w:qFormat/>
  </w:style>
  <w:style w:type="character" w:styleId="675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676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77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78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9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0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1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2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3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4" w:customStyle="1">
    <w:name w:val="Заголовок Знак1"/>
    <w:uiPriority w:val="10"/>
    <w:qFormat/>
    <w:rPr>
      <w:sz w:val="48"/>
      <w:szCs w:val="48"/>
    </w:rPr>
  </w:style>
  <w:style w:type="character" w:styleId="685" w:customStyle="1">
    <w:name w:val="Подзаголовок Знак"/>
    <w:uiPriority w:val="11"/>
    <w:qFormat/>
    <w:rPr>
      <w:sz w:val="24"/>
      <w:szCs w:val="24"/>
    </w:rPr>
  </w:style>
  <w:style w:type="character" w:styleId="686" w:customStyle="1">
    <w:name w:val="Цитата 2 Знак"/>
    <w:uiPriority w:val="29"/>
    <w:qFormat/>
    <w:rPr>
      <w:i/>
    </w:rPr>
  </w:style>
  <w:style w:type="character" w:styleId="687" w:customStyle="1">
    <w:name w:val="Выделенная цитата Знак"/>
    <w:uiPriority w:val="30"/>
    <w:qFormat/>
    <w:rPr>
      <w:i/>
    </w:rPr>
  </w:style>
  <w:style w:type="character" w:styleId="688" w:customStyle="1">
    <w:name w:val="Верхний колонтитул Знак1"/>
    <w:uiPriority w:val="99"/>
    <w:qFormat/>
  </w:style>
  <w:style w:type="character" w:styleId="689" w:customStyle="1">
    <w:name w:val="Footer Char"/>
    <w:uiPriority w:val="99"/>
    <w:qFormat/>
  </w:style>
  <w:style w:type="character" w:styleId="690" w:customStyle="1">
    <w:name w:val="Нижний колонтитул Знак1"/>
    <w:uiPriority w:val="99"/>
    <w:qFormat/>
  </w:style>
  <w:style w:type="character" w:styleId="691" w:customStyle="1">
    <w:name w:val="Текст сноски Знак"/>
    <w:uiPriority w:val="99"/>
    <w:qFormat/>
    <w:rPr>
      <w:sz w:val="18"/>
    </w:rPr>
  </w:style>
  <w:style w:type="character" w:styleId="692">
    <w:name w:val="Символ сноски"/>
    <w:uiPriority w:val="99"/>
    <w:unhideWhenUsed/>
    <w:qFormat/>
    <w:rPr>
      <w:vertAlign w:val="superscript"/>
    </w:rPr>
  </w:style>
  <w:style w:type="character" w:styleId="693">
    <w:name w:val="footnote reference"/>
    <w:rPr>
      <w:vertAlign w:val="superscript"/>
    </w:rPr>
  </w:style>
  <w:style w:type="character" w:styleId="694" w:customStyle="1">
    <w:name w:val="Текст концевой сноски Знак"/>
    <w:uiPriority w:val="99"/>
    <w:qFormat/>
    <w:rPr>
      <w:sz w:val="20"/>
    </w:rPr>
  </w:style>
  <w:style w:type="character" w:styleId="69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6">
    <w:name w:val="endnote reference"/>
    <w:rPr>
      <w:vertAlign w:val="superscript"/>
    </w:rPr>
  </w:style>
  <w:style w:type="character" w:styleId="697" w:customStyle="1">
    <w:name w:val="WW8Num2z0"/>
    <w:qFormat/>
    <w:rPr>
      <w:rFonts w:ascii="Symbol" w:hAnsi="Symbol" w:cs="Symbol"/>
    </w:rPr>
  </w:style>
  <w:style w:type="character" w:styleId="698" w:customStyle="1">
    <w:name w:val="WW8Num3z0"/>
    <w:qFormat/>
  </w:style>
  <w:style w:type="character" w:styleId="699" w:customStyle="1">
    <w:name w:val="WW8Num4z0"/>
    <w:qFormat/>
  </w:style>
  <w:style w:type="character" w:styleId="700" w:customStyle="1">
    <w:name w:val="WW8Num5z0"/>
    <w:qFormat/>
    <w:rPr>
      <w:sz w:val="16"/>
      <w:szCs w:val="16"/>
    </w:rPr>
  </w:style>
  <w:style w:type="character" w:styleId="701" w:customStyle="1">
    <w:name w:val="WW8Num6z0"/>
    <w:qFormat/>
  </w:style>
  <w:style w:type="character" w:styleId="702" w:customStyle="1">
    <w:name w:val="WW8Num7z0"/>
    <w:qFormat/>
  </w:style>
  <w:style w:type="character" w:styleId="703" w:customStyle="1">
    <w:name w:val="WW8Num8z0"/>
    <w:qFormat/>
  </w:style>
  <w:style w:type="character" w:styleId="704" w:customStyle="1">
    <w:name w:val="WW8Num9z0"/>
    <w:qFormat/>
  </w:style>
  <w:style w:type="character" w:styleId="705" w:customStyle="1">
    <w:name w:val="WW8Num10z0"/>
    <w:qFormat/>
  </w:style>
  <w:style w:type="character" w:styleId="706" w:customStyle="1">
    <w:name w:val="WW8Num11z0"/>
    <w:qFormat/>
  </w:style>
  <w:style w:type="character" w:styleId="707" w:customStyle="1">
    <w:name w:val="WW8Num12z0"/>
    <w:qFormat/>
  </w:style>
  <w:style w:type="character" w:styleId="708" w:customStyle="1">
    <w:name w:val="WW8Num13z0"/>
    <w:qFormat/>
  </w:style>
  <w:style w:type="character" w:styleId="709" w:customStyle="1">
    <w:name w:val="WW8Num14z0"/>
    <w:qFormat/>
  </w:style>
  <w:style w:type="character" w:styleId="710" w:customStyle="1">
    <w:name w:val="WW8Num15z0"/>
    <w:qFormat/>
  </w:style>
  <w:style w:type="character" w:styleId="711" w:customStyle="1">
    <w:name w:val="WW8Num18z0"/>
    <w:qFormat/>
  </w:style>
  <w:style w:type="character" w:styleId="712" w:customStyle="1">
    <w:name w:val="WW8Num19z0"/>
    <w:qFormat/>
  </w:style>
  <w:style w:type="character" w:styleId="713" w:customStyle="1">
    <w:name w:val="WW8Num20z0"/>
    <w:qFormat/>
  </w:style>
  <w:style w:type="character" w:styleId="714" w:customStyle="1">
    <w:name w:val="WW8Num21z0"/>
    <w:qFormat/>
  </w:style>
  <w:style w:type="character" w:styleId="715" w:customStyle="1">
    <w:name w:val="WW8Num22z0"/>
    <w:qFormat/>
  </w:style>
  <w:style w:type="character" w:styleId="716" w:customStyle="1">
    <w:name w:val="WW8Num23z0"/>
    <w:qFormat/>
  </w:style>
  <w:style w:type="character" w:styleId="717" w:customStyle="1">
    <w:name w:val="WW8Num25z0"/>
    <w:qFormat/>
  </w:style>
  <w:style w:type="character" w:styleId="718" w:customStyle="1">
    <w:name w:val="WW8Num26z0"/>
    <w:qFormat/>
  </w:style>
  <w:style w:type="character" w:styleId="719" w:customStyle="1">
    <w:name w:val="WW8Num27z0"/>
    <w:qFormat/>
  </w:style>
  <w:style w:type="character" w:styleId="720" w:customStyle="1">
    <w:name w:val="WW8Num29z0"/>
    <w:qFormat/>
    <w:rPr>
      <w:rFonts w:ascii="Symbol" w:hAnsi="Symbol" w:cs="Symbol"/>
    </w:rPr>
  </w:style>
  <w:style w:type="character" w:styleId="721" w:customStyle="1">
    <w:name w:val="WW8Num30z0"/>
    <w:qFormat/>
  </w:style>
  <w:style w:type="character" w:styleId="722" w:customStyle="1">
    <w:name w:val="WW8Num31z0"/>
    <w:qFormat/>
  </w:style>
  <w:style w:type="character" w:styleId="723" w:customStyle="1">
    <w:name w:val="WW8Num32z0"/>
    <w:qFormat/>
  </w:style>
  <w:style w:type="character" w:styleId="724" w:customStyle="1">
    <w:name w:val="WW8Num33z0"/>
    <w:qFormat/>
  </w:style>
  <w:style w:type="character" w:styleId="725" w:customStyle="1">
    <w:name w:val="WW8Num34z0"/>
    <w:qFormat/>
  </w:style>
  <w:style w:type="character" w:styleId="726">
    <w:name w:val="page number"/>
    <w:basedOn w:val="674"/>
    <w:qFormat/>
  </w:style>
  <w:style w:type="character" w:styleId="727" w:customStyle="1">
    <w:name w:val="Текст Знак"/>
    <w:qFormat/>
    <w:rPr>
      <w:rFonts w:ascii="Courier New" w:hAnsi="Courier New" w:cs="Courier New"/>
    </w:rPr>
  </w:style>
  <w:style w:type="character" w:styleId="728" w:customStyle="1">
    <w:name w:val="Верхний колонтитул Знак"/>
    <w:qFormat/>
    <w:rPr>
      <w:sz w:val="16"/>
      <w:lang w:val="ru-RU" w:bidi="ar-SA"/>
    </w:rPr>
  </w:style>
  <w:style w:type="character" w:styleId="729" w:customStyle="1">
    <w:name w:val="Основной текст с отступом 3 Знак"/>
    <w:qFormat/>
    <w:rPr>
      <w:sz w:val="16"/>
      <w:szCs w:val="16"/>
    </w:rPr>
  </w:style>
  <w:style w:type="character" w:styleId="730">
    <w:name w:val="Hyperlink"/>
    <w:rPr>
      <w:color w:val="0563c1"/>
      <w:u w:val="single"/>
    </w:rPr>
  </w:style>
  <w:style w:type="character" w:styleId="731" w:customStyle="1">
    <w:name w:val="Абзац списка Знак"/>
    <w:qFormat/>
    <w:rPr>
      <w:sz w:val="24"/>
      <w:szCs w:val="24"/>
    </w:rPr>
  </w:style>
  <w:style w:type="character" w:styleId="732" w:customStyle="1">
    <w:name w:val="Заголовок 6 Знак"/>
    <w:qFormat/>
    <w:rPr>
      <w:b/>
      <w:bCs/>
      <w:sz w:val="22"/>
      <w:szCs w:val="22"/>
    </w:rPr>
  </w:style>
  <w:style w:type="character" w:styleId="733" w:customStyle="1">
    <w:name w:val="Название Знак"/>
    <w:qFormat/>
    <w:rPr>
      <w:sz w:val="28"/>
      <w:lang w:val="ru-RU" w:bidi="ar-SA"/>
    </w:rPr>
  </w:style>
  <w:style w:type="character" w:styleId="734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735" w:customStyle="1">
    <w:name w:val="Нижний колонтитул Знак"/>
    <w:qFormat/>
  </w:style>
  <w:style w:type="character" w:styleId="736">
    <w:name w:val="FollowedHyperlink"/>
    <w:rPr>
      <w:color w:val="954f72"/>
      <w:u w:val="single"/>
    </w:rPr>
  </w:style>
  <w:style w:type="character" w:styleId="737" w:customStyle="1">
    <w:name w:val="Гиперссылка"/>
    <w:qFormat/>
    <w:rPr>
      <w:color w:val="0000ff"/>
      <w:u w:val="single"/>
    </w:rPr>
  </w:style>
  <w:style w:type="character" w:styleId="738">
    <w:name w:val="Символ нумерации"/>
    <w:qFormat/>
  </w:style>
  <w:style w:type="character" w:styleId="739">
    <w:name w:val="Основной текст Знак"/>
    <w:qFormat/>
    <w:rPr>
      <w:rFonts w:ascii="Courier New" w:hAnsi="Courier New" w:cs="Courier New"/>
      <w:sz w:val="26"/>
    </w:rPr>
  </w:style>
  <w:style w:type="character" w:styleId="740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741">
    <w:name w:val="Основной шрифт абзаца"/>
    <w:qFormat/>
  </w:style>
  <w:style w:type="character" w:styleId="742">
    <w:name w:val="WW8Num1z0"/>
    <w:qFormat/>
  </w:style>
  <w:style w:type="paragraph" w:styleId="743">
    <w:name w:val="Заголовок"/>
    <w:basedOn w:val="647"/>
    <w:next w:val="744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44">
    <w:name w:val="Body Text"/>
    <w:basedOn w:val="647"/>
    <w:pPr>
      <w:jc w:val="right"/>
    </w:pPr>
    <w:rPr>
      <w:sz w:val="28"/>
    </w:rPr>
  </w:style>
  <w:style w:type="paragraph" w:styleId="745">
    <w:name w:val="List"/>
    <w:basedOn w:val="744"/>
    <w:rPr>
      <w:rFonts w:cs="Lohit Devanagari"/>
    </w:rPr>
  </w:style>
  <w:style w:type="paragraph" w:styleId="746">
    <w:name w:val="Caption"/>
    <w:basedOn w:val="647"/>
    <w:qFormat/>
    <w:pPr>
      <w:spacing w:before="120" w:after="120"/>
      <w:suppressLineNumbers/>
    </w:pPr>
    <w:rPr>
      <w:rFonts w:cs="Lohit Devanagari"/>
      <w:i/>
      <w:iCs/>
    </w:rPr>
  </w:style>
  <w:style w:type="paragraph" w:styleId="747">
    <w:name w:val="Указатель"/>
    <w:basedOn w:val="647"/>
    <w:qFormat/>
    <w:pPr>
      <w:suppressLineNumbers/>
    </w:pPr>
    <w:rPr>
      <w:rFonts w:cs="Lohit Devanagari"/>
    </w:rPr>
  </w:style>
  <w:style w:type="paragraph" w:styleId="748">
    <w:name w:val="List Paragraph"/>
    <w:basedOn w:val="647"/>
    <w:qFormat/>
    <w:pPr>
      <w:ind w:left="708"/>
    </w:pPr>
  </w:style>
  <w:style w:type="paragraph" w:styleId="749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750">
    <w:name w:val="Title"/>
    <w:basedOn w:val="647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751">
    <w:name w:val="Subtitle"/>
    <w:basedOn w:val="647"/>
    <w:uiPriority w:val="11"/>
    <w:qFormat/>
    <w:pPr>
      <w:spacing w:before="200" w:after="200"/>
    </w:pPr>
  </w:style>
  <w:style w:type="paragraph" w:styleId="752">
    <w:name w:val="Quote"/>
    <w:basedOn w:val="647"/>
    <w:uiPriority w:val="29"/>
    <w:qFormat/>
    <w:pPr>
      <w:ind w:left="720" w:right="720"/>
    </w:pPr>
    <w:rPr>
      <w:i/>
    </w:rPr>
  </w:style>
  <w:style w:type="paragraph" w:styleId="753">
    <w:name w:val="Intense Quote"/>
    <w:basedOn w:val="6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54">
    <w:name w:val="footnote text"/>
    <w:basedOn w:val="647"/>
    <w:uiPriority w:val="99"/>
    <w:semiHidden/>
    <w:unhideWhenUsed/>
    <w:pPr>
      <w:spacing w:before="0" w:after="40"/>
    </w:pPr>
    <w:rPr>
      <w:sz w:val="18"/>
    </w:rPr>
  </w:style>
  <w:style w:type="paragraph" w:styleId="755">
    <w:name w:val="endnote text"/>
    <w:basedOn w:val="647"/>
    <w:uiPriority w:val="99"/>
    <w:semiHidden/>
    <w:unhideWhenUsed/>
    <w:rPr>
      <w:sz w:val="20"/>
    </w:rPr>
  </w:style>
  <w:style w:type="paragraph" w:styleId="756">
    <w:name w:val="toc 1"/>
    <w:basedOn w:val="647"/>
    <w:uiPriority w:val="39"/>
    <w:unhideWhenUsed/>
    <w:pPr>
      <w:spacing w:before="0" w:after="57"/>
    </w:pPr>
  </w:style>
  <w:style w:type="paragraph" w:styleId="757">
    <w:name w:val="toc 2"/>
    <w:basedOn w:val="647"/>
    <w:uiPriority w:val="39"/>
    <w:unhideWhenUsed/>
    <w:pPr>
      <w:ind w:left="283"/>
      <w:spacing w:before="0" w:after="57"/>
    </w:pPr>
  </w:style>
  <w:style w:type="paragraph" w:styleId="758">
    <w:name w:val="toc 3"/>
    <w:basedOn w:val="647"/>
    <w:uiPriority w:val="39"/>
    <w:unhideWhenUsed/>
    <w:pPr>
      <w:ind w:left="567"/>
      <w:spacing w:before="0" w:after="57"/>
    </w:pPr>
  </w:style>
  <w:style w:type="paragraph" w:styleId="759">
    <w:name w:val="toc 4"/>
    <w:basedOn w:val="647"/>
    <w:uiPriority w:val="39"/>
    <w:unhideWhenUsed/>
    <w:pPr>
      <w:ind w:left="850"/>
      <w:spacing w:before="0" w:after="57"/>
    </w:pPr>
  </w:style>
  <w:style w:type="paragraph" w:styleId="760">
    <w:name w:val="toc 5"/>
    <w:basedOn w:val="647"/>
    <w:uiPriority w:val="39"/>
    <w:unhideWhenUsed/>
    <w:pPr>
      <w:ind w:left="1134"/>
      <w:spacing w:before="0" w:after="57"/>
    </w:pPr>
  </w:style>
  <w:style w:type="paragraph" w:styleId="761">
    <w:name w:val="toc 6"/>
    <w:basedOn w:val="647"/>
    <w:uiPriority w:val="39"/>
    <w:unhideWhenUsed/>
    <w:pPr>
      <w:ind w:left="1417"/>
      <w:spacing w:before="0" w:after="57"/>
    </w:pPr>
  </w:style>
  <w:style w:type="paragraph" w:styleId="762">
    <w:name w:val="toc 7"/>
    <w:basedOn w:val="647"/>
    <w:uiPriority w:val="39"/>
    <w:unhideWhenUsed/>
    <w:pPr>
      <w:ind w:left="1701"/>
      <w:spacing w:before="0" w:after="57"/>
    </w:pPr>
  </w:style>
  <w:style w:type="paragraph" w:styleId="763">
    <w:name w:val="toc 8"/>
    <w:basedOn w:val="647"/>
    <w:uiPriority w:val="39"/>
    <w:unhideWhenUsed/>
    <w:pPr>
      <w:ind w:left="1984"/>
      <w:spacing w:before="0" w:after="57"/>
    </w:pPr>
  </w:style>
  <w:style w:type="paragraph" w:styleId="764">
    <w:name w:val="toc 9"/>
    <w:basedOn w:val="647"/>
    <w:uiPriority w:val="39"/>
    <w:unhideWhenUsed/>
    <w:pPr>
      <w:ind w:left="2268"/>
      <w:spacing w:before="0" w:after="57"/>
    </w:pPr>
  </w:style>
  <w:style w:type="paragraph" w:styleId="765">
    <w:name w:val="Index Heading"/>
    <w:basedOn w:val="743"/>
  </w:style>
  <w:style w:type="paragraph" w:styleId="766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767">
    <w:name w:val="table of figures"/>
    <w:basedOn w:val="647"/>
    <w:uiPriority w:val="99"/>
    <w:unhideWhenUsed/>
  </w:style>
  <w:style w:type="paragraph" w:styleId="768">
    <w:name w:val="index heading1"/>
    <w:basedOn w:val="647"/>
    <w:qFormat/>
    <w:pPr>
      <w:suppressLineNumbers/>
    </w:pPr>
    <w:rPr>
      <w:rFonts w:cs="Lohit Devanagari"/>
    </w:rPr>
  </w:style>
  <w:style w:type="paragraph" w:styleId="769" w:customStyle="1">
    <w:name w:val="Caption1"/>
    <w:basedOn w:val="647"/>
    <w:qFormat/>
    <w:pPr>
      <w:spacing w:before="120" w:after="120"/>
      <w:suppressLineNumbers/>
    </w:pPr>
    <w:rPr>
      <w:rFonts w:cs="Lohit Devanagari"/>
      <w:i/>
      <w:iCs/>
    </w:rPr>
  </w:style>
  <w:style w:type="paragraph" w:styleId="770">
    <w:name w:val="Plain Text"/>
    <w:basedOn w:val="647"/>
    <w:qFormat/>
    <w:rPr>
      <w:rFonts w:ascii="Courier New" w:hAnsi="Courier New" w:cs="Courier New"/>
      <w:sz w:val="20"/>
      <w:szCs w:val="20"/>
      <w:lang w:val="en-US"/>
    </w:rPr>
  </w:style>
  <w:style w:type="paragraph" w:styleId="771" w:customStyle="1">
    <w:name w:val="ConsNormal"/>
    <w:qFormat/>
    <w:pPr>
      <w:ind w:firstLine="720"/>
      <w:jc w:val="left"/>
      <w:spacing w:before="0" w:after="0"/>
      <w:widowControl/>
    </w:pPr>
    <w:rPr>
      <w:rFonts w:ascii="Consultant" w:hAnsi="Consultant" w:eastAsia="Droid Sans Fallback" w:cs="Consultant"/>
      <w:color w:val="auto"/>
      <w:sz w:val="20"/>
      <w:szCs w:val="20"/>
      <w:lang w:val="ru-RU" w:eastAsia="zh-CN" w:bidi="ar-SA"/>
    </w:rPr>
  </w:style>
  <w:style w:type="paragraph" w:styleId="772">
    <w:name w:val="Body Text 2"/>
    <w:basedOn w:val="647"/>
    <w:qFormat/>
    <w:pPr>
      <w:spacing w:before="0" w:after="120" w:line="480" w:lineRule="auto"/>
    </w:pPr>
  </w:style>
  <w:style w:type="paragraph" w:styleId="773">
    <w:name w:val="Body Text 3"/>
    <w:basedOn w:val="647"/>
    <w:qFormat/>
    <w:pPr>
      <w:spacing w:before="0" w:after="120"/>
    </w:pPr>
    <w:rPr>
      <w:sz w:val="16"/>
      <w:szCs w:val="16"/>
    </w:rPr>
  </w:style>
  <w:style w:type="paragraph" w:styleId="774" w:customStyle="1">
    <w:name w:val="Колонтитул"/>
    <w:basedOn w:val="647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75">
    <w:name w:val="Footer"/>
    <w:basedOn w:val="647"/>
    <w:pPr>
      <w:tabs>
        <w:tab w:val="clear" w:pos="708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776">
    <w:name w:val="Balloon Text"/>
    <w:basedOn w:val="647"/>
    <w:qFormat/>
    <w:rPr>
      <w:rFonts w:ascii="Tahoma" w:hAnsi="Tahoma" w:cs="Tahoma"/>
      <w:sz w:val="16"/>
      <w:szCs w:val="16"/>
    </w:rPr>
  </w:style>
  <w:style w:type="paragraph" w:styleId="777" w:customStyle="1">
    <w:name w:val="Знак Знак Знак Знак Знак Знак Знак Знак Знак Знак Знак Знак"/>
    <w:basedOn w:val="647"/>
    <w:qFormat/>
    <w:rPr>
      <w:rFonts w:ascii="Verdana" w:hAnsi="Verdana" w:cs="Verdana"/>
      <w:sz w:val="20"/>
      <w:szCs w:val="20"/>
      <w:lang w:val="en-US"/>
    </w:rPr>
  </w:style>
  <w:style w:type="paragraph" w:styleId="778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Lohit Devanagari"/>
      <w:color w:val="auto"/>
      <w:sz w:val="20"/>
      <w:szCs w:val="20"/>
      <w:lang w:val="ru-RU" w:eastAsia="zh-CN" w:bidi="ar-SA"/>
    </w:rPr>
  </w:style>
  <w:style w:type="paragraph" w:styleId="779">
    <w:name w:val="Header"/>
    <w:pPr>
      <w:jc w:val="center"/>
      <w:spacing w:before="0" w:after="0"/>
      <w:widowControl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Droid Sans Fallback" w:cs="Lohit Devanagari"/>
      <w:color w:val="auto"/>
      <w:sz w:val="16"/>
      <w:szCs w:val="20"/>
      <w:lang w:val="ru-RU" w:eastAsia="zh-CN" w:bidi="ar-SA"/>
    </w:rPr>
  </w:style>
  <w:style w:type="paragraph" w:styleId="780">
    <w:name w:val="Body Text Indent 3"/>
    <w:basedOn w:val="647"/>
    <w:qFormat/>
    <w:pPr>
      <w:ind w:left="283"/>
      <w:spacing w:before="0" w:after="120"/>
    </w:pPr>
    <w:rPr>
      <w:sz w:val="16"/>
      <w:szCs w:val="16"/>
      <w:lang w:val="en-US"/>
    </w:rPr>
  </w:style>
  <w:style w:type="paragraph" w:styleId="781">
    <w:name w:val="Normal (Web)"/>
    <w:basedOn w:val="647"/>
    <w:qFormat/>
    <w:pPr>
      <w:spacing w:before="280" w:after="280"/>
    </w:pPr>
  </w:style>
  <w:style w:type="paragraph" w:styleId="782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000000"/>
      <w:sz w:val="24"/>
      <w:szCs w:val="24"/>
      <w:lang w:val="ru-RU" w:eastAsia="zh-CN" w:bidi="ar-SA"/>
    </w:rPr>
  </w:style>
  <w:style w:type="paragraph" w:styleId="783" w:customStyle="1">
    <w:name w:val="Содержимое таблицы"/>
    <w:basedOn w:val="647"/>
    <w:qFormat/>
    <w:pPr>
      <w:widowControl w:val="off"/>
      <w:suppressLineNumbers/>
    </w:pPr>
  </w:style>
  <w:style w:type="paragraph" w:styleId="784" w:customStyle="1">
    <w:name w:val="Заголовок таблицы"/>
    <w:basedOn w:val="783"/>
    <w:qFormat/>
    <w:pPr>
      <w:jc w:val="center"/>
    </w:pPr>
    <w:rPr>
      <w:b/>
      <w:bCs/>
    </w:rPr>
  </w:style>
  <w:style w:type="paragraph" w:styleId="785">
    <w:name w:val="Основной текст с отступом 3"/>
    <w:basedOn w:val="647"/>
    <w:qFormat/>
    <w:pPr>
      <w:ind w:left="283"/>
      <w:jc w:val="left"/>
      <w:spacing w:before="0" w:after="120"/>
      <w:widowControl/>
    </w:pPr>
    <w:rPr>
      <w:color w:val="auto"/>
      <w:sz w:val="16"/>
      <w:szCs w:val="16"/>
      <w:lang w:val="ru-RU" w:eastAsia="zh-CN" w:bidi="ar-SA"/>
    </w:rPr>
  </w:style>
  <w:style w:type="paragraph" w:styleId="786">
    <w:name w:val="Форма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787">
    <w:name w:val="Текст выноски"/>
    <w:basedOn w:val="647"/>
    <w:qFormat/>
    <w:pPr>
      <w:jc w:val="left"/>
      <w:spacing w:before="0" w:after="0"/>
      <w:widowControl/>
    </w:pPr>
    <w:rPr>
      <w:rFonts w:ascii="Segoe UI" w:hAnsi="Segoe UI" w:cs="Segoe UI"/>
      <w:color w:val="auto"/>
      <w:sz w:val="18"/>
      <w:szCs w:val="18"/>
      <w:lang w:val="en-US" w:eastAsia="zh-CN" w:bidi="ar-SA"/>
    </w:rPr>
  </w:style>
  <w:style w:type="paragraph" w:styleId="788">
    <w:name w:val="Название объекта"/>
    <w:basedOn w:val="647"/>
    <w:qFormat/>
    <w:pPr>
      <w:jc w:val="center"/>
      <w:spacing w:before="0" w:after="0" w:line="360" w:lineRule="exact"/>
      <w:widowControl w:val="off"/>
    </w:pPr>
    <w:rPr>
      <w:b/>
      <w:color w:val="auto"/>
      <w:sz w:val="32"/>
      <w:lang w:val="ru-RU" w:eastAsia="zh-CN" w:bidi="ar-SA"/>
    </w:rPr>
  </w:style>
  <w:style w:type="paragraph" w:styleId="789">
    <w:name w:val="Caption1111"/>
    <w:basedOn w:val="647"/>
    <w:qFormat/>
    <w:pPr>
      <w:jc w:val="left"/>
      <w:spacing w:before="120" w:after="120"/>
      <w:widowControl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paragraph" w:styleId="790">
    <w:name w:val="Caption111"/>
    <w:basedOn w:val="647"/>
    <w:qFormat/>
    <w:pPr>
      <w:jc w:val="left"/>
      <w:spacing w:before="120" w:after="120"/>
      <w:widowControl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paragraph" w:styleId="791">
    <w:name w:val="Caption11"/>
    <w:basedOn w:val="647"/>
    <w:qFormat/>
    <w:pPr>
      <w:jc w:val="left"/>
      <w:spacing w:before="120" w:after="120"/>
      <w:widowControl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numbering" w:styleId="792" w:default="1">
    <w:name w:val="No List"/>
    <w:uiPriority w:val="99"/>
    <w:semiHidden/>
    <w:unhideWhenUsed/>
    <w:qFormat/>
  </w:style>
  <w:style w:type="table" w:styleId="793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96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97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98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99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0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7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22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24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25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26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27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28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2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3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35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3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3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3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83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4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42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57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58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59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60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61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62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63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4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5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6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7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8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9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0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1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2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3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4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5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6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7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8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8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8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8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84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8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8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8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8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9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91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9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9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9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9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9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9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98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99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00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01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02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03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04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05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06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07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08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09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10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11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12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13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4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15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16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17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18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Relationship Id="rId15" Type="http://schemas.openxmlformats.org/officeDocument/2006/relationships/hyperlink" Target="https://utp.sberbank-ast.ru/Main/Notice/988/Reglament" TargetMode="External"/><Relationship Id="rId16" Type="http://schemas.openxmlformats.org/officeDocument/2006/relationships/hyperlink" Target="https://utp.sberbank-ast.ru/AP/Notice/1027/Instructions" TargetMode="External"/><Relationship Id="rId17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http://www.gorodperm.ru/" TargetMode="External"/><Relationship Id="rId19" Type="http://schemas.openxmlformats.org/officeDocument/2006/relationships/hyperlink" Target="mailto:perm-mail@ural.rt.ru" TargetMode="External"/><Relationship Id="rId20" Type="http://schemas.openxmlformats.org/officeDocument/2006/relationships/hyperlink" Target="http://www.torgi.gov.ru/" TargetMode="External"/><Relationship Id="rId21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subject/>
  <dc:creator>Tatyannikova</dc:creator>
  <dc:description/>
  <dc:language>ru-RU</dc:language>
  <cp:revision>228</cp:revision>
  <dcterms:modified xsi:type="dcterms:W3CDTF">2025-06-24T13:00:30Z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