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9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09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0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27.06.2025 № 059-19-01-11-70</w:t>
      </w:r>
      <w:r>
        <w:rPr>
          <w:sz w:val="28"/>
          <w:szCs w:val="28"/>
        </w:rPr>
      </w:r>
    </w:p>
    <w:p>
      <w:pPr>
        <w:pStyle w:val="690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9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24.07.2025 электронных аукционов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90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39.11,</w:t>
      </w:r>
      <w:r>
        <w:rPr>
          <w:shd w:val="clear" w:color="auto" w:fill="ffffff"/>
        </w:rPr>
        <w:t xml:space="preserve">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73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27.06.2025 № 059-19-01-11-70.</w:t>
      </w:r>
      <w:r>
        <w:rPr>
          <w:sz w:val="24"/>
          <w:szCs w:val="24"/>
        </w:rPr>
      </w:r>
    </w:p>
    <w:p>
      <w:pPr>
        <w:pStyle w:val="819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73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73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3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73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3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73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3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773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73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3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73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3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73"/>
            <w:sz w:val="24"/>
            <w:szCs w:val="24"/>
          </w:rPr>
          <w:t xml:space="preserve">http</w:t>
        </w:r>
        <w:r>
          <w:rPr>
            <w:rStyle w:val="773"/>
            <w:sz w:val="24"/>
            <w:szCs w:val="24"/>
            <w:lang w:val="ru-RU"/>
          </w:rPr>
          <w:t xml:space="preserve">://</w:t>
        </w:r>
        <w:r>
          <w:rPr>
            <w:rStyle w:val="773"/>
            <w:sz w:val="24"/>
            <w:szCs w:val="24"/>
          </w:rPr>
          <w:t xml:space="preserve">utp</w:t>
        </w:r>
        <w:r>
          <w:rPr>
            <w:rStyle w:val="773"/>
            <w:sz w:val="24"/>
            <w:szCs w:val="24"/>
            <w:lang w:val="ru-RU"/>
          </w:rPr>
          <w:t xml:space="preserve">.</w:t>
        </w:r>
        <w:r>
          <w:rPr>
            <w:rStyle w:val="773"/>
            <w:sz w:val="24"/>
            <w:szCs w:val="24"/>
          </w:rPr>
          <w:t xml:space="preserve">sberbank</w:t>
        </w:r>
        <w:r>
          <w:rPr>
            <w:rStyle w:val="773"/>
            <w:sz w:val="24"/>
            <w:szCs w:val="24"/>
            <w:lang w:val="ru-RU"/>
          </w:rPr>
          <w:t xml:space="preserve">-</w:t>
        </w:r>
        <w:r>
          <w:rPr>
            <w:rStyle w:val="773"/>
            <w:sz w:val="24"/>
            <w:szCs w:val="24"/>
          </w:rPr>
          <w:t xml:space="preserve">ast</w:t>
        </w:r>
        <w:r>
          <w:rPr>
            <w:rStyle w:val="773"/>
            <w:sz w:val="24"/>
            <w:szCs w:val="24"/>
            <w:lang w:val="ru-RU"/>
          </w:rPr>
          <w:t xml:space="preserve">.</w:t>
        </w:r>
        <w:r>
          <w:rPr>
            <w:rStyle w:val="773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90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73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73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73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73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90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73"/>
          <w:bCs/>
          <w:sz w:val="24"/>
          <w:szCs w:val="24"/>
          <w:lang w:val="en-US"/>
        </w:rPr>
        <w:t xml:space="preserve">dzo</w:t>
      </w:r>
      <w:r>
        <w:rPr>
          <w:rStyle w:val="773"/>
          <w:bCs/>
          <w:sz w:val="24"/>
          <w:szCs w:val="24"/>
        </w:rPr>
        <w:t xml:space="preserve">@</w:t>
      </w:r>
      <w:r>
        <w:rPr>
          <w:rStyle w:val="773"/>
          <w:bCs/>
          <w:sz w:val="24"/>
          <w:szCs w:val="24"/>
          <w:lang w:val="en-US"/>
        </w:rPr>
        <w:t xml:space="preserve">perm</w:t>
      </w:r>
      <w:r>
        <w:rPr>
          <w:rStyle w:val="773"/>
          <w:bCs/>
          <w:sz w:val="24"/>
          <w:szCs w:val="24"/>
        </w:rPr>
        <w:t xml:space="preserve">.</w:t>
      </w:r>
      <w:r>
        <w:rPr>
          <w:rStyle w:val="773"/>
          <w:bCs/>
          <w:sz w:val="24"/>
          <w:szCs w:val="24"/>
          <w:lang w:val="en-US"/>
        </w:rPr>
        <w:t xml:space="preserve">permkrai</w:t>
      </w:r>
      <w:r>
        <w:rPr>
          <w:rStyle w:val="773"/>
          <w:bCs/>
          <w:sz w:val="24"/>
          <w:szCs w:val="24"/>
        </w:rPr>
        <w:t xml:space="preserve">.</w:t>
      </w:r>
      <w:r>
        <w:rPr>
          <w:rStyle w:val="773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90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90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9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90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0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от 31 марта 2025 г. № 21-01-03-2717  «О проведении аукциона на право заключения договора аренды земельного участка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tabs>
                <w:tab w:val="left" w:pos="82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оссийская Федерация, Пермский край, городской округ Пермский, город Пермь, улица Борцов Революции, з/у 2е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59:01:3210373:276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(2.1)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</w:rPr>
              <w:t xml:space="preserve">18.06.2025</w:t>
            </w:r>
            <w:r>
              <w:rPr>
                <w:sz w:val="24"/>
                <w:szCs w:val="24"/>
              </w:rPr>
              <w:t xml:space="preserve">г. </w:t>
              <w:br/>
              <w:t xml:space="preserve">№ </w:t>
            </w:r>
            <w:r>
              <w:rPr>
                <w:sz w:val="24"/>
                <w:szCs w:val="24"/>
              </w:rPr>
              <w:t xml:space="preserve">КУВИ-</w:t>
            </w:r>
            <w:r>
              <w:rPr>
                <w:sz w:val="24"/>
                <w:szCs w:val="24"/>
                <w:highlight w:val="white"/>
              </w:rPr>
              <w:t xml:space="preserve">001/2025-1250200</w:t>
            </w:r>
            <w:r>
              <w:rPr>
                <w:sz w:val="24"/>
                <w:szCs w:val="24"/>
                <w:highlight w:val="none"/>
              </w:rPr>
              <w:t xml:space="preserve">73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– ЕГРН)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 № РФ-59-2-03-0-00-2025-0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 в границах Участка объекты капитального строительства отсутствуют.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копии планшета М 1:500 (требующего корректуры)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геодезической съемке, выполненной </w:t>
              <w:br/>
              <w:t xml:space="preserve">в 2024 году, в границах Участка расположена линия электропередач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от 24.02.2009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160 «О порядке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осетевого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и особых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в границах таких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39.11 Кодекса земельный участок, находящи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йся в государственной </w:t>
              <w:br/>
              <w:t xml:space="preserve">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Учитывая, что ука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занные линейные объекты могут размещаться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основании сервитута, публичного сервитута, в соответствии со статьей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39.36 Кодекса, наличие таких объектов на земельном участке </w:t>
              <w:br/>
              <w:t xml:space="preserve">не является основанием для отказа в предоставлении 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емельного участка на торгах.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Участке ограждения, строения, сооружения отсутств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Ближайшие к Участку пожарный водоем 50 кв.м. расположен в 200м от границ на территории АЗС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Valvoline по адресу ул. Борцов Революции 2а. Пожарный гидрант размещен на водоводе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Лабинская, 10а (ок. 70м)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Ленинского района города Перми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26.02.2025 № 059-26-01-16/3-30,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26.03.2025 № 059-26-01-15/3-96, актом осмотра от 26.03.2025 № б/н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градостр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оительным условиям от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6.2025 635200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Участок расположен в границах зон с особыми условиями использования территории: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реестровый номер границы 59:32-6.553.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с постановлением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зарегулированной р. Кама (Воткинскому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1%», реестровый номер границы 59:00-6.2017.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ирование и строительство вести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Камского бассейнового водного управления Федерального агентства водных ресурсов от 21.11.2022 № 239 «Об установлении границ зон затопления на территориях, прилегающих к зарегулированной р. Кама (Воткинскому водохранилищу) в нижнем бьефе Камского гидроузла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г. Перми Пермского края, затапливаемых при пропуске Камским гидроузлом паводков расчетной обеспеченности 1%»; ограничения использования объектов недвижимости в соответствии с частью 3 статьи 67.1 Водно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кодекса Российской Федерации. 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На Участке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произрастают 1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3 деревьев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пород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«береза», «клен»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восстано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вительная стоимость в ценах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одного дерева лиственной породы от 25 тыс. руб., </w:t>
              <w:br/>
              <w:t xml:space="preserve">а хвойной –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у</w:t>
            </w:r>
            <w:r>
              <w:rPr>
                <w:b/>
                <w:color w:val="000000"/>
                <w:sz w:val="24"/>
                <w:szCs w:val="24"/>
              </w:rPr>
              <w:t xml:space="preserve">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25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02</w:t>
            </w:r>
            <w:r>
              <w:rPr>
                <w:rFonts w:ascii="Times New Roman" w:hAnsi="Times New Roman"/>
                <w:sz w:val="24"/>
              </w:rPr>
              <w:t xml:space="preserve">.2025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№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059-33-01-10/3-145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муниципальной программы Развитие системы жилищно-коммунального хозяйства в г. Перми» реализовано мероприятие «Строительство сетей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микрорайоне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Средняя Курья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ул. Борцов Революции Ленинского района г. Перми».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сетей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водоотведения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хемами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водоотведения города Перми, утвержденными постановлением администрации города Перми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28.12.2018 № 1085, на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2028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не предусмотрено.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ascii="Times New Roman" w:hAnsi="Times New Roman"/>
                <w:b/>
                <w:sz w:val="24"/>
              </w:rPr>
              <w:t xml:space="preserve">Департамент жилищно-коммунального хозяйства администрации города Перми (далее – ДЖКХ)</w:t>
            </w:r>
            <w:r>
              <w:rPr>
                <w:color w:val="000000"/>
                <w:sz w:val="24"/>
                <w:szCs w:val="24"/>
              </w:rPr>
              <w:t xml:space="preserve"> </w:t>
              <w:br/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02</w:t>
            </w:r>
            <w:r>
              <w:rPr>
                <w:rFonts w:ascii="Times New Roman" w:hAnsi="Times New Roman"/>
                <w:sz w:val="24"/>
              </w:rPr>
              <w:t xml:space="preserve">.2025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№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059-04-17/3-142-ри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2025-2029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 xml:space="preserve">от 15.12.2020 № 277, при строительстве объектов недвижимости.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</w:t>
              <w:br/>
              <w:t xml:space="preserve">и примыканий, в том числе расходы на выполнение дополнительных работ связанных с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безопасности дорожного движения,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доотведения </w:t>
              <w:br/>
              <w:t xml:space="preserve">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</w:t>
              <w:br/>
              <w:t xml:space="preserve">или примыканий.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дорог и благоустройства администрации города </w:t>
            </w: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Перми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20.02.2025 № 059-24-01-36/3-607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</w:pPr>
            <w:r/>
            <w:r/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Источники противопожарного водоснабжения расположены по следующим адресам: пожарный водоем - ул. Борцов Революции, 2а, пожарный гидрант - на сети водоснабжения по ул. Борцов Революции, 1а, 10а и 12а.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езда подразделений Пермского местного пожарно- спасательного гарнизона для тушения пожаров </w:t>
              <w:br/>
              <w:t xml:space="preserve">и проведения аварийно- спасательных работ </w:t>
              <w:br/>
              <w:t xml:space="preserve">на территории Пермского городского округа, Пермского муниципального района», утвержденном Главой города Перми 26.04.2024.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Ближайшие подразделения пожарной охраны расположены по адресам: город Пермь, </w:t>
              <w:br/>
              <w:t xml:space="preserve">ул. Екатерининская, 53 А (ПСЧ-110 10-ПСО), </w:t>
              <w:br/>
              <w:t xml:space="preserve">ул. Ломоносова, 96 (ПЧ-1 6 ОППС ГКУ ПК «УГПС ПК»).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 планировке и размеще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объектов </w:t>
              <w:br/>
              <w:t xml:space="preserve">на вышеуказанной территории, необходимо соблюдать нормы и требования действующего законодательства: федеральных законов от 21 декабря 1994 г. № 69-ФЗ </w:t>
              <w:br/>
              <w:t xml:space="preserve">«О пожарной безопасности» и от 22 июля 2008 г. </w:t>
              <w:br/>
              <w:t xml:space="preserve">№ 123-ФЗ «Технический регламент о требованиях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пожарной безопасности», Свода правил 8.13130. «Системы противопожарной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защиты. Источники наружного противопожарного водоснабжения. Требования пожарной безопасности», утвержденных приказом МЧС России от 30.03.2020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№ 225, Свода правил 4.13130 «Системы против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ожарной защиты. Ограничение распространения пожара на объектах защиты. Требования к объемно - 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Помещения для аварийно-спасательных формирований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Объект общественной безопасности, отнес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ный </w:t>
              <w:br/>
              <w:t xml:space="preserve">к объектам полиции (участковые пункты полиции), </w:t>
              <w:br/>
              <w:t xml:space="preserve">в данном микрорайоне (Камская Долина) отсутствует. Ближайший участковый пункт расположен по адресу: город Пермь, ул. Профессора Дедюкина, 7, (микрорайон СтудГородок, Ленинский район). В настоящее время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соответствии с информацией, предоставленной Министерством территориальной безопасности Пермского края, данная территория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связи с тем, что территория не по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адает в зону действия региональной автоматизированной системы централизованного оповещения населения города Перми, необходимо предусмотреть размещение дополнительных сиренно-речевых узлов системы оповещения, согласно пунктам 6.38, 6.39 СП 165.1325800.2014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«Свод правил. Инженерно-технические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гражданской обороне. Актуализированная редакция СНиП 2.01.51-90».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д</w:t>
            </w:r>
            <w:r>
              <w:rPr>
                <w:b/>
                <w:color w:val="000000"/>
                <w:sz w:val="24"/>
                <w:szCs w:val="24"/>
              </w:rPr>
              <w:t xml:space="preserve">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№ 059-10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-01-27/3-40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 xml:space="preserve">www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torgi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gov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ru</w:t>
            </w:r>
            <w:r>
              <w:rPr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73"/>
                  <w:szCs w:val="24"/>
                </w:rPr>
                <w:t xml:space="preserve">www.gorodperm.ru</w:t>
              </w:r>
            </w:hyperlink>
            <w:r>
              <w:rPr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СП 55.13330.2016 Свода Правил. Дома жилые одноквартирные. СНиП 31-02-2001, утвержденным и введенным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725/пр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(ред. от 17.05.2023):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ом должен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</w:t>
              <w:br/>
              <w:t xml:space="preserve">и (или) душевые, туалет (уборную) 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  <w:br/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В домах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антресолей должна составлять </w:t>
              <w:br/>
              <w:t xml:space="preserve">не менее 2,1 м, а высота пути эвакуации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 менее 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 xml:space="preserve">в этажах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 № РФ-59-2-03-0-00-2025-0428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(далее – ГПЗУ), предельная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</w:t>
              <w:br/>
              <w:t xml:space="preserve">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до места допустимого размещения зданий, строений, сооружений 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застройки в границах Участка –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ff0000"/>
                <w:sz w:val="24"/>
              </w:rPr>
            </w:r>
            <w:r>
              <w:rPr>
                <w:rFonts w:ascii="Times New Roman" w:hAnsi="Times New Roman"/>
                <w:color w:val="ff0000"/>
                <w:sz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t xml:space="preserve">В </w:t>
            </w:r>
            <w:r>
              <w:rPr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rPr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9" w:tooltip="http://www.gorodperm.ru/" w:history="1">
              <w:r>
                <w:rPr>
                  <w:rStyle w:val="773"/>
                </w:rPr>
                <w:t xml:space="preserve">www.gorodperm.ru</w:t>
              </w:r>
            </w:hyperlink>
            <w: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кВт, сообщается следующее.</w:t>
            </w:r>
            <w:r>
              <w:rPr>
                <w:rFonts w:ascii="Times New Roman" w:hAnsi="Times New Roman"/>
                <w:sz w:val="24"/>
                <w:szCs w:val="20"/>
              </w:rPr>
            </w:r>
            <w:r>
              <w:rPr>
                <w:rFonts w:ascii="Times New Roman" w:hAnsi="Times New Roman"/>
                <w:sz w:val="24"/>
                <w:szCs w:val="20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</w:t>
            </w:r>
            <w:r>
              <w:rPr>
                <w:rFonts w:ascii="Times New Roman" w:hAnsi="Times New Roman"/>
                <w:sz w:val="24"/>
              </w:rPr>
              <w:t xml:space="preserve">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Плата за технологическое присоедин</w:t>
            </w:r>
            <w:r>
              <w:rPr>
                <w:rFonts w:ascii="Times New Roman" w:hAnsi="Times New Roman"/>
                <w:sz w:val="24"/>
              </w:rPr>
              <w:t xml:space="preserve">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 xml:space="preserve">по утвержденным тарифам согласно постановлению РСТ Пермского края от 23.11.2023 № 121-тп </w:t>
              <w:br/>
              <w:t xml:space="preserve">(в последней редакции).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 xml:space="preserve">об осуществлении технологического присоединения объекта к электрическим сетям филиала «Пермэнерго».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</w:t>
              <w:br/>
              <w:t xml:space="preserve">на сайте: </w:t>
            </w:r>
            <w:r>
              <w:fldChar w:fldCharType="begin"/>
            </w:r>
            <w:r>
              <w:instrText xml:space="preserve"> HYPERLINK "https://портал-тп.рф" </w:instrText>
            </w:r>
            <w:r>
              <w:fldChar w:fldCharType="separate"/>
            </w:r>
            <w:r>
              <w:rPr>
                <w:rStyle w:val="780"/>
                <w:rFonts w:ascii="Times New Roman" w:hAnsi="Times New Roman"/>
                <w:sz w:val="24"/>
                <w:szCs w:val="20"/>
                <w:lang w:val="en-US"/>
              </w:rPr>
              <w:t xml:space="preserve">https</w:t>
            </w:r>
            <w:r>
              <w:rPr>
                <w:rStyle w:val="780"/>
                <w:rFonts w:ascii="Times New Roman" w:hAnsi="Times New Roman"/>
                <w:sz w:val="24"/>
                <w:szCs w:val="20"/>
              </w:rPr>
              <w:t xml:space="preserve">://портал-тп.рф</w:t>
            </w:r>
            <w:r>
              <w:rPr>
                <w:rStyle w:val="780"/>
                <w:rFonts w:ascii="Times New Roman" w:hAnsi="Times New Roman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0"/>
              </w:rPr>
              <w:t xml:space="preserve"> или через Мобильное приложение ПАО «Россети».</w:t>
            </w:r>
            <w:r>
              <w:rPr>
                <w:rFonts w:ascii="Times New Roman" w:hAnsi="Times New Roman"/>
                <w:sz w:val="24"/>
                <w:szCs w:val="20"/>
              </w:rPr>
            </w:r>
            <w:r>
              <w:rPr>
                <w:rFonts w:ascii="Times New Roman" w:hAnsi="Times New Roman"/>
                <w:sz w:val="24"/>
                <w:szCs w:val="2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.2025 </w:t>
              <w:br/>
              <w:t xml:space="preserve">№ ПЭ/ПГЭС/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01/22/83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  <w:t xml:space="preserve">/час </w:t>
              <w:br/>
              <w:t xml:space="preserve">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АО «Газпром газораспределение Пермь» </w:t>
            </w:r>
            <w:r>
              <w:rPr>
                <w:rFonts w:ascii="Times New Roman" w:hAnsi="Times New Roman"/>
                <w:sz w:val="24"/>
              </w:rPr>
              <w:t xml:space="preserve">от 19.02.2025 </w:t>
              <w:br/>
              <w:t xml:space="preserve">№ ПФ-1</w:t>
            </w: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  <w:t xml:space="preserve">79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</w:pPr>
            <w:r/>
            <w:r/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 xml:space="preserve">и водоотведению – 1,0 м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  <w:t xml:space="preserve">/сут. к централизованным системам водоснабжения и водоотведения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Ближайшие сети водоснабжения, эксплуатируемые </w:t>
              <w:br/>
              <w:t xml:space="preserve">ООО «НОВОГОР-Прикамье», располагаются по ул. Борцов Революции, ориентировочно на расстоянии – более 2 км </w:t>
              <w:br/>
              <w:t xml:space="preserve">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Ближайшие сети водоотведения, эксплуатируемые </w:t>
              <w:br/>
              <w:t xml:space="preserve">ООО «НОВОГОР-Прикамье», располагаются </w:t>
              <w:br/>
              <w:t xml:space="preserve">по ул. Разъездная, ориентировочно на расстоянии </w:t>
              <w:br/>
              <w:t xml:space="preserve">в радиусе – более 2 км от Участка.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</w:t>
            </w:r>
            <w:r>
              <w:rPr>
                <w:rFonts w:ascii="Times New Roman" w:hAnsi="Times New Roman"/>
                <w:sz w:val="24"/>
              </w:rPr>
              <w:t xml:space="preserve">канализации г. Перми (отвод стоков возможен на локальные очистные сооружения, либо в выгребную яму с последующим вывозом стоков спец.машинами), при этом состав канализационных стоков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сведения сообщается, что в связи с тем, что </w:t>
              <w:br/>
              <w:t xml:space="preserve">ООО «НОВОГОР-Прикамье» эксплуатирует только централизованные системы водоснабжения </w:t>
              <w:br/>
              <w:t xml:space="preserve">и водоотведения, по вопросу возможности обеспечения индивидуального жилого дома холодным водоснабжением </w:t>
            </w:r>
            <w:r>
              <w:rPr>
                <w:rFonts w:ascii="Times New Roman" w:hAnsi="Times New Roman"/>
                <w:sz w:val="24"/>
              </w:rPr>
              <w:t xml:space="preserve">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24.02.2025 № 110-2393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Участок находится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«Пермский ПАО «Т Плюс»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№ 51000-32-00873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Техническая возможность подключения к сетям теплоснабжения отсутствует.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В качестве альтернативного энергоресурса 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екомендовано рассмотреть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газ и обратиться в Пермский филиал АО «Газпром газораспределение Пермь», </w:t>
              <w:br/>
              <w:t xml:space="preserve">либо рассмотреть иные альтернативные энергоресурсы (электричество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дрова, пеллеты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ascii="Times New Roman" w:hAnsi="Times New Roman"/>
                <w:b/>
                <w:sz w:val="24"/>
              </w:rPr>
              <w:t xml:space="preserve">ДЖКХ</w:t>
            </w:r>
            <w:r>
              <w:rPr>
                <w:rFonts w:ascii="Times New Roman" w:hAnsi="Times New Roman"/>
                <w:sz w:val="24"/>
              </w:rPr>
              <w:t xml:space="preserve"> письмом от 20</w:t>
            </w:r>
            <w:r>
              <w:rPr>
                <w:rFonts w:ascii="Times New Roman" w:hAnsi="Times New Roman"/>
                <w:sz w:val="24"/>
              </w:rPr>
              <w:t xml:space="preserve">.03.2025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№ 059-04-25/3</w:t>
            </w:r>
            <w:r>
              <w:rPr>
                <w:rFonts w:ascii="Times New Roman" w:hAnsi="Times New Roman"/>
                <w:sz w:val="24"/>
              </w:rPr>
              <w:t xml:space="preserve">-4</w:t>
            </w: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sz w:val="24"/>
              </w:rPr>
              <w:t xml:space="preserve">ПАО «Ростелеком»</w:t>
            </w:r>
            <w:r>
              <w:rPr>
                <w:rFonts w:ascii="Times New Roman" w:hAnsi="Times New Roman"/>
                <w:sz w:val="24"/>
              </w:rPr>
              <w:t xml:space="preserve"> может быть произведено 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</w:t>
            </w:r>
            <w:r>
              <w:rPr>
                <w:rFonts w:ascii="Times New Roman" w:hAnsi="Times New Roman"/>
                <w:sz w:val="24"/>
              </w:rPr>
              <w:t xml:space="preserve">ул. Попова</w:t>
            </w:r>
            <w:r>
              <w:rPr>
                <w:rFonts w:ascii="Times New Roman" w:hAnsi="Times New Roman"/>
                <w:sz w:val="24"/>
              </w:rPr>
              <w:t xml:space="preserve">, д.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), максимальную нагрузку в точке подключения (технологического присоединения) определить </w:t>
              <w:br/>
              <w:t xml:space="preserve">на стадии </w:t>
            </w:r>
            <w:r>
              <w:rPr>
                <w:rFonts w:ascii="Times New Roman" w:hAnsi="Times New Roman"/>
                <w:sz w:val="24"/>
              </w:rPr>
              <w:t xml:space="preserve">проектирования</w:t>
            </w:r>
            <w:r>
              <w:rPr>
                <w:rFonts w:ascii="Times New Roman" w:hAnsi="Times New Roman"/>
                <w:sz w:val="24"/>
              </w:rPr>
              <w:t xml:space="preserve">, с северной стороны земельного участка вдоль </w:t>
            </w:r>
            <w:r>
              <w:rPr>
                <w:rFonts w:ascii="Times New Roman" w:hAnsi="Times New Roman"/>
                <w:sz w:val="24"/>
              </w:rPr>
              <w:t xml:space="preserve">ул. Борцов Революции проложен в грунт</w:t>
            </w:r>
            <w:r>
              <w:rPr>
                <w:rFonts w:ascii="Times New Roman" w:hAnsi="Times New Roman"/>
                <w:sz w:val="24"/>
              </w:rPr>
              <w:t xml:space="preserve">е кабель связи ПАО «Ростелеком», </w:t>
              <w:br/>
              <w:t xml:space="preserve">для точного определения Участка в границах охранной зоны сети связи необходимо предоставить топографическую съемку </w:t>
            </w:r>
            <w:r>
              <w:rPr>
                <w:rFonts w:ascii="Times New Roman" w:hAnsi="Times New Roman"/>
                <w:sz w:val="24"/>
              </w:rPr>
              <w:t xml:space="preserve">в масштабе 1:500 с нанесенной координатной сеткой системы координат «Пермь».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4"/>
                <w:szCs w:val="24"/>
                <w:highlight w:val="none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4"/>
                <w:szCs w:val="24"/>
                <w:highlight w:val="white"/>
              </w:rPr>
              <w:t xml:space="preserve">ПАО «Ростелеком»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28.02.2025 № 01/05/32381</w:t>
            </w:r>
            <w:r>
              <w:rPr>
                <w:rFonts w:ascii="Times New Roman" w:hAnsi="Times New Roman"/>
                <w:sz w:val="24"/>
              </w:rPr>
              <w:t xml:space="preserve">/25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</w:t>
            </w:r>
            <w:r>
              <w:rPr>
                <w:b w:val="0"/>
                <w:bCs w:val="0"/>
                <w:sz w:val="24"/>
                <w:szCs w:val="24"/>
              </w:rPr>
              <w:t xml:space="preserve">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0"/>
                <w:bCs w:val="0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0"/>
                <w:bCs w:val="0"/>
                <w:sz w:val="24"/>
                <w:szCs w:val="24"/>
              </w:rPr>
              <w:br w:type="textWrapping" w:clear="all"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553 000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27 650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0" w:tooltip="http://www.torgi.gov.ru/" w:history="1">
              <w:r>
                <w:rPr>
                  <w:rStyle w:val="773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3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</w:t>
              <w:br/>
              <w:t xml:space="preserve">в соответствии со статьей 39.11 Земельного кодекса Российской Федерации. Аукцион является открытым по составу участников.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276 500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0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rFonts w:eastAsia="Courier New"/>
          <w:b/>
          <w:bCs/>
          <w:highlight w:val="none"/>
          <w:lang w:bidi="ru-RU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90"/>
        <w:ind w:right="-263"/>
        <w:tabs>
          <w:tab w:val="clear" w:pos="708" w:leader="none"/>
          <w:tab w:val="left" w:pos="5103" w:leader="none"/>
        </w:tabs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 xml:space="preserve">Лот № 2 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690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от 01 апреля 2025 г. № 21-01-03-2767  </w:t>
              <w:br/>
              <w:t xml:space="preserve">«О проведении аукциона на право заключения договора аренды земельного участка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tabs>
                <w:tab w:val="left" w:pos="82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оссийская Федерация, Пермский край, городской округ Пермский, город Пермь, улица Лабинская, з/у 25а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1098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59:01:3218014:148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(2.1)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5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</w:rPr>
              <w:t xml:space="preserve">18.06.2025</w:t>
            </w:r>
            <w:r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КУВИ-</w:t>
            </w:r>
            <w:r>
              <w:rPr>
                <w:sz w:val="24"/>
                <w:szCs w:val="24"/>
                <w:highlight w:val="white"/>
              </w:rPr>
              <w:t xml:space="preserve">001/2025-125020059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– ЕГРН)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 № РФ-59-2-03-0-00-2025-0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сведениям ЕГРН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Участок не имеет связь </w:t>
              <w:br/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капитального строительства.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геодезической съемкой в границах Участка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сположена сеть электроснабжения, проезд </w:t>
              <w:br/>
              <w:t xml:space="preserve">из щебня.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39.11 Кодекса земельный участок, находящи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йся в государственной </w:t>
              <w:br/>
              <w:t xml:space="preserve">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</w:t>
              <w:br/>
              <w:t xml:space="preserve">в соответствии со статьей 39.36 Кодекса.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Учитывая, что ука</w:t>
            </w:r>
            <w:r>
              <w:rPr>
                <w:rFonts w:ascii="Times New Roman" w:hAnsi="Times New Roman"/>
                <w:sz w:val="24"/>
              </w:rPr>
              <w:t xml:space="preserve">занные линейные объекты могут размещаться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основании сервитута, публичного сервитута, в соответствии со статьей </w:t>
            </w:r>
            <w:r>
              <w:rPr>
                <w:rFonts w:ascii="Times New Roman" w:hAnsi="Times New Roman"/>
                <w:sz w:val="24"/>
              </w:rPr>
              <w:t xml:space="preserve">39.36 Кодекса, наличие таких объектов на земельном участке </w:t>
              <w:br/>
              <w:t xml:space="preserve">не является основанием для отказа в предоставлении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емельного участка на торгах.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Участке ограждения, строения, сооружения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Ближайший пожарный гидрант размещен на водоводе по адресу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Лабинская, 10а (ок. 140м).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Ленинского района города Перми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26.02.2025 № 059-26-01-16/3-30,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26.03.2025 № 059-26-01-15/3-96, актом осмотра от 26.03.2025 № б/н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градостр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оительным условиям от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6.2025 635201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Участок расположен в границах зон с особыми условиями использования территории: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реестровый номер границы 59:32-6.553.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с постановлением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 к зарегулированной р. Кама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откинскому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1%», реестровый номер границы 59:00-6.2017. Проектирование и строительство вести в 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ствии с приказом Камского бассейнового водного управления Федерального агентства водных ресурсов от 21.11.2022 № 239 «Об установлении границ зон затопления на территориях, прилегающих к зарегулированной р. Кама (Воткинскому водохранилищу) в нижнем бьефе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Камского гидроузла в г. Перми Пермского края, затапливаемых при пропуске Камским гидроузлом паводков расчетной обеспеченности 1%»; ограничения использования объектов недвижимости в соответствии с частью 3 статьи 67.1 Водного кодекса Российской Федерации.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пересечения составляет 984 кв.м.;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«Охранной зоне ВЛ 0,4кВ от ТП-1658». Реестровый номер границы 59:01-6.4738, площадь пересечения составляет 164 кв.м.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от 24.02.2009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160 «О порядке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осетевого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и особых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в границах таких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на Участке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произрастают 1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1 деревьев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пород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«береза», «клен»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восстано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вительная стоимость в ценах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одного дерева лиственной породы от 25 тыс. руб., </w:t>
              <w:br/>
              <w:t xml:space="preserve">а хвойной –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у</w:t>
            </w:r>
            <w:r>
              <w:rPr>
                <w:b/>
                <w:color w:val="000000"/>
                <w:sz w:val="24"/>
                <w:szCs w:val="24"/>
              </w:rPr>
              <w:t xml:space="preserve">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25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02</w:t>
            </w:r>
            <w:r>
              <w:rPr>
                <w:rFonts w:ascii="Times New Roman" w:hAnsi="Times New Roman"/>
                <w:sz w:val="24"/>
              </w:rPr>
              <w:t xml:space="preserve">.2025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№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059-33-01-10/3-145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2025-2029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 xml:space="preserve">от 15.12.2020 № 277, при строительстве объектов недвижимости.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</w:t>
              <w:br/>
              <w:t xml:space="preserve">и примыканий, в том числе расходы на выполнение дополнительных работ связанных с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безопасности дорожного движения,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доотведения </w:t>
              <w:br/>
              <w:t xml:space="preserve">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</w:t>
              <w:br/>
              <w:t xml:space="preserve">или примыканий.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дорог и благоустройства администрации города </w:t>
            </w: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Перми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20.02.2025 № 059-24-01-36/3-607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</w:pPr>
            <w:r/>
            <w:r/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Источники противопожарного водоснабжения расположены по следующим адресам: пожарный водоем - ул. Борцов Революции, 2а, пожарный гидрант - на сети водоснабжения по ул. Борцов Революции, 1а, 10а и 12а.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езда подразделений Пермского местного пожарно- спасательного гарнизона для тушения пожаров </w:t>
              <w:br/>
              <w:t xml:space="preserve">и проведения аварийно- спасательных работ </w:t>
              <w:br/>
              <w:t xml:space="preserve">на территории Пермского городского округа, Пермского муниципального района», утвержденном Главой города Перми 26.04.2024.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Ближайшие подразделения пожарной охраны расположены по адресам: город Пермь, </w:t>
              <w:br/>
              <w:t xml:space="preserve">ул. Екатерининская, 53 А (ПСЧ-110 10-ПСО), </w:t>
              <w:br/>
              <w:t xml:space="preserve">ул. Ломоносова, 96 (ПЧ-1 6 ОППС ГКУ ПК «УГПС ПК»).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 планировке и размеще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объектов </w:t>
              <w:br/>
              <w:t xml:space="preserve">на вышеуказанной территории, необходимо соблюдать нормы и требования действующего законодательства: федеральных законов от 21 декабря 1994 г. № 69-ФЗ </w:t>
              <w:br/>
              <w:t xml:space="preserve">«О пожарной безопасности» и от 22 июля 2008 г. </w:t>
              <w:br/>
              <w:t xml:space="preserve">№ 123-ФЗ «Технический регламент о требованиях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пожарной безопасности», Свода правил 8.13130. «Системы противопожарной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защиты. Источники наружного противопожарного водоснабжения. Требования пожарной безопасности», утвержденных приказом МЧС России от 30.03.2020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№ 225, Свода правил 4.13130 «Системы против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ожарной защиты. Ограничение распространения пожара на объектах защиты. Требования к объемно - планировочным </w:t>
              <w:br/>
              <w:t xml:space="preserve">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Помещения для аварийно-спасательных формирований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Объект общественной безопасности, отнес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ный </w:t>
              <w:br/>
              <w:t xml:space="preserve">к объектам полиции (участковые пункты полиции), </w:t>
              <w:br/>
              <w:t xml:space="preserve">в данном микрорайоне (Камская Долина) отсутствует. Ближайший участковый пункт расположен по адресу: город Пермь, ул. Профессора Дедюкина, 7, (микрорайон СтудГородок, Ленинский район). В настоящее время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соответствии с информацией, предоставленной Министерством территориальной безопасности Пермского края, данная территория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связи с тем, что территория не по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адает в зону действия региональной автоматизированной системы централизованного оповещения населения города Перми, необходимо предусмотреть размещение дополнительных сиренно-речевых узлов системы оповещения, согласно пунктам 6.38, 6.39 СП 165.1325800.2014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«Свод правил. Инженерно-технические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гражданской обороне. Актуализированная редакция СНиП 2.01.51-90».</w:t>
            </w:r>
            <w:r>
              <w:rPr>
                <w:rFonts w:ascii="Times New Roman" w:hAnsi="Times New Roman"/>
                <w:sz w:val="24"/>
                <w14:ligatures w14:val="none"/>
              </w:rPr>
            </w:r>
            <w:r>
              <w:rPr>
                <w:rFonts w:ascii="Times New Roman" w:hAnsi="Times New Roman"/>
                <w:sz w:val="24"/>
                <w14:ligatures w14:val="none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д</w:t>
            </w:r>
            <w:r>
              <w:rPr>
                <w:b/>
                <w:color w:val="000000"/>
                <w:sz w:val="24"/>
                <w:szCs w:val="24"/>
              </w:rPr>
              <w:t xml:space="preserve">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№ 059-10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-01-27/3-40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 xml:space="preserve">www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torgi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gov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ru</w:t>
            </w:r>
            <w:r>
              <w:rPr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1" w:tooltip="http://www.gorodperm.ru/" w:history="1">
              <w:r>
                <w:rPr>
                  <w:rStyle w:val="773"/>
                  <w:szCs w:val="24"/>
                </w:rPr>
                <w:t xml:space="preserve">www.gorodperm.ru</w:t>
              </w:r>
            </w:hyperlink>
            <w:r>
              <w:rPr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СП 55.13330.2016 Свода Правил. Дома жилые одноквартирные. СНиП 31-02-2001, утвержденным и введенным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725/пр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(ред. от 17.05.2023):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ом должен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  <w:br/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В домах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антресолей должна составлять </w:t>
              <w:br/>
              <w:t xml:space="preserve">не менее 2,1 м, а высота пути эвакуации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 менее 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 xml:space="preserve">в этажах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 № РФ-59-2-03-0-00-2025-0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ГПЗУ), предельная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4 этажей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до места допустимого размещения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окированной жилой застройке) –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застройки в границах Участка –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t xml:space="preserve">В </w:t>
            </w:r>
            <w:r>
              <w:rPr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rPr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2" w:tooltip="http://www.gorodperm.ru/" w:history="1">
              <w:r>
                <w:rPr>
                  <w:rStyle w:val="773"/>
                </w:rPr>
                <w:t xml:space="preserve">www.gorodperm.ru</w:t>
              </w:r>
            </w:hyperlink>
            <w: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кВт, сообщается следующее.</w:t>
            </w:r>
            <w:r>
              <w:rPr>
                <w:rFonts w:ascii="Times New Roman" w:hAnsi="Times New Roman"/>
                <w:sz w:val="24"/>
                <w:szCs w:val="20"/>
              </w:rPr>
            </w:r>
            <w:r>
              <w:rPr>
                <w:rFonts w:ascii="Times New Roman" w:hAnsi="Times New Roman"/>
                <w:sz w:val="24"/>
                <w:szCs w:val="20"/>
              </w:rPr>
            </w:r>
          </w:p>
          <w:p>
            <w:pPr>
              <w:pStyle w:val="690"/>
              <w:ind w:firstLine="340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</w:t>
            </w:r>
            <w:r>
              <w:rPr>
                <w:rFonts w:ascii="Times New Roman" w:hAnsi="Times New Roman"/>
                <w:sz w:val="24"/>
              </w:rPr>
              <w:t xml:space="preserve">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/>
          </w:p>
          <w:p>
            <w:pPr>
              <w:pStyle w:val="690"/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Плата за технологическое присоедин</w:t>
            </w:r>
            <w:r>
              <w:rPr>
                <w:rFonts w:ascii="Times New Roman" w:hAnsi="Times New Roman"/>
                <w:sz w:val="24"/>
              </w:rPr>
              <w:t xml:space="preserve">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 xml:space="preserve">по утвержденным тарифам согласно постановлению РСТ Пермского края от 23.11.2023 № 121-тп </w:t>
              <w:br/>
              <w:t xml:space="preserve">(в последней редакции).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 xml:space="preserve">об осуществлении технологического присоединения объекта к электрическим сетям филиала «Пермэнерго».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.2025 № ПЭ/ПГЭС/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01/22/83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  <w:t xml:space="preserve">/час </w:t>
              <w:br/>
              <w:t xml:space="preserve">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АО «Газпром газораспределение Пермь» </w:t>
            </w:r>
            <w:r>
              <w:rPr>
                <w:rFonts w:ascii="Times New Roman" w:hAnsi="Times New Roman"/>
                <w:sz w:val="24"/>
              </w:rPr>
              <w:t xml:space="preserve">от 19.02.2025 </w:t>
              <w:br/>
              <w:t xml:space="preserve">№ ПФ-1</w:t>
            </w: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  <w:t xml:space="preserve">79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</w:pPr>
            <w:r/>
            <w:r/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 xml:space="preserve">и водоотведению – 1,0 м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  <w:t xml:space="preserve">/сут. к централизованным системам водоснабжения и водоотведения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Ближайшие сети водоснабжения, эксплуатируемые </w:t>
              <w:br/>
              <w:t xml:space="preserve">ООО «НОВОГОР-Прикамье», располагаются по ул. Борцов Революции, ориентировочно на расстоянии – более 2 км </w:t>
              <w:br/>
              <w:t xml:space="preserve">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Ближайшие сети водоотведения, эксплуатируемые </w:t>
              <w:br/>
              <w:t xml:space="preserve">ООО «НОВОГОР-Прикамье», располагаются </w:t>
              <w:br/>
              <w:t xml:space="preserve">по ул. Разъездная, ориентировочно на расстоянии в радиусе – более 2 км от Участка.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</w:t>
            </w:r>
            <w:r>
              <w:rPr>
                <w:rFonts w:ascii="Times New Roman" w:hAnsi="Times New Roman"/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анализации г. Перми (отвод стоков возможен на локальные очистные сооружения, либо в выгребную яму </w:t>
              <w:br/>
              <w:t xml:space="preserve">с последующим вывозом стоков спец.машинами), при этом состав канализационных стоков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сведения сообщается, что в связи с тем, что </w:t>
              <w:br/>
              <w:t xml:space="preserve">ООО «НОВОГОР-Прикамье» эксплуатирует только централизованные системы водоснабжения </w:t>
              <w:br/>
              <w:t xml:space="preserve">и водоотведения, по вопросу возможности обеспечения индивидуального жилого дома холодным водоснабжением </w:t>
            </w:r>
            <w:r>
              <w:rPr>
                <w:rFonts w:ascii="Times New Roman" w:hAnsi="Times New Roman"/>
                <w:sz w:val="24"/>
              </w:rPr>
              <w:t xml:space="preserve">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24.02.2025 № 110-2393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Участок находится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«Пермский ПАО «Т Плюс»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№ 51000-32-00873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Техническая возможность подключения к сетям теплоснабжения отсутствует.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В качестве альтернативного энергоресурса 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екомендовано рассмотреть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газ и обратиться в Пермский филиал АО «Газпром газораспределение Пермь», </w:t>
              <w:br/>
              <w:t xml:space="preserve">либо рассмотреть иные альтернативные энергоресурсы (электричество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дрова, пеллеты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ascii="Times New Roman" w:hAnsi="Times New Roman"/>
                <w:b/>
                <w:sz w:val="24"/>
              </w:rPr>
              <w:t xml:space="preserve">Департамент жилищно-коммунального хозяйства администрации города Перми (далее – ДЖКХ)</w:t>
            </w:r>
            <w:r>
              <w:rPr>
                <w:rFonts w:ascii="Times New Roman" w:hAnsi="Times New Roman"/>
                <w:sz w:val="24"/>
              </w:rPr>
              <w:t xml:space="preserve"> письмом от 20</w:t>
            </w:r>
            <w:r>
              <w:rPr>
                <w:rFonts w:ascii="Times New Roman" w:hAnsi="Times New Roman"/>
                <w:sz w:val="24"/>
              </w:rPr>
              <w:t xml:space="preserve">.03.2025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№ 059-04-25/3</w:t>
            </w:r>
            <w:r>
              <w:rPr>
                <w:rFonts w:ascii="Times New Roman" w:hAnsi="Times New Roman"/>
                <w:sz w:val="24"/>
              </w:rPr>
              <w:t xml:space="preserve">-4</w:t>
            </w: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sz w:val="24"/>
              </w:rPr>
              <w:t xml:space="preserve">ПАО «Ростелеком»</w:t>
            </w:r>
            <w:r>
              <w:rPr>
                <w:rFonts w:ascii="Times New Roman" w:hAnsi="Times New Roman"/>
                <w:sz w:val="24"/>
              </w:rPr>
              <w:t xml:space="preserve"> может быть произведено 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ул. Попова</w:t>
            </w:r>
            <w:r>
              <w:rPr>
                <w:rFonts w:ascii="Times New Roman" w:hAnsi="Times New Roman"/>
                <w:sz w:val="24"/>
              </w:rPr>
              <w:t xml:space="preserve">, д.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), максимальную нагрузку в точке подключения (технологического присоединения) определить на стадии проектировани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(Аналогичная информация отражена в письме </w:t>
              <w:br/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4"/>
                <w:szCs w:val="24"/>
                <w:highlight w:val="white"/>
              </w:rPr>
              <w:t xml:space="preserve">ПАО «Ростелеком»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28.02.2025 № 01/05/32381</w:t>
            </w:r>
            <w:r>
              <w:rPr>
                <w:rFonts w:ascii="Times New Roman" w:hAnsi="Times New Roman"/>
                <w:sz w:val="24"/>
              </w:rPr>
              <w:t xml:space="preserve">/25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</w:t>
            </w:r>
            <w:r>
              <w:rPr>
                <w:b w:val="0"/>
                <w:bCs w:val="0"/>
                <w:sz w:val="24"/>
                <w:szCs w:val="24"/>
              </w:rPr>
              <w:t xml:space="preserve">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0"/>
                <w:bCs w:val="0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0"/>
                <w:bCs w:val="0"/>
                <w:sz w:val="24"/>
                <w:szCs w:val="24"/>
              </w:rPr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51 550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3" w:tooltip="http://www.torgi.gov.ru/" w:history="1">
              <w:r>
                <w:rPr>
                  <w:rStyle w:val="773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3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</w:t>
              <w:br/>
              <w:t xml:space="preserve">в соответствии со статьей 39.11 Земельного кодекса Российской Федерации. Аукцион является открытым по составу участников.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0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90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0"/>
        <w:contextualSpacing/>
        <w:ind w:left="0"/>
        <w:jc w:val="center"/>
        <w:spacing w:before="0" w:after="0"/>
        <w:widowControl w:val="off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690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01.07.2025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22.07.2025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23.07.2025.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24.07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highlight w:val="none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highlight w:val="none"/>
        </w:rPr>
      </w:r>
      <w:r>
        <w:rPr>
          <w:highlight w:val="none"/>
        </w:rPr>
      </w:r>
    </w:p>
    <w:p>
      <w:pPr>
        <w:pStyle w:val="690"/>
        <w:jc w:val="both"/>
        <w:widowControl w:val="off"/>
      </w:pPr>
      <w:r/>
      <w:r/>
    </w:p>
    <w:p>
      <w:pPr>
        <w:pStyle w:val="690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90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0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90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90"/>
        <w:ind w:left="-567" w:firstLine="709"/>
        <w:jc w:val="both"/>
        <w:widowControl w:val="off"/>
      </w:pPr>
      <w:r/>
      <w:r/>
    </w:p>
    <w:p>
      <w:pPr>
        <w:pStyle w:val="690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0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0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4" w:tooltip="http://utp.sberbank-ast.ru/AP/Notice/653/Requisites" w:history="1">
        <w:r>
          <w:rPr>
            <w:rStyle w:val="773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0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0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0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90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0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0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90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01.07.2025 по 22.07.2025.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90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83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3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01.07.2025 по 22.07.2025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0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90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90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90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</w:p>
    <w:p>
      <w:pPr>
        <w:pStyle w:val="690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</w:t>
      </w:r>
      <w:r>
        <w:rPr>
          <w:bCs/>
          <w:shd w:val="clear" w:color="auto" w:fill="auto"/>
        </w:rPr>
        <w:t xml:space="preserve">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является частью извещения и представлены в Приложениях 2-3  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2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9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91">
    <w:name w:val="Heading 1"/>
    <w:basedOn w:val="690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92">
    <w:name w:val="Heading 2"/>
    <w:basedOn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6">
    <w:name w:val="Heading 6"/>
    <w:basedOn w:val="69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97">
    <w:name w:val="Heading 7"/>
    <w:basedOn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1 Char"/>
    <w:basedOn w:val="717"/>
    <w:uiPriority w:val="9"/>
    <w:qFormat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17"/>
    <w:uiPriority w:val="9"/>
    <w:qFormat/>
    <w:rPr>
      <w:rFonts w:ascii="Arial" w:hAnsi="Arial" w:eastAsia="Arial" w:cs="Arial"/>
      <w:sz w:val="34"/>
    </w:rPr>
  </w:style>
  <w:style w:type="character" w:styleId="702">
    <w:name w:val="Heading 3 Char"/>
    <w:basedOn w:val="717"/>
    <w:uiPriority w:val="9"/>
    <w:qFormat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1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1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1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1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1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17"/>
    <w:uiPriority w:val="10"/>
    <w:qFormat/>
    <w:rPr>
      <w:sz w:val="48"/>
      <w:szCs w:val="48"/>
    </w:rPr>
  </w:style>
  <w:style w:type="character" w:styleId="710">
    <w:name w:val="Subtitle Char"/>
    <w:basedOn w:val="717"/>
    <w:uiPriority w:val="11"/>
    <w:qFormat/>
    <w:rPr>
      <w:sz w:val="24"/>
      <w:szCs w:val="24"/>
    </w:rPr>
  </w:style>
  <w:style w:type="character" w:styleId="711">
    <w:name w:val="Quote Char"/>
    <w:uiPriority w:val="29"/>
    <w:qFormat/>
    <w:rPr>
      <w:i/>
    </w:rPr>
  </w:style>
  <w:style w:type="character" w:styleId="712">
    <w:name w:val="Intense Quote Char"/>
    <w:uiPriority w:val="30"/>
    <w:qFormat/>
    <w:rPr>
      <w:i/>
    </w:rPr>
  </w:style>
  <w:style w:type="character" w:styleId="713">
    <w:name w:val="Header Char"/>
    <w:basedOn w:val="717"/>
    <w:uiPriority w:val="99"/>
    <w:qFormat/>
  </w:style>
  <w:style w:type="character" w:styleId="714">
    <w:name w:val="Caption Char"/>
    <w:uiPriority w:val="99"/>
    <w:qFormat/>
  </w:style>
  <w:style w:type="character" w:styleId="715">
    <w:name w:val="Footnote Text Char"/>
    <w:uiPriority w:val="99"/>
    <w:qFormat/>
    <w:rPr>
      <w:sz w:val="18"/>
    </w:rPr>
  </w:style>
  <w:style w:type="character" w:styleId="716">
    <w:name w:val="Endnote Text Char"/>
    <w:uiPriority w:val="99"/>
    <w:qFormat/>
    <w:rPr>
      <w:sz w:val="20"/>
    </w:rPr>
  </w:style>
  <w:style w:type="character" w:styleId="717" w:default="1">
    <w:name w:val="Default Paragraph Font"/>
    <w:uiPriority w:val="1"/>
    <w:semiHidden/>
    <w:unhideWhenUsed/>
    <w:qFormat/>
  </w:style>
  <w:style w:type="character" w:styleId="718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20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Заголовок Знак1"/>
    <w:uiPriority w:val="10"/>
    <w:qFormat/>
    <w:rPr>
      <w:sz w:val="48"/>
      <w:szCs w:val="48"/>
    </w:rPr>
  </w:style>
  <w:style w:type="character" w:styleId="728" w:customStyle="1">
    <w:name w:val="Подзаголовок Знак"/>
    <w:uiPriority w:val="11"/>
    <w:qFormat/>
    <w:rPr>
      <w:sz w:val="24"/>
      <w:szCs w:val="24"/>
    </w:rPr>
  </w:style>
  <w:style w:type="character" w:styleId="729" w:customStyle="1">
    <w:name w:val="Цитата 2 Знак"/>
    <w:uiPriority w:val="29"/>
    <w:qFormat/>
    <w:rPr>
      <w:i/>
    </w:rPr>
  </w:style>
  <w:style w:type="character" w:styleId="730" w:customStyle="1">
    <w:name w:val="Выделенная цитата Знак"/>
    <w:uiPriority w:val="30"/>
    <w:qFormat/>
    <w:rPr>
      <w:i/>
    </w:rPr>
  </w:style>
  <w:style w:type="character" w:styleId="731" w:customStyle="1">
    <w:name w:val="Верхний колонтитул Знак1"/>
    <w:uiPriority w:val="99"/>
    <w:qFormat/>
  </w:style>
  <w:style w:type="character" w:styleId="732" w:customStyle="1">
    <w:name w:val="Footer Char"/>
    <w:uiPriority w:val="99"/>
    <w:qFormat/>
  </w:style>
  <w:style w:type="character" w:styleId="733" w:customStyle="1">
    <w:name w:val="Нижний колонтитул Знак1"/>
    <w:uiPriority w:val="99"/>
    <w:qFormat/>
  </w:style>
  <w:style w:type="character" w:styleId="734" w:customStyle="1">
    <w:name w:val="Текст сноски Знак"/>
    <w:uiPriority w:val="99"/>
    <w:qFormat/>
    <w:rPr>
      <w:sz w:val="18"/>
    </w:rPr>
  </w:style>
  <w:style w:type="character" w:styleId="735">
    <w:name w:val="Символ сноски"/>
    <w:uiPriority w:val="99"/>
    <w:unhideWhenUsed/>
    <w:qFormat/>
    <w:rPr>
      <w:vertAlign w:val="superscript"/>
    </w:rPr>
  </w:style>
  <w:style w:type="character" w:styleId="736">
    <w:name w:val="footnote reference"/>
    <w:rPr>
      <w:vertAlign w:val="superscript"/>
    </w:rPr>
  </w:style>
  <w:style w:type="character" w:styleId="737" w:customStyle="1">
    <w:name w:val="Текст концевой сноски Знак"/>
    <w:uiPriority w:val="99"/>
    <w:qFormat/>
    <w:rPr>
      <w:sz w:val="20"/>
    </w:rPr>
  </w:style>
  <w:style w:type="character" w:styleId="73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9">
    <w:name w:val="endnote reference"/>
    <w:rPr>
      <w:vertAlign w:val="superscript"/>
    </w:rPr>
  </w:style>
  <w:style w:type="character" w:styleId="740" w:customStyle="1">
    <w:name w:val="WW8Num2z0"/>
    <w:qFormat/>
    <w:rPr>
      <w:rFonts w:ascii="Symbol" w:hAnsi="Symbol" w:cs="Symbol"/>
    </w:rPr>
  </w:style>
  <w:style w:type="character" w:styleId="741" w:customStyle="1">
    <w:name w:val="WW8Num3z0"/>
    <w:qFormat/>
  </w:style>
  <w:style w:type="character" w:styleId="742" w:customStyle="1">
    <w:name w:val="WW8Num4z0"/>
    <w:qFormat/>
  </w:style>
  <w:style w:type="character" w:styleId="743" w:customStyle="1">
    <w:name w:val="WW8Num5z0"/>
    <w:qFormat/>
    <w:rPr>
      <w:sz w:val="16"/>
      <w:szCs w:val="16"/>
    </w:rPr>
  </w:style>
  <w:style w:type="character" w:styleId="744" w:customStyle="1">
    <w:name w:val="WW8Num6z0"/>
    <w:qFormat/>
  </w:style>
  <w:style w:type="character" w:styleId="745" w:customStyle="1">
    <w:name w:val="WW8Num7z0"/>
    <w:qFormat/>
  </w:style>
  <w:style w:type="character" w:styleId="746" w:customStyle="1">
    <w:name w:val="WW8Num8z0"/>
    <w:qFormat/>
  </w:style>
  <w:style w:type="character" w:styleId="747" w:customStyle="1">
    <w:name w:val="WW8Num9z0"/>
    <w:qFormat/>
  </w:style>
  <w:style w:type="character" w:styleId="748" w:customStyle="1">
    <w:name w:val="WW8Num10z0"/>
    <w:qFormat/>
  </w:style>
  <w:style w:type="character" w:styleId="749" w:customStyle="1">
    <w:name w:val="WW8Num11z0"/>
    <w:qFormat/>
  </w:style>
  <w:style w:type="character" w:styleId="750" w:customStyle="1">
    <w:name w:val="WW8Num12z0"/>
    <w:qFormat/>
  </w:style>
  <w:style w:type="character" w:styleId="751" w:customStyle="1">
    <w:name w:val="WW8Num13z0"/>
    <w:qFormat/>
  </w:style>
  <w:style w:type="character" w:styleId="752" w:customStyle="1">
    <w:name w:val="WW8Num14z0"/>
    <w:qFormat/>
  </w:style>
  <w:style w:type="character" w:styleId="753" w:customStyle="1">
    <w:name w:val="WW8Num15z0"/>
    <w:qFormat/>
  </w:style>
  <w:style w:type="character" w:styleId="754" w:customStyle="1">
    <w:name w:val="WW8Num18z0"/>
    <w:qFormat/>
  </w:style>
  <w:style w:type="character" w:styleId="755" w:customStyle="1">
    <w:name w:val="WW8Num19z0"/>
    <w:qFormat/>
  </w:style>
  <w:style w:type="character" w:styleId="756" w:customStyle="1">
    <w:name w:val="WW8Num20z0"/>
    <w:qFormat/>
  </w:style>
  <w:style w:type="character" w:styleId="757" w:customStyle="1">
    <w:name w:val="WW8Num21z0"/>
    <w:qFormat/>
  </w:style>
  <w:style w:type="character" w:styleId="758" w:customStyle="1">
    <w:name w:val="WW8Num22z0"/>
    <w:qFormat/>
  </w:style>
  <w:style w:type="character" w:styleId="759" w:customStyle="1">
    <w:name w:val="WW8Num23z0"/>
    <w:qFormat/>
  </w:style>
  <w:style w:type="character" w:styleId="760" w:customStyle="1">
    <w:name w:val="WW8Num25z0"/>
    <w:qFormat/>
  </w:style>
  <w:style w:type="character" w:styleId="761" w:customStyle="1">
    <w:name w:val="WW8Num26z0"/>
    <w:qFormat/>
  </w:style>
  <w:style w:type="character" w:styleId="762" w:customStyle="1">
    <w:name w:val="WW8Num27z0"/>
    <w:qFormat/>
  </w:style>
  <w:style w:type="character" w:styleId="763" w:customStyle="1">
    <w:name w:val="WW8Num29z0"/>
    <w:qFormat/>
    <w:rPr>
      <w:rFonts w:ascii="Symbol" w:hAnsi="Symbol" w:cs="Symbol"/>
    </w:rPr>
  </w:style>
  <w:style w:type="character" w:styleId="764" w:customStyle="1">
    <w:name w:val="WW8Num30z0"/>
    <w:qFormat/>
  </w:style>
  <w:style w:type="character" w:styleId="765" w:customStyle="1">
    <w:name w:val="WW8Num31z0"/>
    <w:qFormat/>
  </w:style>
  <w:style w:type="character" w:styleId="766" w:customStyle="1">
    <w:name w:val="WW8Num32z0"/>
    <w:qFormat/>
  </w:style>
  <w:style w:type="character" w:styleId="767" w:customStyle="1">
    <w:name w:val="WW8Num33z0"/>
    <w:qFormat/>
  </w:style>
  <w:style w:type="character" w:styleId="768" w:customStyle="1">
    <w:name w:val="WW8Num34z0"/>
    <w:qFormat/>
  </w:style>
  <w:style w:type="character" w:styleId="769">
    <w:name w:val="page number"/>
    <w:basedOn w:val="717"/>
    <w:qFormat/>
  </w:style>
  <w:style w:type="character" w:styleId="770" w:customStyle="1">
    <w:name w:val="Текст Знак"/>
    <w:qFormat/>
    <w:rPr>
      <w:rFonts w:ascii="Courier New" w:hAnsi="Courier New" w:cs="Courier New"/>
    </w:rPr>
  </w:style>
  <w:style w:type="character" w:styleId="771" w:customStyle="1">
    <w:name w:val="Верхний колонтитул Знак"/>
    <w:qFormat/>
    <w:rPr>
      <w:sz w:val="16"/>
      <w:lang w:val="ru-RU" w:bidi="ar-SA"/>
    </w:rPr>
  </w:style>
  <w:style w:type="character" w:styleId="772" w:customStyle="1">
    <w:name w:val="Основной текст с отступом 3 Знак"/>
    <w:qFormat/>
    <w:rPr>
      <w:sz w:val="16"/>
      <w:szCs w:val="16"/>
    </w:rPr>
  </w:style>
  <w:style w:type="character" w:styleId="773">
    <w:name w:val="Hyperlink"/>
    <w:rPr>
      <w:color w:val="0563c1"/>
      <w:u w:val="single"/>
    </w:rPr>
  </w:style>
  <w:style w:type="character" w:styleId="774" w:customStyle="1">
    <w:name w:val="Абзац списка Знак"/>
    <w:qFormat/>
    <w:rPr>
      <w:sz w:val="24"/>
      <w:szCs w:val="24"/>
    </w:rPr>
  </w:style>
  <w:style w:type="character" w:styleId="775" w:customStyle="1">
    <w:name w:val="Заголовок 6 Знак"/>
    <w:qFormat/>
    <w:rPr>
      <w:b/>
      <w:bCs/>
      <w:sz w:val="22"/>
      <w:szCs w:val="22"/>
    </w:rPr>
  </w:style>
  <w:style w:type="character" w:styleId="776" w:customStyle="1">
    <w:name w:val="Название Знак"/>
    <w:qFormat/>
    <w:rPr>
      <w:sz w:val="28"/>
      <w:lang w:val="ru-RU" w:bidi="ar-SA"/>
    </w:rPr>
  </w:style>
  <w:style w:type="character" w:styleId="777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78" w:customStyle="1">
    <w:name w:val="Нижний колонтитул Знак"/>
    <w:qFormat/>
  </w:style>
  <w:style w:type="character" w:styleId="779">
    <w:name w:val="FollowedHyperlink"/>
    <w:rPr>
      <w:color w:val="954f72"/>
      <w:u w:val="single"/>
    </w:rPr>
  </w:style>
  <w:style w:type="character" w:styleId="780" w:customStyle="1">
    <w:name w:val="Гиперссылка"/>
    <w:qFormat/>
    <w:rPr>
      <w:color w:val="0000ff"/>
      <w:u w:val="single"/>
    </w:rPr>
  </w:style>
  <w:style w:type="character" w:styleId="781">
    <w:name w:val="Символ нумерации"/>
    <w:qFormat/>
  </w:style>
  <w:style w:type="paragraph" w:styleId="782">
    <w:name w:val="Заголовок"/>
    <w:basedOn w:val="690"/>
    <w:next w:val="78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83">
    <w:name w:val="Body Text"/>
    <w:basedOn w:val="690"/>
    <w:pPr>
      <w:jc w:val="right"/>
    </w:pPr>
    <w:rPr>
      <w:sz w:val="28"/>
    </w:rPr>
  </w:style>
  <w:style w:type="paragraph" w:styleId="784">
    <w:name w:val="List"/>
    <w:basedOn w:val="783"/>
    <w:rPr>
      <w:rFonts w:cs="Lohit Devanagari"/>
    </w:rPr>
  </w:style>
  <w:style w:type="paragraph" w:styleId="785">
    <w:name w:val="Caption"/>
    <w:basedOn w:val="690"/>
    <w:qFormat/>
    <w:pPr>
      <w:spacing w:before="120" w:after="120"/>
      <w:suppressLineNumbers/>
    </w:pPr>
    <w:rPr>
      <w:rFonts w:cs="Lohit Devanagari"/>
      <w:i/>
      <w:iCs/>
    </w:rPr>
  </w:style>
  <w:style w:type="paragraph" w:styleId="786">
    <w:name w:val="Указатель"/>
    <w:basedOn w:val="690"/>
    <w:qFormat/>
    <w:pPr>
      <w:suppressLineNumbers/>
    </w:pPr>
    <w:rPr>
      <w:rFonts w:cs="Lohit Devanagari"/>
    </w:rPr>
  </w:style>
  <w:style w:type="paragraph" w:styleId="787">
    <w:name w:val="List Paragraph"/>
    <w:basedOn w:val="690"/>
    <w:qFormat/>
    <w:pPr>
      <w:ind w:left="708"/>
    </w:pPr>
  </w:style>
  <w:style w:type="paragraph" w:styleId="78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89">
    <w:name w:val="Title"/>
    <w:basedOn w:val="690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90">
    <w:name w:val="Subtitle"/>
    <w:basedOn w:val="690"/>
    <w:uiPriority w:val="11"/>
    <w:qFormat/>
    <w:pPr>
      <w:spacing w:before="200" w:after="200"/>
    </w:pPr>
  </w:style>
  <w:style w:type="paragraph" w:styleId="791">
    <w:name w:val="Quote"/>
    <w:basedOn w:val="690"/>
    <w:uiPriority w:val="29"/>
    <w:qFormat/>
    <w:pPr>
      <w:ind w:left="720" w:right="720"/>
    </w:pPr>
    <w:rPr>
      <w:i/>
    </w:rPr>
  </w:style>
  <w:style w:type="paragraph" w:styleId="792">
    <w:name w:val="Intense Quote"/>
    <w:basedOn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3">
    <w:name w:val="footnote text"/>
    <w:basedOn w:val="690"/>
    <w:uiPriority w:val="99"/>
    <w:semiHidden/>
    <w:unhideWhenUsed/>
    <w:pPr>
      <w:spacing w:before="0" w:after="40"/>
    </w:pPr>
    <w:rPr>
      <w:sz w:val="18"/>
    </w:rPr>
  </w:style>
  <w:style w:type="paragraph" w:styleId="794">
    <w:name w:val="endnote text"/>
    <w:basedOn w:val="690"/>
    <w:uiPriority w:val="99"/>
    <w:semiHidden/>
    <w:unhideWhenUsed/>
    <w:rPr>
      <w:sz w:val="20"/>
    </w:rPr>
  </w:style>
  <w:style w:type="paragraph" w:styleId="795">
    <w:name w:val="toc 1"/>
    <w:basedOn w:val="690"/>
    <w:uiPriority w:val="39"/>
    <w:unhideWhenUsed/>
    <w:pPr>
      <w:spacing w:before="0" w:after="57"/>
    </w:pPr>
  </w:style>
  <w:style w:type="paragraph" w:styleId="796">
    <w:name w:val="toc 2"/>
    <w:basedOn w:val="690"/>
    <w:uiPriority w:val="39"/>
    <w:unhideWhenUsed/>
    <w:pPr>
      <w:ind w:left="283"/>
      <w:spacing w:before="0" w:after="57"/>
    </w:pPr>
  </w:style>
  <w:style w:type="paragraph" w:styleId="797">
    <w:name w:val="toc 3"/>
    <w:basedOn w:val="690"/>
    <w:uiPriority w:val="39"/>
    <w:unhideWhenUsed/>
    <w:pPr>
      <w:ind w:left="567"/>
      <w:spacing w:before="0" w:after="57"/>
    </w:pPr>
  </w:style>
  <w:style w:type="paragraph" w:styleId="798">
    <w:name w:val="toc 4"/>
    <w:basedOn w:val="690"/>
    <w:uiPriority w:val="39"/>
    <w:unhideWhenUsed/>
    <w:pPr>
      <w:ind w:left="850"/>
      <w:spacing w:before="0" w:after="57"/>
    </w:pPr>
  </w:style>
  <w:style w:type="paragraph" w:styleId="799">
    <w:name w:val="toc 5"/>
    <w:basedOn w:val="690"/>
    <w:uiPriority w:val="39"/>
    <w:unhideWhenUsed/>
    <w:pPr>
      <w:ind w:left="1134"/>
      <w:spacing w:before="0" w:after="57"/>
    </w:pPr>
  </w:style>
  <w:style w:type="paragraph" w:styleId="800">
    <w:name w:val="toc 6"/>
    <w:basedOn w:val="690"/>
    <w:uiPriority w:val="39"/>
    <w:unhideWhenUsed/>
    <w:pPr>
      <w:ind w:left="1417"/>
      <w:spacing w:before="0" w:after="57"/>
    </w:pPr>
  </w:style>
  <w:style w:type="paragraph" w:styleId="801">
    <w:name w:val="toc 7"/>
    <w:basedOn w:val="690"/>
    <w:uiPriority w:val="39"/>
    <w:unhideWhenUsed/>
    <w:pPr>
      <w:ind w:left="1701"/>
      <w:spacing w:before="0" w:after="57"/>
    </w:pPr>
  </w:style>
  <w:style w:type="paragraph" w:styleId="802">
    <w:name w:val="toc 8"/>
    <w:basedOn w:val="690"/>
    <w:uiPriority w:val="39"/>
    <w:unhideWhenUsed/>
    <w:pPr>
      <w:ind w:left="1984"/>
      <w:spacing w:before="0" w:after="57"/>
    </w:pPr>
  </w:style>
  <w:style w:type="paragraph" w:styleId="803">
    <w:name w:val="toc 9"/>
    <w:basedOn w:val="690"/>
    <w:uiPriority w:val="39"/>
    <w:unhideWhenUsed/>
    <w:pPr>
      <w:ind w:left="2268"/>
      <w:spacing w:before="0" w:after="57"/>
    </w:pPr>
  </w:style>
  <w:style w:type="paragraph" w:styleId="804">
    <w:name w:val="Index Heading"/>
    <w:basedOn w:val="782"/>
  </w:style>
  <w:style w:type="paragraph" w:styleId="80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6">
    <w:name w:val="table of figures"/>
    <w:basedOn w:val="690"/>
    <w:uiPriority w:val="99"/>
    <w:unhideWhenUsed/>
  </w:style>
  <w:style w:type="paragraph" w:styleId="807">
    <w:name w:val="index heading1"/>
    <w:basedOn w:val="690"/>
    <w:qFormat/>
    <w:pPr>
      <w:suppressLineNumbers/>
    </w:pPr>
    <w:rPr>
      <w:rFonts w:cs="Lohit Devanagari"/>
    </w:rPr>
  </w:style>
  <w:style w:type="paragraph" w:styleId="808" w:customStyle="1">
    <w:name w:val="Caption1"/>
    <w:basedOn w:val="690"/>
    <w:qFormat/>
    <w:pPr>
      <w:spacing w:before="120" w:after="120"/>
      <w:suppressLineNumbers/>
    </w:pPr>
    <w:rPr>
      <w:rFonts w:cs="Lohit Devanagari"/>
      <w:i/>
      <w:iCs/>
    </w:rPr>
  </w:style>
  <w:style w:type="paragraph" w:styleId="809">
    <w:name w:val="Plain Text"/>
    <w:basedOn w:val="690"/>
    <w:qFormat/>
    <w:rPr>
      <w:rFonts w:ascii="Courier New" w:hAnsi="Courier New" w:cs="Courier New"/>
      <w:sz w:val="20"/>
      <w:szCs w:val="20"/>
      <w:lang w:val="en-US"/>
    </w:rPr>
  </w:style>
  <w:style w:type="paragraph" w:styleId="810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11">
    <w:name w:val="Body Text 2"/>
    <w:basedOn w:val="690"/>
    <w:qFormat/>
    <w:pPr>
      <w:spacing w:before="0" w:after="120" w:line="480" w:lineRule="auto"/>
    </w:pPr>
  </w:style>
  <w:style w:type="paragraph" w:styleId="812">
    <w:name w:val="Body Text 3"/>
    <w:basedOn w:val="690"/>
    <w:qFormat/>
    <w:pPr>
      <w:spacing w:before="0" w:after="120"/>
    </w:pPr>
    <w:rPr>
      <w:sz w:val="16"/>
      <w:szCs w:val="16"/>
    </w:rPr>
  </w:style>
  <w:style w:type="paragraph" w:styleId="813" w:customStyle="1">
    <w:name w:val="Колонтитул"/>
    <w:basedOn w:val="69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14">
    <w:name w:val="Footer"/>
    <w:basedOn w:val="690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15">
    <w:name w:val="Balloon Text"/>
    <w:basedOn w:val="690"/>
    <w:qFormat/>
    <w:rPr>
      <w:rFonts w:ascii="Tahoma" w:hAnsi="Tahoma" w:cs="Tahoma"/>
      <w:sz w:val="16"/>
      <w:szCs w:val="16"/>
    </w:rPr>
  </w:style>
  <w:style w:type="paragraph" w:styleId="816" w:customStyle="1">
    <w:name w:val="Знак Знак Знак Знак Знак Знак Знак Знак Знак Знак Знак Знак"/>
    <w:basedOn w:val="690"/>
    <w:qFormat/>
    <w:rPr>
      <w:rFonts w:ascii="Verdana" w:hAnsi="Verdana" w:cs="Verdana"/>
      <w:sz w:val="20"/>
      <w:szCs w:val="20"/>
      <w:lang w:val="en-US"/>
    </w:rPr>
  </w:style>
  <w:style w:type="paragraph" w:styleId="817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18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19">
    <w:name w:val="Body Text Indent 3"/>
    <w:basedOn w:val="690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20">
    <w:name w:val="Normal (Web)"/>
    <w:basedOn w:val="690"/>
    <w:qFormat/>
    <w:pPr>
      <w:spacing w:before="280" w:after="280"/>
    </w:pPr>
  </w:style>
  <w:style w:type="paragraph" w:styleId="821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22" w:customStyle="1">
    <w:name w:val="Содержимое таблицы"/>
    <w:basedOn w:val="690"/>
    <w:qFormat/>
    <w:pPr>
      <w:widowControl w:val="off"/>
      <w:suppressLineNumbers/>
    </w:pPr>
  </w:style>
  <w:style w:type="paragraph" w:styleId="823" w:customStyle="1">
    <w:name w:val="Заголовок таблицы"/>
    <w:basedOn w:val="822"/>
    <w:qFormat/>
    <w:pPr>
      <w:jc w:val="center"/>
    </w:pPr>
    <w:rPr>
      <w:b/>
      <w:bCs/>
    </w:rPr>
  </w:style>
  <w:style w:type="paragraph" w:styleId="824">
    <w:name w:val="Times New Roman"/>
    <w:qFormat/>
    <w:pPr>
      <w:ind w:left="0" w:right="0" w:firstLine="31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25" w:default="1">
    <w:name w:val="No List"/>
    <w:uiPriority w:val="99"/>
    <w:semiHidden/>
    <w:unhideWhenUsed/>
    <w:qFormat/>
  </w:style>
  <w:style w:type="table" w:styleId="8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3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gorodperm.ru/" TargetMode="External"/><Relationship Id="rId20" Type="http://schemas.openxmlformats.org/officeDocument/2006/relationships/hyperlink" Target="http://www.torgi.gov.ru/" TargetMode="External"/><Relationship Id="rId21" Type="http://schemas.openxmlformats.org/officeDocument/2006/relationships/hyperlink" Target="http://www.gorodperm.ru/" TargetMode="External"/><Relationship Id="rId22" Type="http://schemas.openxmlformats.org/officeDocument/2006/relationships/hyperlink" Target="http://www.gorodperm.ru/" TargetMode="External"/><Relationship Id="rId23" Type="http://schemas.openxmlformats.org/officeDocument/2006/relationships/hyperlink" Target="http://www.torgi.gov.ru/" TargetMode="External"/><Relationship Id="rId24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253</cp:revision>
  <dcterms:created xsi:type="dcterms:W3CDTF">2023-10-30T09:15:00Z</dcterms:created>
  <dcterms:modified xsi:type="dcterms:W3CDTF">2025-06-27T06:51:15Z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