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03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4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30.06.2025 № 059-19-01-11-71</w:t>
      </w:r>
      <w:r>
        <w:rPr>
          <w:sz w:val="28"/>
          <w:szCs w:val="28"/>
        </w:rPr>
      </w:r>
    </w:p>
    <w:p>
      <w:pPr>
        <w:pStyle w:val="684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3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31.07.2025 электронного аукциона по продаже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03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земельного участка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0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84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Электронный аукцион по продаже земельного участка (далее – аукцион) проводится                      в соответствии со статьями 39.11,</w:t>
      </w:r>
      <w:r>
        <w:rPr>
          <w:shd w:val="clear" w:color="auto" w:fill="ffffff"/>
        </w:rPr>
        <w:t xml:space="preserve">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 от 20 ноября 2008 г. № 1089 «О комиссии по проведению аукционов по продаже земельных участков, находящихся в муниципальной собственности города Перми, </w:t>
        <w:br/>
        <w:t xml:space="preserve">и участков, собственность на которые 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</w:t>
      </w:r>
      <w:r>
        <w:rPr>
          <w:shd w:val="clear" w:color="auto" w:fill="ffffff"/>
        </w:rPr>
        <w:t xml:space="preserve">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  <w:br/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67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30.06.2025 № 059-19-01-11-71.</w:t>
      </w:r>
      <w:r>
        <w:rPr>
          <w:sz w:val="24"/>
          <w:szCs w:val="24"/>
        </w:rPr>
      </w:r>
    </w:p>
    <w:p>
      <w:pPr>
        <w:pStyle w:val="813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67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6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7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6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7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6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7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</w:t>
        <w:br/>
        <w:t xml:space="preserve">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</w:t>
        <w:br/>
        <w:t xml:space="preserve">в информационно-телекоммуникационной сети «Интернет» </w:t>
      </w:r>
      <w:hyperlink r:id="rId12" w:tooltip="http://www.gorodperm.ru/" w:history="1">
        <w:r>
          <w:rPr>
            <w:rStyle w:val="767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6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7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6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7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67"/>
            <w:sz w:val="24"/>
            <w:szCs w:val="24"/>
          </w:rPr>
          <w:t xml:space="preserve">http</w:t>
        </w:r>
        <w:r>
          <w:rPr>
            <w:rStyle w:val="767"/>
            <w:sz w:val="24"/>
            <w:szCs w:val="24"/>
            <w:lang w:val="ru-RU"/>
          </w:rPr>
          <w:t xml:space="preserve">://</w:t>
        </w:r>
        <w:r>
          <w:rPr>
            <w:rStyle w:val="767"/>
            <w:sz w:val="24"/>
            <w:szCs w:val="24"/>
          </w:rPr>
          <w:t xml:space="preserve">utp</w:t>
        </w:r>
        <w:r>
          <w:rPr>
            <w:rStyle w:val="767"/>
            <w:sz w:val="24"/>
            <w:szCs w:val="24"/>
            <w:lang w:val="ru-RU"/>
          </w:rPr>
          <w:t xml:space="preserve">.</w:t>
        </w:r>
        <w:r>
          <w:rPr>
            <w:rStyle w:val="767"/>
            <w:sz w:val="24"/>
            <w:szCs w:val="24"/>
          </w:rPr>
          <w:t xml:space="preserve">sberbank</w:t>
        </w:r>
        <w:r>
          <w:rPr>
            <w:rStyle w:val="767"/>
            <w:sz w:val="24"/>
            <w:szCs w:val="24"/>
            <w:lang w:val="ru-RU"/>
          </w:rPr>
          <w:t xml:space="preserve">-</w:t>
        </w:r>
        <w:r>
          <w:rPr>
            <w:rStyle w:val="767"/>
            <w:sz w:val="24"/>
            <w:szCs w:val="24"/>
          </w:rPr>
          <w:t xml:space="preserve">ast</w:t>
        </w:r>
        <w:r>
          <w:rPr>
            <w:rStyle w:val="767"/>
            <w:sz w:val="24"/>
            <w:szCs w:val="24"/>
            <w:lang w:val="ru-RU"/>
          </w:rPr>
          <w:t xml:space="preserve">.</w:t>
        </w:r>
        <w:r>
          <w:rPr>
            <w:rStyle w:val="767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84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67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67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67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67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684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 xml:space="preserve"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67"/>
          <w:bCs/>
          <w:sz w:val="24"/>
          <w:szCs w:val="24"/>
          <w:lang w:val="en-US"/>
        </w:rPr>
        <w:t xml:space="preserve">dzo</w:t>
      </w:r>
      <w:r>
        <w:rPr>
          <w:rStyle w:val="767"/>
          <w:bCs/>
          <w:sz w:val="24"/>
          <w:szCs w:val="24"/>
        </w:rPr>
        <w:t xml:space="preserve">@</w:t>
      </w:r>
      <w:r>
        <w:rPr>
          <w:rStyle w:val="767"/>
          <w:bCs/>
          <w:sz w:val="24"/>
          <w:szCs w:val="24"/>
          <w:lang w:val="en-US"/>
        </w:rPr>
        <w:t xml:space="preserve">perm</w:t>
      </w:r>
      <w:r>
        <w:rPr>
          <w:rStyle w:val="767"/>
          <w:bCs/>
          <w:sz w:val="24"/>
          <w:szCs w:val="24"/>
        </w:rPr>
        <w:t xml:space="preserve">.</w:t>
      </w:r>
      <w:r>
        <w:rPr>
          <w:rStyle w:val="767"/>
          <w:bCs/>
          <w:sz w:val="24"/>
          <w:szCs w:val="24"/>
          <w:lang w:val="en-US"/>
        </w:rPr>
        <w:t xml:space="preserve">permkrai</w:t>
      </w:r>
      <w:r>
        <w:rPr>
          <w:rStyle w:val="767"/>
          <w:bCs/>
          <w:sz w:val="24"/>
          <w:szCs w:val="24"/>
        </w:rPr>
        <w:t xml:space="preserve">.</w:t>
      </w:r>
      <w:r>
        <w:rPr>
          <w:rStyle w:val="767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684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84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3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84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84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1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265"/>
        <w:gridCol w:w="686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 xml:space="preserve">от 01 апреля 2025 г. № 21-01-03-2770 «О проведении аукциона по продаже земельного участка  в Ленинском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-283" w:hanging="340"/>
              <w:jc w:val="both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местоположение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улица Конечная, з/у 1д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-283" w:hanging="340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площадь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746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-283" w:hanging="340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кадастровый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right="-263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 xml:space="preserve">59:01:3210373:270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rFonts w:eastAsia="TimesNewRomanPSMT"/>
                <w:color w:val="auto"/>
                <w:sz w:val="24"/>
                <w:szCs w:val="24"/>
                <w:highlight w:val="none"/>
              </w:rPr>
              <w:t xml:space="preserve">24.06</w:t>
            </w:r>
            <w:r>
              <w:rPr>
                <w:rFonts w:eastAsia="TimesNewRomanPSMT"/>
                <w:color w:val="auto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eastAsia="TimesNewRomanPSMT"/>
                <w:color w:val="auto"/>
                <w:sz w:val="24"/>
                <w:szCs w:val="24"/>
                <w:highlight w:val="yellow"/>
              </w:rPr>
              <w:t xml:space="preserve"> </w:t>
              <w:br/>
            </w:r>
            <w:r>
              <w:rPr>
                <w:rFonts w:eastAsia="TimesNewRomanPSMT"/>
                <w:color w:val="auto"/>
                <w:sz w:val="24"/>
                <w:szCs w:val="24"/>
                <w:highlight w:val="white"/>
              </w:rPr>
              <w:t xml:space="preserve">№ </w:t>
            </w:r>
            <w:r>
              <w:rPr>
                <w:rFonts w:eastAsia="TimesNewRomanPSMT"/>
                <w:color w:val="auto"/>
                <w:sz w:val="24"/>
                <w:szCs w:val="24"/>
                <w:highlight w:val="white"/>
              </w:rPr>
              <w:t xml:space="preserve">КУВИ-001/2025-128305778</w:t>
            </w:r>
            <w:r>
              <w:rPr>
                <w:sz w:val="24"/>
                <w:szCs w:val="24"/>
              </w:rPr>
              <w:t xml:space="preserve"> (далее -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8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28.01.2025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№</w:t>
            </w:r>
            <w:r>
              <w:rPr>
                <w:rFonts w:ascii="Times New Roman" w:hAnsi="Times New Roman"/>
                <w:sz w:val="24"/>
              </w:rPr>
              <w:t xml:space="preserve"> РФ-59-2-03-0-00-2025-0123</w:t>
            </w:r>
            <w:r>
              <w:rPr>
                <w:rFonts w:ascii="Times New Roman" w:hAnsi="Times New Roman"/>
                <w:sz w:val="24"/>
              </w:rPr>
              <w:t xml:space="preserve">-0</w:t>
            </w:r>
            <w:r>
              <w:rPr>
                <w:sz w:val="24"/>
                <w:szCs w:val="24"/>
              </w:rPr>
              <w:t xml:space="preserve">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77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Участка объекты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отсутствуют.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данным геодезической съемки, выполненной в 2024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Участке объ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отсутствуют, Участок заболочен.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копии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планшета М 1:500 (требующего корректуры)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Участок частично с западной стороны огражден забором, с северной части в границах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 забор.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данным дистанционного зондирования территории, информационного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геопортала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«НСПД» выявлено, что доступ </w:t>
              <w:br/>
              <w:t xml:space="preserve">к Участку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земельный участок </w:t>
              <w:br/>
              <w:t xml:space="preserve">с кадастровым номером 59:01:3210373:277 с видом разрешенного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«Земельные участки (территории) общего пользования».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Свободный доступ на земельный участок отсутствует </w:t>
              <w:br/>
              <w:t xml:space="preserve">в связи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ограждениями соседних земельных участков.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лижайший источник противопожарного </w:t>
              <w:br/>
              <w:t xml:space="preserve">водоснабжения – водопроводные сети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пожарным гидрантом расположены по адресу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Лабинская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 xml:space="preserve">администрации Ленинского района города Перми</w:t>
            </w:r>
            <w:r>
              <w:rPr>
                <w:sz w:val="24"/>
                <w:szCs w:val="24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-01-16/3-14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градостроительным условиям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24.06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635880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 расположен в границах зон с особыми условиями использования территории: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Приаэродромной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аэ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родрома аэропорта Большое Савино, реестровый номер границы </w:t>
              <w:br/>
              <w:t xml:space="preserve">59:32-6.553.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вести </w:t>
              <w:br/>
              <w:t xml:space="preserve">в соответствии с постановлением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«Об утверждении Федеральных правил использования воздушного пространства Российской Федерации»;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зоны с особыми условиями использования территории: Иная зона с особыми условиями использования территории «Зона затопления территорий, прилегающих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зарегулированной р. Кама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Воткинскому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водохранилищу)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нижнем бьефе Камского гидроузла в г. Перми Пермского края, затапливаемых при пропуске Камским гидроузлом паводков расчетной обеспеченности 1%», реестровый номер границы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59:00-6.2017.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вести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приказом Камского бассейнового водного управления Федерального агентства водных ресурсов </w:t>
              <w:br/>
              <w:t xml:space="preserve">от 21.11.2022 № 239 «Об установлении границ зон затопления </w:t>
              <w:br/>
              <w:t xml:space="preserve">на территориях, прилегающих к зарегулированной </w:t>
              <w:br/>
              <w:t xml:space="preserve">р. Кама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Воткинскому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водохранилищу) в нижнем бьефе Камского гидроузла в г. Перми Пермского края, затапливаемых при пропуске Камским гидроузлом паводков расчетной обеспеченности 1%»;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 использования объектов недвижимости в соответствии с частью 3 статьи 67.1 Водного кодекса Российской Федерации;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Участке произрастают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ерева породы – береза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клен 7 шт., тополь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сносимых зеленых насаждений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ценах 2024 года: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одного лиственного дерева от 25 тыс. руб.,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хвойной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от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bCs/>
                <w:sz w:val="24"/>
                <w:szCs w:val="24"/>
              </w:rPr>
              <w:t xml:space="preserve">у</w:t>
            </w:r>
            <w:r>
              <w:rPr>
                <w:b/>
                <w:sz w:val="24"/>
                <w:szCs w:val="24"/>
              </w:rPr>
              <w:t xml:space="preserve">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2025-2029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строительству, реконструкции, капитальному ремонту улично-дорожной сети на рассматриваемой территории </w:t>
              <w:br/>
              <w:t xml:space="preserve">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Доступ к Земельному участку возможен только через земельный участок с кадастровым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омером 59:01:3210373:277 с видом разрешенного использования «Земельные участки (территории) общего пользования». Мероприятия по строительству улично-дорожной сети </w:t>
              <w:br/>
              <w:t xml:space="preserve">в границах земельного участка 59:01:3210373:277 бюджетом города Перми также не предусмотрены</w:t>
            </w:r>
            <w:r>
              <w:rPr>
                <w:b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соблюдении Правил благоустройства территории города Перми, утвержденных решением Пермской городской Думы от 15.12.2020 № 277,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строительстве объектов недвижимости на земельны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х учас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тках, предоставленных на торгах.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</w:t>
              <w:br/>
              <w:t xml:space="preserve">от 08.11.2007 № 257, расходы на строительства, реконструкцию, капитальный ремонт, ремонт пересечений и примыканий, в том числе расходы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выполнение дополнительных работ связа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 xml:space="preserve">в интересах которых осуществляется строительство, реконструкция, капитальный ремонт, ремонт пересечений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примыканий.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-01-36/3-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7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Ближайшее подразделение пожарной охраны расположено </w:t>
            </w:r>
            <w:r>
              <w:rPr>
                <w:sz w:val="24"/>
                <w:lang w:val="ru-RU" w:eastAsia="ru-RU"/>
              </w:rPr>
              <w:t xml:space="preserve">по адресу: ул. Екатерининская, 53</w:t>
            </w:r>
            <w:r>
              <w:rPr>
                <w:sz w:val="24"/>
                <w:lang w:val="ru-RU" w:eastAsia="ru-RU"/>
              </w:rPr>
              <w:t xml:space="preserve"> А</w:t>
            </w:r>
            <w:r>
              <w:rPr>
                <w:sz w:val="24"/>
                <w:lang w:val="ru-RU" w:eastAsia="ru-RU"/>
              </w:rPr>
              <w:t xml:space="preserve"> (ПСЧ-110 10-ПСО).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7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Ближайший источник противопожарного водоснабжения (пожарный водоем) на указанной территории расположен </w:t>
              <w:br/>
            </w:r>
            <w:r>
              <w:rPr>
                <w:sz w:val="24"/>
                <w:lang w:val="ru-RU" w:eastAsia="ru-RU"/>
              </w:rPr>
              <w:t xml:space="preserve">по адресу: ул. Борцов Революции, 2а в радиусе 200 метров.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7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pacing w:val="-2"/>
                <w:sz w:val="24"/>
                <w:lang w:val="ru-RU" w:eastAsia="ru-RU"/>
              </w:rPr>
              <w:t xml:space="preserve">Помещения для аварийно-спасательных служб </w:t>
              <w:br/>
              <w:t xml:space="preserve">и (или) аварийно-</w:t>
            </w:r>
            <w:r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 xml:space="preserve">спасательных формирований </w:t>
              <w:br/>
              <w:t xml:space="preserve">на указанной территории отсутствуют.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7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 xml:space="preserve">в данном микрорайоне (Камская Долина) отсутствуют. Ближайший участковый пункт расположен по адресу: </w:t>
              <w:br/>
              <w:t xml:space="preserve">г. Пермь, ул. Профессора </w:t>
            </w:r>
            <w:r>
              <w:rPr>
                <w:sz w:val="24"/>
                <w:lang w:val="ru-RU" w:eastAsia="ru-RU"/>
              </w:rPr>
              <w:t xml:space="preserve">Дедюкина</w:t>
            </w:r>
            <w:r>
              <w:rPr>
                <w:sz w:val="24"/>
                <w:lang w:val="ru-RU" w:eastAsia="ru-RU"/>
              </w:rPr>
              <w:t xml:space="preserve">, 7, (микрорайон Академический городок, Ленинского района). </w:t>
            </w:r>
            <w:r>
              <w:rPr>
                <w:sz w:val="24"/>
                <w:lang w:val="ru-RU" w:eastAsia="ru-RU"/>
              </w:rPr>
              <w:br/>
            </w:r>
            <w:r>
              <w:rPr>
                <w:sz w:val="24"/>
                <w:lang w:val="ru-RU" w:eastAsia="ru-RU"/>
              </w:rPr>
              <w:t xml:space="preserve">В настоящее время в указанном микрорайоне строительство (приобретение) участковых пунктов полиции не планируется.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7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По информации, предоставленной Министерством территориальной безопасности Пермского края (письмо </w:t>
            </w:r>
            <w:r>
              <w:rPr>
                <w:sz w:val="24"/>
                <w:lang w:val="ru-RU" w:eastAsia="ru-RU"/>
              </w:rPr>
              <w:br/>
            </w:r>
            <w:r>
              <w:rPr>
                <w:sz w:val="24"/>
                <w:lang w:val="ru-RU" w:eastAsia="ru-RU"/>
              </w:rPr>
              <w:t xml:space="preserve">от 07.10.2020 № 964с), рассматриваемая территория попадает </w:t>
              <w:br/>
            </w:r>
            <w:r>
              <w:rPr>
                <w:sz w:val="24"/>
                <w:lang w:val="ru-RU" w:eastAsia="ru-RU"/>
              </w:rPr>
              <w:t xml:space="preserve">в зону возможного химического заражения </w:t>
              <w:br/>
              <w:t xml:space="preserve">в особый период.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указанной территории оконечные 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оповещения населения города Перми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отсутствуют. Для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покрытия запланированной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системой оповещения населения необходимо предусматривать размещение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-речевых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пунктам 6.38, 6.39 </w:t>
              <w:br/>
              <w:t xml:space="preserve">СП 165.1325800.2014 «Свод правил. Инженерно-технические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гражданской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обороне.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Актуализированная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редакция СНиП 2.01.51-90».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(Аналогичная информация отражена в письме  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департамента общественной безопасности администрации города Перми</w:t>
            </w:r>
            <w:r>
              <w:rPr>
                <w:sz w:val="24"/>
                <w:szCs w:val="24"/>
                <w:lang w:val="ru-RU" w:eastAsia="ru-RU"/>
              </w:rPr>
              <w:t xml:space="preserve"> от 16.01.2025 № 059-10-01-27/3-101).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67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4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необходимо вести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4.5 СП 55.13330.2016 </w:t>
              <w:br/>
              <w:t xml:space="preserve">Свода Правил. Дома жилые одноквартирные. </w:t>
              <w:br/>
              <w:t xml:space="preserve">СНиП 31-02-2001,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введенным </w:t>
              <w:br/>
              <w:t xml:space="preserve">в действие Приказом Министерства строительства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жилищно-коммунального хозяйства Российской Федерации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20.10.2016 № 725/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17.05.2023)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вспомогательные помещения: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переднюю, кухню (в том числе кухню-столовую </w:t>
              <w:br/>
              <w:t xml:space="preserve">и (или) кухню-нишу), ванные комнаты и (или) душевые, туалет (у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борную)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 быть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менее: общей комнаты 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общей комнаты в доме 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спальни и кухни в мансардном этаже (или этаже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конструкциями) допускается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6.2 СП 55.13330.2016 высота </w:t>
              <w:br/>
              <w:t xml:space="preserve">(от пола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потолка) комнат и кухни (кухни-столовой)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2,1 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высота пути эвакуации -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жилых комнатах и кухнях, расположенных </w:t>
              <w:br/>
              <w:t xml:space="preserve">в этажах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 </w:t>
              <w:br/>
              <w:t xml:space="preserve">или в мансардном этаже, допускается уменьшение высоты помещений (от пола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потолка), относительно нормируемой на площади,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информации, содержащейся в </w:t>
            </w:r>
            <w:r>
              <w:rPr>
                <w:rFonts w:ascii="Times New Roman" w:hAnsi="Times New Roman"/>
                <w:sz w:val="24"/>
              </w:rPr>
              <w:t xml:space="preserve">ГПЗУ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28.01.2025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№</w:t>
            </w:r>
            <w:r>
              <w:rPr>
                <w:rFonts w:ascii="Times New Roman" w:hAnsi="Times New Roman"/>
                <w:sz w:val="24"/>
              </w:rPr>
              <w:t xml:space="preserve"> РФ-59-2-03-0-00-2025-0123</w:t>
            </w:r>
            <w:r>
              <w:rPr>
                <w:rFonts w:ascii="Times New Roman" w:hAnsi="Times New Roman"/>
                <w:sz w:val="24"/>
              </w:rPr>
              <w:t xml:space="preserve">-0</w:t>
            </w:r>
            <w:r>
              <w:rPr>
                <w:rFonts w:ascii="Times New Roman" w:hAnsi="Times New Roman"/>
                <w:sz w:val="24"/>
              </w:rPr>
              <w:t xml:space="preserve">, пред</w:t>
            </w:r>
            <w:r>
              <w:rPr>
                <w:rFonts w:ascii="Times New Roman" w:hAnsi="Times New Roman"/>
                <w:sz w:val="24"/>
              </w:rPr>
              <w:t xml:space="preserve">ельная высота зданий, строений </w:t>
            </w:r>
            <w:r>
              <w:rPr>
                <w:rFonts w:ascii="Times New Roman" w:hAnsi="Times New Roman"/>
                <w:sz w:val="24"/>
              </w:rPr>
              <w:t xml:space="preserve">не более 10,5 м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Минимальный отступ от границ Участка </w:t>
            </w:r>
            <w:r>
              <w:rPr>
                <w:rFonts w:ascii="Times New Roman" w:hAnsi="Times New Roman"/>
                <w:sz w:val="24"/>
              </w:rPr>
              <w:t xml:space="preserve">до места</w:t>
            </w:r>
            <w:r>
              <w:rPr>
                <w:rFonts w:ascii="Times New Roman" w:hAnsi="Times New Roman"/>
                <w:sz w:val="24"/>
              </w:rPr>
              <w:t xml:space="preserve"> допустим</w:t>
            </w:r>
            <w:r>
              <w:rPr>
                <w:rFonts w:ascii="Times New Roman" w:hAnsi="Times New Roman"/>
                <w:sz w:val="24"/>
              </w:rPr>
              <w:t xml:space="preserve">ого размещения зданий, строений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</w:t>
            </w:r>
            <w:r>
              <w:rPr>
                <w:rFonts w:ascii="Times New Roman" w:hAnsi="Times New Roman"/>
                <w:sz w:val="24"/>
              </w:rPr>
              <w:t xml:space="preserve"> 3 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</w:t>
              <w:br/>
              <w:t xml:space="preserve">над территорией общего пользования, составляет не более 1,2 м от красной линии. </w:t>
            </w:r>
            <w:r>
              <w:rPr>
                <w:rFonts w:ascii="Times New Roman" w:hAnsi="Times New Roman"/>
                <w:sz w:val="24"/>
              </w:rPr>
              <w:t xml:space="preserve">В случаях, когда линия регулирования застройки отличается </w:t>
            </w:r>
            <w:r>
              <w:rPr>
                <w:rFonts w:ascii="Times New Roman" w:hAnsi="Times New Roman"/>
                <w:sz w:val="24"/>
              </w:rPr>
              <w:t xml:space="preserve">от красной линии, указанный выступ может быть произведен </w:t>
            </w:r>
            <w:r>
              <w:rPr>
                <w:rFonts w:ascii="Times New Roman" w:hAnsi="Times New Roman"/>
                <w:sz w:val="24"/>
              </w:rPr>
              <w:t xml:space="preserve">за линию регулирования застройки.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Максимальный процент застройки в границах Участка – 30%.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numPr>
                <w:ilvl w:val="0"/>
                <w:numId w:val="2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9" w:tooltip="http://www.gorodperm.ru/" w:history="1">
              <w:r>
                <w:rPr>
                  <w:rStyle w:val="767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технологического присоединения </w:t>
            </w:r>
            <w:r>
              <w:rPr>
                <w:rFonts w:ascii="Times New Roman" w:hAnsi="Times New Roman"/>
                <w:sz w:val="24"/>
              </w:rPr>
              <w:t xml:space="preserve">энергопринимающего</w:t>
            </w:r>
            <w:r>
              <w:rPr>
                <w:rFonts w:ascii="Times New Roman" w:hAnsi="Times New Roman"/>
                <w:sz w:val="24"/>
              </w:rPr>
              <w:t xml:space="preserve"> устройства объекта </w:t>
              <w:br/>
              <w:t xml:space="preserve">с предполагаемым </w:t>
            </w:r>
            <w:r>
              <w:rPr>
                <w:rFonts w:ascii="Times New Roman" w:hAnsi="Times New Roman"/>
                <w:sz w:val="24"/>
              </w:rPr>
              <w:t xml:space="preserve">электоропотреблением</w:t>
            </w:r>
            <w:r>
              <w:rPr>
                <w:rFonts w:ascii="Times New Roman" w:hAnsi="Times New Roman"/>
                <w:sz w:val="24"/>
              </w:rPr>
              <w:t xml:space="preserve">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«Правилами технологического присоединения </w:t>
            </w:r>
            <w:r>
              <w:rPr>
                <w:rFonts w:ascii="Times New Roman" w:hAnsi="Times New Roman"/>
                <w:sz w:val="24"/>
              </w:rPr>
              <w:t xml:space="preserve">энергопринимающих</w:t>
            </w:r>
            <w:r>
              <w:rPr>
                <w:rFonts w:ascii="Times New Roman" w:hAnsi="Times New Roman"/>
                <w:sz w:val="24"/>
              </w:rPr>
              <w:t xml:space="preserve">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</w:t>
            </w:r>
            <w:r>
              <w:rPr>
                <w:rFonts w:ascii="Times New Roman" w:hAnsi="Times New Roman"/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 xml:space="preserve">в составе договора о технологическом присоединении.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Электроснабжение </w:t>
            </w:r>
            <w:r>
              <w:rPr>
                <w:rFonts w:ascii="Times New Roman" w:hAnsi="Times New Roman"/>
                <w:sz w:val="24"/>
              </w:rPr>
              <w:t xml:space="preserve">объекта</w:t>
            </w:r>
            <w:r>
              <w:rPr>
                <w:rFonts w:ascii="Times New Roman" w:hAnsi="Times New Roman"/>
                <w:sz w:val="24"/>
              </w:rPr>
              <w:t xml:space="preserve"> возможно будет осуществить </w:t>
            </w:r>
            <w:r>
              <w:rPr>
                <w:rFonts w:ascii="Times New Roman" w:hAnsi="Times New Roman"/>
                <w:sz w:val="24"/>
              </w:rPr>
              <w:t xml:space="preserve">при условии строительства питающей линии электропередачи </w:t>
            </w:r>
            <w:r>
              <w:rPr>
                <w:rFonts w:ascii="Times New Roman" w:hAnsi="Times New Roman"/>
                <w:sz w:val="24"/>
              </w:rPr>
              <w:t xml:space="preserve">0,4 </w:t>
            </w:r>
            <w:r>
              <w:rPr>
                <w:rFonts w:ascii="Times New Roman" w:hAnsi="Times New Roman"/>
                <w:sz w:val="24"/>
              </w:rPr>
              <w:t xml:space="preserve">кВ</w:t>
            </w:r>
            <w:r>
              <w:rPr>
                <w:rFonts w:ascii="Times New Roman" w:hAnsi="Times New Roman"/>
                <w:sz w:val="24"/>
              </w:rPr>
              <w:t xml:space="preserve"> на основании договора об осуществлении технологического присоединения объекта к электрическим сетям филиала «Пермэнерго».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Подать заявку на технологическое присоединение возможно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через единый федеральный портал электросетевых услуг группы компаний «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Россети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» на сайте: </w:t>
            </w:r>
            <w:hyperlink r:id="rId20" w:tooltip="https://портал-тп.рф" w:history="1">
              <w:r>
                <w:rPr>
                  <w:rStyle w:val="767"/>
                  <w:rFonts w:ascii="Times New Roman" w:hAnsi="Times New Roman"/>
                  <w:sz w:val="24"/>
                  <w:szCs w:val="20"/>
                  <w:lang w:val="en-US"/>
                </w:rPr>
                <w:t xml:space="preserve">https</w:t>
              </w:r>
              <w:r>
                <w:rPr>
                  <w:rStyle w:val="767"/>
                  <w:rFonts w:ascii="Times New Roman" w:hAnsi="Times New Roman"/>
                  <w:sz w:val="24"/>
                  <w:szCs w:val="20"/>
                </w:rPr>
                <w:t xml:space="preserve">://портал-</w:t>
              </w:r>
              <w:r>
                <w:rPr>
                  <w:rStyle w:val="767"/>
                  <w:rFonts w:ascii="Times New Roman" w:hAnsi="Times New Roman"/>
                  <w:sz w:val="24"/>
                  <w:szCs w:val="20"/>
                </w:rPr>
                <w:t xml:space="preserve">тп.рф</w:t>
              </w:r>
            </w:hyperlink>
            <w:r>
              <w:rPr>
                <w:rFonts w:ascii="Times New Roman" w:hAnsi="Times New Roman"/>
                <w:sz w:val="24"/>
                <w:szCs w:val="20"/>
              </w:rPr>
              <w:t xml:space="preserve"> или через Мобильное приложение ПАО «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Россети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0"/>
              </w:rPr>
            </w:r>
            <w:r>
              <w:rPr>
                <w:rFonts w:ascii="Times New Roman" w:hAnsi="Times New Roman"/>
                <w:sz w:val="24"/>
                <w:szCs w:val="20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 xml:space="preserve">ф</w:t>
            </w:r>
            <w:r>
              <w:rPr>
                <w:b/>
                <w:sz w:val="24"/>
                <w:szCs w:val="24"/>
              </w:rPr>
              <w:t xml:space="preserve">илиала ПАО «Россети Урал» - «Пермэнерго»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28.01.2025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  <w:t xml:space="preserve">№ ПЭ/</w:t>
            </w:r>
            <w:r>
              <w:rPr>
                <w:rFonts w:ascii="Times New Roman" w:hAnsi="Times New Roman"/>
                <w:sz w:val="24"/>
              </w:rPr>
              <w:t xml:space="preserve">ПГЭС/01/22/832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/час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АО «Газпром газораспределение Пермь»</w:t>
            </w:r>
            <w:r>
              <w:rPr>
                <w:sz w:val="24"/>
                <w:szCs w:val="24"/>
              </w:rPr>
              <w:t xml:space="preserve"> от 21.01.2025 № ПФ-261).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наличии технической возможности подключения объе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кта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планируемой величиной подключаемой нагрузки по водоснабжению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водоотведению – 1,0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централизованным системам водоснабжения и водоотведения,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предоставлении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информации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наличии сетей водопровода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канализации</w:t>
            </w:r>
            <w:r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границах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указанного земельного участка, с указанием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охранной зоны, сообщается следующее.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частка отсутствуют сети водопровода </w:t>
              <w:br/>
              <w:t xml:space="preserve">и канализации, эксплуатируемые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Альтернативным методом снабжения водой вышеуказанного объекта может быть скважина, отвод канализационных стоков возможен на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окальные очистные сооружения либо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выгребную яму с последующие вывозом стоков спец. Машинами, при этом состав стоков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сведения сообщается, что в связи с тем, </w:t>
              <w:br/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«НОВОГОР-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эксплуатирует только централизованные системы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оснабжения и водоотведения, </w:t>
              <w:br/>
              <w:t xml:space="preserve">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предлагается обратиться </w:t>
              <w:br/>
              <w:t xml:space="preserve">в соответствующие организации, регулирующие недропользование.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0605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ПАО               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 xml:space="preserve">Филиала «Пермский ПАО «Т Плюс»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22.01.2025 № 51000-32-00131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возможность подключения к сетям теплоснабжения отсутствует. Рекомендовано рассмотреть альтернативный источник теплоснабжения – газ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пеллеты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15.01.2024 059-04-25/3-8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sz w:val="24"/>
                <w:szCs w:val="24"/>
              </w:rPr>
              <w:t xml:space="preserve"> 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Технологическое присоединение к сетям связи ПАО «Ростелеком» планируемых к строительству объектов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границах Участка может быть произведено в точке подключения узел ВОЛС (г. Пермь, ул. Попова, 17), максимальную нагрузку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точке подключения (технологического присоединения) определить </w:t>
              <w:br/>
              <w:t xml:space="preserve">на стадии проектирования.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Участка сети ПАО «Ростелеком»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подключения (технологического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технических условий подключения или заявки о заключении договора </w:t>
              <w:br/>
              <w:t xml:space="preserve">о подключении в порядке, определенном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</w:rPr>
              <w:t xml:space="preserve">ПАО «Ростелеком»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21.01.2025 от 01/05/7817/25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территории, где расположен Участок,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муниципальной программы Развитие системы жилищно-коммунального хозяйства в г. Перми», утвержденной постановлением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Перми от 20.10.2021 № 924, реализовано мероприятие «Строительство сетей водоснабжения по ул. Борцов Революции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Средняя Курья Ленинского района г. Перми».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сетей водоотведения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схемами водоснабжения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водоотведения города Перми, утвержденными постановлением администрации города Перми от 28.12.2018 № 1085, на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2028 года </w:t>
              <w:br/>
              <w:t xml:space="preserve">не предусмотрено.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059-04-17/3-44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4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4"/>
              <w:ind w:left="0" w:right="0"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84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в форме аукциона, для строительства (Приложение 2 к настоящему извещению),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84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с которым договор заключается в соответствии с п.13, п.14, п. 20 или п. 25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4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договоров).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3 781 000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189 050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1 890 500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84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4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4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1" w:name="_GoBack"/>
      <w:r/>
      <w:bookmarkEnd w:id="1"/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4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4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01.07.2025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29.07.2025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30.07.2025.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31.07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4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84"/>
        <w:jc w:val="both"/>
        <w:widowControl w:val="off"/>
      </w:pPr>
      <w:r/>
      <w:r/>
    </w:p>
    <w:p>
      <w:pPr>
        <w:pStyle w:val="684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684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84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84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84"/>
        <w:ind w:left="-567" w:firstLine="709"/>
        <w:jc w:val="both"/>
        <w:widowControl w:val="off"/>
      </w:pPr>
      <w:r/>
      <w:r/>
    </w:p>
    <w:p>
      <w:pPr>
        <w:pStyle w:val="684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4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4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1" w:tooltip="http://utp.sberbank-ast.ru/AP/Notice/653/Requisites" w:history="1">
        <w:r>
          <w:rPr>
            <w:rStyle w:val="767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4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4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4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84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4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4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684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01.07.2025 по 29.07.2025.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4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4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  <w:r>
        <w:rPr>
          <w:lang w:bidi="ru-RU"/>
        </w:rPr>
      </w:r>
      <w:r>
        <w:rPr>
          <w:lang w:bidi="ru-RU"/>
        </w:rPr>
      </w:r>
    </w:p>
    <w:p>
      <w:pPr>
        <w:pStyle w:val="684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</w:t>
      </w:r>
      <w:r>
        <w:rPr>
          <w:bCs/>
          <w:shd w:val="clear" w:color="auto" w:fill="auto"/>
          <w:lang w:bidi="ru-RU"/>
        </w:rPr>
        <w:t xml:space="preserve">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4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77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77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84"/>
        <w:jc w:val="center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01.07.2025 по 29.07.2025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14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1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1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4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84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7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</w:t>
      </w:r>
      <w:r>
        <w:rPr>
          <w:rFonts w:eastAsia="Calibri"/>
          <w:shd w:val="clear" w:color="auto" w:fill="auto"/>
        </w:rPr>
        <w:t xml:space="preserve">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 xml:space="preserve">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</w:t>
      </w:r>
      <w:r>
        <w:rPr>
          <w:bCs/>
          <w:shd w:val="clear" w:color="auto" w:fill="auto"/>
        </w:rPr>
        <w:t xml:space="preserve">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</w:t>
      </w:r>
      <w:r>
        <w:rPr>
          <w:bCs/>
          <w:shd w:val="clear" w:color="auto" w:fill="auto"/>
        </w:rPr>
        <w:t xml:space="preserve">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</w:t>
      </w:r>
      <w:r>
        <w:rPr>
          <w:bCs/>
          <w:shd w:val="clear" w:color="auto" w:fill="auto"/>
        </w:rPr>
        <w:t xml:space="preserve">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</w:t>
      </w:r>
      <w:r>
        <w:rPr>
          <w:bCs/>
          <w:shd w:val="clear" w:color="auto" w:fill="auto"/>
        </w:rPr>
        <w:t xml:space="preserve">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 договора является частью извещения и представлен в Приложении 2 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</w:t>
      </w:r>
      <w:r>
        <w:rPr>
          <w:bCs/>
          <w:shd w:val="clear" w:color="auto" w:fill="auto"/>
        </w:rPr>
        <w:t xml:space="preserve">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0"/>
          <w:bCs/>
          <w:shd w:val="clear" w:color="auto" w:fill="auto"/>
        </w:rPr>
        <w:t xml:space="preserve">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4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купли-продажи, являющегося предметом а</w:t>
      </w:r>
      <w:r>
        <w:rPr>
          <w:rFonts w:eastAsia="Courier New"/>
          <w:shd w:val="clear" w:color="auto" w:fill="auto"/>
          <w:lang w:bidi="ru-RU"/>
        </w:rPr>
        <w:t xml:space="preserve">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TimesNewRomanPSMT">
    <w:panose1 w:val="020206030504050203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15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9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85">
    <w:name w:val="Heading 1"/>
    <w:basedOn w:val="684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86">
    <w:name w:val="Heading 2"/>
    <w:basedOn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0">
    <w:name w:val="Heading 6"/>
    <w:basedOn w:val="684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91">
    <w:name w:val="Heading 7"/>
    <w:basedOn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1 Char"/>
    <w:basedOn w:val="711"/>
    <w:uiPriority w:val="9"/>
    <w:qFormat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11"/>
    <w:uiPriority w:val="9"/>
    <w:qFormat/>
    <w:rPr>
      <w:rFonts w:ascii="Arial" w:hAnsi="Arial" w:eastAsia="Arial" w:cs="Arial"/>
      <w:sz w:val="34"/>
    </w:rPr>
  </w:style>
  <w:style w:type="character" w:styleId="696">
    <w:name w:val="Heading 3 Char"/>
    <w:basedOn w:val="711"/>
    <w:uiPriority w:val="9"/>
    <w:qFormat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1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1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11"/>
    <w:uiPriority w:val="10"/>
    <w:qFormat/>
    <w:rPr>
      <w:sz w:val="48"/>
      <w:szCs w:val="48"/>
    </w:rPr>
  </w:style>
  <w:style w:type="character" w:styleId="704">
    <w:name w:val="Subtitle Char"/>
    <w:basedOn w:val="711"/>
    <w:uiPriority w:val="11"/>
    <w:qFormat/>
    <w:rPr>
      <w:sz w:val="24"/>
      <w:szCs w:val="24"/>
    </w:rPr>
  </w:style>
  <w:style w:type="character" w:styleId="705">
    <w:name w:val="Quote Char"/>
    <w:uiPriority w:val="29"/>
    <w:qFormat/>
    <w:rPr>
      <w:i/>
    </w:rPr>
  </w:style>
  <w:style w:type="character" w:styleId="706">
    <w:name w:val="Intense Quote Char"/>
    <w:uiPriority w:val="30"/>
    <w:qFormat/>
    <w:rPr>
      <w:i/>
    </w:rPr>
  </w:style>
  <w:style w:type="character" w:styleId="707">
    <w:name w:val="Header Char"/>
    <w:basedOn w:val="711"/>
    <w:uiPriority w:val="99"/>
    <w:qFormat/>
  </w:style>
  <w:style w:type="character" w:styleId="708">
    <w:name w:val="Caption Char"/>
    <w:uiPriority w:val="99"/>
    <w:qFormat/>
  </w:style>
  <w:style w:type="character" w:styleId="709">
    <w:name w:val="Footnote Text Char"/>
    <w:uiPriority w:val="99"/>
    <w:qFormat/>
    <w:rPr>
      <w:sz w:val="18"/>
    </w:rPr>
  </w:style>
  <w:style w:type="character" w:styleId="710">
    <w:name w:val="Endnote Text Char"/>
    <w:uiPriority w:val="99"/>
    <w:qFormat/>
    <w:rPr>
      <w:sz w:val="20"/>
    </w:rPr>
  </w:style>
  <w:style w:type="character" w:styleId="711" w:default="1">
    <w:name w:val="Default Paragraph Font"/>
    <w:uiPriority w:val="1"/>
    <w:semiHidden/>
    <w:unhideWhenUsed/>
    <w:qFormat/>
  </w:style>
  <w:style w:type="character" w:styleId="71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1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1" w:customStyle="1">
    <w:name w:val="Заголовок Знак1"/>
    <w:uiPriority w:val="10"/>
    <w:qFormat/>
    <w:rPr>
      <w:sz w:val="48"/>
      <w:szCs w:val="48"/>
    </w:rPr>
  </w:style>
  <w:style w:type="character" w:styleId="722" w:customStyle="1">
    <w:name w:val="Подзаголовок Знак"/>
    <w:uiPriority w:val="11"/>
    <w:qFormat/>
    <w:rPr>
      <w:sz w:val="24"/>
      <w:szCs w:val="24"/>
    </w:rPr>
  </w:style>
  <w:style w:type="character" w:styleId="723" w:customStyle="1">
    <w:name w:val="Цитата 2 Знак"/>
    <w:uiPriority w:val="29"/>
    <w:qFormat/>
    <w:rPr>
      <w:i/>
    </w:rPr>
  </w:style>
  <w:style w:type="character" w:styleId="724" w:customStyle="1">
    <w:name w:val="Выделенная цитата Знак"/>
    <w:uiPriority w:val="30"/>
    <w:qFormat/>
    <w:rPr>
      <w:i/>
    </w:rPr>
  </w:style>
  <w:style w:type="character" w:styleId="725" w:customStyle="1">
    <w:name w:val="Верхний колонтитул Знак1"/>
    <w:uiPriority w:val="99"/>
    <w:qFormat/>
  </w:style>
  <w:style w:type="character" w:styleId="726" w:customStyle="1">
    <w:name w:val="Footer Char"/>
    <w:uiPriority w:val="99"/>
    <w:qFormat/>
  </w:style>
  <w:style w:type="character" w:styleId="727" w:customStyle="1">
    <w:name w:val="Нижний колонтитул Знак1"/>
    <w:uiPriority w:val="99"/>
    <w:qFormat/>
  </w:style>
  <w:style w:type="character" w:styleId="728" w:customStyle="1">
    <w:name w:val="Текст сноски Знак"/>
    <w:uiPriority w:val="99"/>
    <w:qFormat/>
    <w:rPr>
      <w:sz w:val="18"/>
    </w:rPr>
  </w:style>
  <w:style w:type="character" w:styleId="729">
    <w:name w:val="Символ сноски"/>
    <w:uiPriority w:val="99"/>
    <w:unhideWhenUsed/>
    <w:qFormat/>
    <w:rPr>
      <w:vertAlign w:val="superscript"/>
    </w:rPr>
  </w:style>
  <w:style w:type="character" w:styleId="730">
    <w:name w:val="footnote reference"/>
    <w:rPr>
      <w:vertAlign w:val="superscript"/>
    </w:rPr>
  </w:style>
  <w:style w:type="character" w:styleId="731" w:customStyle="1">
    <w:name w:val="Текст концевой сноски Знак"/>
    <w:uiPriority w:val="99"/>
    <w:qFormat/>
    <w:rPr>
      <w:sz w:val="20"/>
    </w:rPr>
  </w:style>
  <w:style w:type="character" w:styleId="73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3">
    <w:name w:val="endnote reference"/>
    <w:rPr>
      <w:vertAlign w:val="superscript"/>
    </w:rPr>
  </w:style>
  <w:style w:type="character" w:styleId="734" w:customStyle="1">
    <w:name w:val="WW8Num2z0"/>
    <w:qFormat/>
    <w:rPr>
      <w:rFonts w:ascii="Symbol" w:hAnsi="Symbol" w:cs="Symbol"/>
    </w:rPr>
  </w:style>
  <w:style w:type="character" w:styleId="735" w:customStyle="1">
    <w:name w:val="WW8Num3z0"/>
    <w:qFormat/>
  </w:style>
  <w:style w:type="character" w:styleId="736" w:customStyle="1">
    <w:name w:val="WW8Num4z0"/>
    <w:qFormat/>
  </w:style>
  <w:style w:type="character" w:styleId="737" w:customStyle="1">
    <w:name w:val="WW8Num5z0"/>
    <w:qFormat/>
    <w:rPr>
      <w:sz w:val="16"/>
      <w:szCs w:val="16"/>
    </w:rPr>
  </w:style>
  <w:style w:type="character" w:styleId="738" w:customStyle="1">
    <w:name w:val="WW8Num6z0"/>
    <w:qFormat/>
  </w:style>
  <w:style w:type="character" w:styleId="739" w:customStyle="1">
    <w:name w:val="WW8Num7z0"/>
    <w:qFormat/>
  </w:style>
  <w:style w:type="character" w:styleId="740" w:customStyle="1">
    <w:name w:val="WW8Num8z0"/>
    <w:qFormat/>
  </w:style>
  <w:style w:type="character" w:styleId="741" w:customStyle="1">
    <w:name w:val="WW8Num9z0"/>
    <w:qFormat/>
  </w:style>
  <w:style w:type="character" w:styleId="742" w:customStyle="1">
    <w:name w:val="WW8Num10z0"/>
    <w:qFormat/>
  </w:style>
  <w:style w:type="character" w:styleId="743" w:customStyle="1">
    <w:name w:val="WW8Num11z0"/>
    <w:qFormat/>
  </w:style>
  <w:style w:type="character" w:styleId="744" w:customStyle="1">
    <w:name w:val="WW8Num12z0"/>
    <w:qFormat/>
  </w:style>
  <w:style w:type="character" w:styleId="745" w:customStyle="1">
    <w:name w:val="WW8Num13z0"/>
    <w:qFormat/>
  </w:style>
  <w:style w:type="character" w:styleId="746" w:customStyle="1">
    <w:name w:val="WW8Num14z0"/>
    <w:qFormat/>
  </w:style>
  <w:style w:type="character" w:styleId="747" w:customStyle="1">
    <w:name w:val="WW8Num15z0"/>
    <w:qFormat/>
  </w:style>
  <w:style w:type="character" w:styleId="748" w:customStyle="1">
    <w:name w:val="WW8Num18z0"/>
    <w:qFormat/>
  </w:style>
  <w:style w:type="character" w:styleId="749" w:customStyle="1">
    <w:name w:val="WW8Num19z0"/>
    <w:qFormat/>
  </w:style>
  <w:style w:type="character" w:styleId="750" w:customStyle="1">
    <w:name w:val="WW8Num20z0"/>
    <w:qFormat/>
  </w:style>
  <w:style w:type="character" w:styleId="751" w:customStyle="1">
    <w:name w:val="WW8Num21z0"/>
    <w:qFormat/>
  </w:style>
  <w:style w:type="character" w:styleId="752" w:customStyle="1">
    <w:name w:val="WW8Num22z0"/>
    <w:qFormat/>
  </w:style>
  <w:style w:type="character" w:styleId="753" w:customStyle="1">
    <w:name w:val="WW8Num23z0"/>
    <w:qFormat/>
  </w:style>
  <w:style w:type="character" w:styleId="754" w:customStyle="1">
    <w:name w:val="WW8Num25z0"/>
    <w:qFormat/>
  </w:style>
  <w:style w:type="character" w:styleId="755" w:customStyle="1">
    <w:name w:val="WW8Num26z0"/>
    <w:qFormat/>
  </w:style>
  <w:style w:type="character" w:styleId="756" w:customStyle="1">
    <w:name w:val="WW8Num27z0"/>
    <w:qFormat/>
  </w:style>
  <w:style w:type="character" w:styleId="757" w:customStyle="1">
    <w:name w:val="WW8Num29z0"/>
    <w:qFormat/>
    <w:rPr>
      <w:rFonts w:ascii="Symbol" w:hAnsi="Symbol" w:cs="Symbol"/>
    </w:rPr>
  </w:style>
  <w:style w:type="character" w:styleId="758" w:customStyle="1">
    <w:name w:val="WW8Num30z0"/>
    <w:qFormat/>
  </w:style>
  <w:style w:type="character" w:styleId="759" w:customStyle="1">
    <w:name w:val="WW8Num31z0"/>
    <w:qFormat/>
  </w:style>
  <w:style w:type="character" w:styleId="760" w:customStyle="1">
    <w:name w:val="WW8Num32z0"/>
    <w:qFormat/>
  </w:style>
  <w:style w:type="character" w:styleId="761" w:customStyle="1">
    <w:name w:val="WW8Num33z0"/>
    <w:qFormat/>
  </w:style>
  <w:style w:type="character" w:styleId="762" w:customStyle="1">
    <w:name w:val="WW8Num34z0"/>
    <w:qFormat/>
  </w:style>
  <w:style w:type="character" w:styleId="763">
    <w:name w:val="page number"/>
    <w:basedOn w:val="711"/>
    <w:qFormat/>
  </w:style>
  <w:style w:type="character" w:styleId="764" w:customStyle="1">
    <w:name w:val="Текст Знак"/>
    <w:qFormat/>
    <w:rPr>
      <w:rFonts w:ascii="Courier New" w:hAnsi="Courier New" w:cs="Courier New"/>
    </w:rPr>
  </w:style>
  <w:style w:type="character" w:styleId="765" w:customStyle="1">
    <w:name w:val="Верхний колонтитул Знак"/>
    <w:qFormat/>
    <w:rPr>
      <w:sz w:val="16"/>
      <w:lang w:val="ru-RU" w:bidi="ar-SA"/>
    </w:rPr>
  </w:style>
  <w:style w:type="character" w:styleId="766" w:customStyle="1">
    <w:name w:val="Основной текст с отступом 3 Знак"/>
    <w:qFormat/>
    <w:rPr>
      <w:sz w:val="16"/>
      <w:szCs w:val="16"/>
    </w:rPr>
  </w:style>
  <w:style w:type="character" w:styleId="767">
    <w:name w:val="Hyperlink"/>
    <w:rPr>
      <w:color w:val="0563c1"/>
      <w:u w:val="single"/>
    </w:rPr>
  </w:style>
  <w:style w:type="character" w:styleId="768" w:customStyle="1">
    <w:name w:val="Абзац списка Знак"/>
    <w:qFormat/>
    <w:rPr>
      <w:sz w:val="24"/>
      <w:szCs w:val="24"/>
    </w:rPr>
  </w:style>
  <w:style w:type="character" w:styleId="769" w:customStyle="1">
    <w:name w:val="Заголовок 6 Знак"/>
    <w:qFormat/>
    <w:rPr>
      <w:b/>
      <w:bCs/>
      <w:sz w:val="22"/>
      <w:szCs w:val="22"/>
    </w:rPr>
  </w:style>
  <w:style w:type="character" w:styleId="770" w:customStyle="1">
    <w:name w:val="Название Знак"/>
    <w:qFormat/>
    <w:rPr>
      <w:sz w:val="28"/>
      <w:lang w:val="ru-RU" w:bidi="ar-SA"/>
    </w:rPr>
  </w:style>
  <w:style w:type="character" w:styleId="771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72" w:customStyle="1">
    <w:name w:val="Нижний колонтитул Знак"/>
    <w:qFormat/>
  </w:style>
  <w:style w:type="character" w:styleId="773">
    <w:name w:val="FollowedHyperlink"/>
    <w:rPr>
      <w:color w:val="954f72"/>
      <w:u w:val="single"/>
    </w:rPr>
  </w:style>
  <w:style w:type="character" w:styleId="774" w:customStyle="1">
    <w:name w:val="Гиперссылка"/>
    <w:qFormat/>
    <w:rPr>
      <w:color w:val="0000ff"/>
      <w:u w:val="single"/>
    </w:rPr>
  </w:style>
  <w:style w:type="character" w:styleId="775">
    <w:name w:val="Символ нумерации"/>
    <w:qFormat/>
  </w:style>
  <w:style w:type="paragraph" w:styleId="776">
    <w:name w:val="Заголовок"/>
    <w:basedOn w:val="684"/>
    <w:next w:val="777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77">
    <w:name w:val="Body Text"/>
    <w:basedOn w:val="684"/>
    <w:pPr>
      <w:jc w:val="right"/>
    </w:pPr>
    <w:rPr>
      <w:sz w:val="28"/>
    </w:rPr>
  </w:style>
  <w:style w:type="paragraph" w:styleId="778">
    <w:name w:val="List"/>
    <w:basedOn w:val="777"/>
    <w:rPr>
      <w:rFonts w:cs="Lohit Devanagari"/>
    </w:rPr>
  </w:style>
  <w:style w:type="paragraph" w:styleId="779">
    <w:name w:val="Caption"/>
    <w:basedOn w:val="684"/>
    <w:qFormat/>
    <w:pPr>
      <w:spacing w:before="120" w:after="120"/>
      <w:suppressLineNumbers/>
    </w:pPr>
    <w:rPr>
      <w:rFonts w:cs="Lohit Devanagari"/>
      <w:i/>
      <w:iCs/>
    </w:rPr>
  </w:style>
  <w:style w:type="paragraph" w:styleId="780">
    <w:name w:val="Указатель"/>
    <w:basedOn w:val="684"/>
    <w:qFormat/>
    <w:pPr>
      <w:suppressLineNumbers/>
    </w:pPr>
    <w:rPr>
      <w:rFonts w:cs="Lohit Devanagari"/>
    </w:rPr>
  </w:style>
  <w:style w:type="paragraph" w:styleId="781">
    <w:name w:val="List Paragraph"/>
    <w:basedOn w:val="684"/>
    <w:qFormat/>
    <w:pPr>
      <w:ind w:left="708"/>
    </w:pPr>
  </w:style>
  <w:style w:type="paragraph" w:styleId="78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83">
    <w:name w:val="Title"/>
    <w:basedOn w:val="684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84">
    <w:name w:val="Subtitle"/>
    <w:basedOn w:val="684"/>
    <w:uiPriority w:val="11"/>
    <w:qFormat/>
    <w:pPr>
      <w:spacing w:before="200" w:after="200"/>
    </w:pPr>
  </w:style>
  <w:style w:type="paragraph" w:styleId="785">
    <w:name w:val="Quote"/>
    <w:basedOn w:val="684"/>
    <w:uiPriority w:val="29"/>
    <w:qFormat/>
    <w:pPr>
      <w:ind w:left="720" w:right="720"/>
    </w:pPr>
    <w:rPr>
      <w:i/>
    </w:rPr>
  </w:style>
  <w:style w:type="paragraph" w:styleId="786">
    <w:name w:val="Intense Quote"/>
    <w:basedOn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7">
    <w:name w:val="footnote text"/>
    <w:basedOn w:val="684"/>
    <w:uiPriority w:val="99"/>
    <w:semiHidden/>
    <w:unhideWhenUsed/>
    <w:pPr>
      <w:spacing w:before="0" w:after="40"/>
    </w:pPr>
    <w:rPr>
      <w:sz w:val="18"/>
    </w:rPr>
  </w:style>
  <w:style w:type="paragraph" w:styleId="788">
    <w:name w:val="endnote text"/>
    <w:basedOn w:val="684"/>
    <w:uiPriority w:val="99"/>
    <w:semiHidden/>
    <w:unhideWhenUsed/>
    <w:rPr>
      <w:sz w:val="20"/>
    </w:rPr>
  </w:style>
  <w:style w:type="paragraph" w:styleId="789">
    <w:name w:val="toc 1"/>
    <w:basedOn w:val="684"/>
    <w:uiPriority w:val="39"/>
    <w:unhideWhenUsed/>
    <w:pPr>
      <w:spacing w:before="0" w:after="57"/>
    </w:pPr>
  </w:style>
  <w:style w:type="paragraph" w:styleId="790">
    <w:name w:val="toc 2"/>
    <w:basedOn w:val="684"/>
    <w:uiPriority w:val="39"/>
    <w:unhideWhenUsed/>
    <w:pPr>
      <w:ind w:left="283"/>
      <w:spacing w:before="0" w:after="57"/>
    </w:pPr>
  </w:style>
  <w:style w:type="paragraph" w:styleId="791">
    <w:name w:val="toc 3"/>
    <w:basedOn w:val="684"/>
    <w:uiPriority w:val="39"/>
    <w:unhideWhenUsed/>
    <w:pPr>
      <w:ind w:left="567"/>
      <w:spacing w:before="0" w:after="57"/>
    </w:pPr>
  </w:style>
  <w:style w:type="paragraph" w:styleId="792">
    <w:name w:val="toc 4"/>
    <w:basedOn w:val="684"/>
    <w:uiPriority w:val="39"/>
    <w:unhideWhenUsed/>
    <w:pPr>
      <w:ind w:left="850"/>
      <w:spacing w:before="0" w:after="57"/>
    </w:pPr>
  </w:style>
  <w:style w:type="paragraph" w:styleId="793">
    <w:name w:val="toc 5"/>
    <w:basedOn w:val="684"/>
    <w:uiPriority w:val="39"/>
    <w:unhideWhenUsed/>
    <w:pPr>
      <w:ind w:left="1134"/>
      <w:spacing w:before="0" w:after="57"/>
    </w:pPr>
  </w:style>
  <w:style w:type="paragraph" w:styleId="794">
    <w:name w:val="toc 6"/>
    <w:basedOn w:val="684"/>
    <w:uiPriority w:val="39"/>
    <w:unhideWhenUsed/>
    <w:pPr>
      <w:ind w:left="1417"/>
      <w:spacing w:before="0" w:after="57"/>
    </w:pPr>
  </w:style>
  <w:style w:type="paragraph" w:styleId="795">
    <w:name w:val="toc 7"/>
    <w:basedOn w:val="684"/>
    <w:uiPriority w:val="39"/>
    <w:unhideWhenUsed/>
    <w:pPr>
      <w:ind w:left="1701"/>
      <w:spacing w:before="0" w:after="57"/>
    </w:pPr>
  </w:style>
  <w:style w:type="paragraph" w:styleId="796">
    <w:name w:val="toc 8"/>
    <w:basedOn w:val="684"/>
    <w:uiPriority w:val="39"/>
    <w:unhideWhenUsed/>
    <w:pPr>
      <w:ind w:left="1984"/>
      <w:spacing w:before="0" w:after="57"/>
    </w:pPr>
  </w:style>
  <w:style w:type="paragraph" w:styleId="797">
    <w:name w:val="toc 9"/>
    <w:basedOn w:val="684"/>
    <w:uiPriority w:val="39"/>
    <w:unhideWhenUsed/>
    <w:pPr>
      <w:ind w:left="2268"/>
      <w:spacing w:before="0" w:after="57"/>
    </w:pPr>
  </w:style>
  <w:style w:type="paragraph" w:styleId="798">
    <w:name w:val="Index Heading"/>
    <w:basedOn w:val="776"/>
  </w:style>
  <w:style w:type="paragraph" w:styleId="79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00">
    <w:name w:val="table of figures"/>
    <w:basedOn w:val="684"/>
    <w:uiPriority w:val="99"/>
    <w:unhideWhenUsed/>
  </w:style>
  <w:style w:type="paragraph" w:styleId="801">
    <w:name w:val="index heading1"/>
    <w:basedOn w:val="684"/>
    <w:qFormat/>
    <w:pPr>
      <w:suppressLineNumbers/>
    </w:pPr>
    <w:rPr>
      <w:rFonts w:cs="Lohit Devanagari"/>
    </w:rPr>
  </w:style>
  <w:style w:type="paragraph" w:styleId="802" w:customStyle="1">
    <w:name w:val="Caption1"/>
    <w:basedOn w:val="684"/>
    <w:qFormat/>
    <w:pPr>
      <w:spacing w:before="120" w:after="120"/>
      <w:suppressLineNumbers/>
    </w:pPr>
    <w:rPr>
      <w:rFonts w:cs="Lohit Devanagari"/>
      <w:i/>
      <w:iCs/>
    </w:rPr>
  </w:style>
  <w:style w:type="paragraph" w:styleId="803">
    <w:name w:val="Plain Text"/>
    <w:basedOn w:val="684"/>
    <w:qFormat/>
    <w:rPr>
      <w:rFonts w:ascii="Courier New" w:hAnsi="Courier New" w:cs="Courier New"/>
      <w:sz w:val="20"/>
      <w:szCs w:val="20"/>
      <w:lang w:val="en-US"/>
    </w:rPr>
  </w:style>
  <w:style w:type="paragraph" w:styleId="804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05">
    <w:name w:val="Body Text 2"/>
    <w:basedOn w:val="684"/>
    <w:qFormat/>
    <w:pPr>
      <w:spacing w:before="0" w:after="120" w:line="480" w:lineRule="auto"/>
    </w:pPr>
  </w:style>
  <w:style w:type="paragraph" w:styleId="806">
    <w:name w:val="Body Text 3"/>
    <w:basedOn w:val="684"/>
    <w:qFormat/>
    <w:pPr>
      <w:spacing w:before="0" w:after="120"/>
    </w:pPr>
    <w:rPr>
      <w:sz w:val="16"/>
      <w:szCs w:val="16"/>
    </w:rPr>
  </w:style>
  <w:style w:type="paragraph" w:styleId="807" w:customStyle="1">
    <w:name w:val="Колонтитул"/>
    <w:basedOn w:val="684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08">
    <w:name w:val="Footer"/>
    <w:basedOn w:val="684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09">
    <w:name w:val="Balloon Text"/>
    <w:basedOn w:val="684"/>
    <w:qFormat/>
    <w:rPr>
      <w:rFonts w:ascii="Tahoma" w:hAnsi="Tahoma" w:cs="Tahoma"/>
      <w:sz w:val="16"/>
      <w:szCs w:val="16"/>
    </w:rPr>
  </w:style>
  <w:style w:type="paragraph" w:styleId="810" w:customStyle="1">
    <w:name w:val="Знак Знак Знак Знак Знак Знак Знак Знак Знак Знак Знак Знак"/>
    <w:basedOn w:val="684"/>
    <w:qFormat/>
    <w:rPr>
      <w:rFonts w:ascii="Verdana" w:hAnsi="Verdana" w:cs="Verdana"/>
      <w:sz w:val="20"/>
      <w:szCs w:val="20"/>
      <w:lang w:val="en-US"/>
    </w:rPr>
  </w:style>
  <w:style w:type="paragraph" w:styleId="811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12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13">
    <w:name w:val="Body Text Indent 3"/>
    <w:basedOn w:val="684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14">
    <w:name w:val="Normal (Web)"/>
    <w:basedOn w:val="684"/>
    <w:qFormat/>
    <w:pPr>
      <w:spacing w:before="280" w:after="280"/>
    </w:pPr>
  </w:style>
  <w:style w:type="paragraph" w:styleId="815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16" w:customStyle="1">
    <w:name w:val="Содержимое таблицы"/>
    <w:basedOn w:val="684"/>
    <w:qFormat/>
    <w:pPr>
      <w:widowControl w:val="off"/>
      <w:suppressLineNumbers/>
    </w:pPr>
  </w:style>
  <w:style w:type="paragraph" w:styleId="817" w:customStyle="1">
    <w:name w:val="Заголовок таблицы"/>
    <w:basedOn w:val="816"/>
    <w:qFormat/>
    <w:pPr>
      <w:jc w:val="center"/>
    </w:pPr>
    <w:rPr>
      <w:b/>
      <w:bCs/>
    </w:rPr>
  </w:style>
  <w:style w:type="numbering" w:styleId="818" w:default="1">
    <w:name w:val="No List"/>
    <w:uiPriority w:val="99"/>
    <w:semiHidden/>
    <w:unhideWhenUsed/>
    <w:qFormat/>
  </w:style>
  <w:style w:type="table" w:styleId="81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2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2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4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5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5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5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5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5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6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6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8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8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8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8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8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8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2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2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2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2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2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2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3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3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3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3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3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3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3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3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4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4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4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4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gorodperm.ru/" TargetMode="External"/><Relationship Id="rId20" Type="http://schemas.openxmlformats.org/officeDocument/2006/relationships/hyperlink" Target="https://&#1087;&#1086;&#1088;&#1090;&#1072;&#1083;-&#1090;&#1087;.&#1088;&#1092;" TargetMode="External"/><Relationship Id="rId21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275</cp:revision>
  <dcterms:created xsi:type="dcterms:W3CDTF">2023-10-30T09:15:00Z</dcterms:created>
  <dcterms:modified xsi:type="dcterms:W3CDTF">2025-06-30T10:16:46Z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